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A32E9" w14:textId="77777777" w:rsidR="00F20D0F" w:rsidRPr="00F20D0F" w:rsidRDefault="00F20D0F" w:rsidP="00F20D0F">
      <w:pPr>
        <w:tabs>
          <w:tab w:val="left" w:pos="1650"/>
        </w:tabs>
        <w:spacing w:line="276" w:lineRule="auto"/>
        <w:jc w:val="center"/>
        <w:rPr>
          <w:rFonts w:ascii="GHEA Grapalat" w:eastAsia="GHEA Grapalat" w:hAnsi="GHEA Grapalat" w:cstheme="majorHAnsi"/>
          <w:b/>
          <w:bCs/>
          <w:sz w:val="24"/>
          <w:szCs w:val="24"/>
        </w:rPr>
      </w:pPr>
      <w:r w:rsidRPr="00F20D0F">
        <w:rPr>
          <w:rFonts w:ascii="GHEA Grapalat" w:eastAsia="GHEA Grapalat" w:hAnsi="GHEA Grapalat" w:cstheme="majorHAnsi"/>
          <w:b/>
          <w:bCs/>
          <w:sz w:val="24"/>
          <w:szCs w:val="24"/>
        </w:rPr>
        <w:t>ՏԵՂԵԿԱՆՔ</w:t>
      </w:r>
    </w:p>
    <w:p w14:paraId="77C00F26" w14:textId="77777777" w:rsidR="00F20D0F" w:rsidRPr="00F20D0F" w:rsidRDefault="00F20D0F" w:rsidP="00F20D0F">
      <w:pPr>
        <w:spacing w:line="276" w:lineRule="auto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F20D0F">
        <w:rPr>
          <w:rFonts w:ascii="GHEA Grapalat" w:eastAsia="GHEA Grapalat" w:hAnsi="GHEA Grapalat" w:cstheme="majorHAnsi"/>
          <w:b/>
          <w:sz w:val="24"/>
          <w:szCs w:val="24"/>
        </w:rPr>
        <w:t>«ՍԱՀՄԱՆԱՓԱԿ ՊԱՏԱՍԽԱՆԱՏՎՈՒԹՅԱՄԲ ԸՆԿԵՐՈՒԹՅՈՒՆՆԵՐԻ ՄԱՍԻՆ» ՕՐԵՆՔՈՒՄ ՓՈՓՈԽՈՒԹՅՈՒՆ ԿԱՏԱՐԵԼՈՒ ՄԱՍԻՆ ՕՐԵՆՔԻ ՆԱԽԱԳԾԻ ՀԱՄԱՁԱՅՆ ՓՈՓՈԽՎՈՂ ՀՈԴՎԱԾՆԵՐԻ ՎԵՐԱԲԵՐՅԱԼ</w:t>
      </w:r>
    </w:p>
    <w:p w14:paraId="1E122469" w14:textId="77777777" w:rsidR="00F20D0F" w:rsidRPr="00F20D0F" w:rsidRDefault="00F20D0F" w:rsidP="00F20D0F">
      <w:pPr>
        <w:tabs>
          <w:tab w:val="left" w:pos="1650"/>
        </w:tabs>
        <w:spacing w:line="276" w:lineRule="auto"/>
        <w:jc w:val="center"/>
        <w:rPr>
          <w:rFonts w:ascii="GHEA Grapalat" w:eastAsia="GHEA Grapalat" w:hAnsi="GHEA Grapalat" w:cstheme="majorHAnsi"/>
          <w:sz w:val="24"/>
          <w:szCs w:val="24"/>
        </w:rPr>
      </w:pPr>
    </w:p>
    <w:p w14:paraId="390B9082" w14:textId="77777777" w:rsidR="00F20D0F" w:rsidRPr="00F20D0F" w:rsidRDefault="00F20D0F" w:rsidP="00F20D0F">
      <w:pPr>
        <w:tabs>
          <w:tab w:val="left" w:pos="1650"/>
        </w:tabs>
        <w:spacing w:line="276" w:lineRule="auto"/>
        <w:jc w:val="center"/>
        <w:rPr>
          <w:rFonts w:ascii="GHEA Grapalat" w:eastAsia="GHEA Grapalat" w:hAnsi="GHEA Grapalat" w:cstheme="majorHAnsi"/>
          <w:sz w:val="24"/>
          <w:szCs w:val="24"/>
        </w:rPr>
      </w:pPr>
    </w:p>
    <w:p w14:paraId="0BB3A631" w14:textId="77777777" w:rsidR="00F20D0F" w:rsidRPr="00F20D0F" w:rsidRDefault="00F20D0F" w:rsidP="00F20D0F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20D0F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  <w:r w:rsidRPr="00F20D0F">
        <w:rPr>
          <w:rFonts w:ascii="GHEA Grapalat" w:eastAsia="GHEA Grapalat" w:hAnsi="GHEA Grapalat" w:cs="GHEA Grapalat"/>
          <w:b/>
          <w:sz w:val="24"/>
          <w:szCs w:val="24"/>
        </w:rPr>
        <w:br/>
        <w:t>ՕՐԵՆՔԸ</w:t>
      </w:r>
    </w:p>
    <w:p w14:paraId="05FB6CE9" w14:textId="77777777" w:rsidR="00F20D0F" w:rsidRPr="00F20D0F" w:rsidRDefault="00F20D0F" w:rsidP="00F20D0F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20D0F">
        <w:rPr>
          <w:rFonts w:eastAsia="GHEA Grapalat"/>
          <w:b/>
          <w:sz w:val="24"/>
          <w:szCs w:val="24"/>
        </w:rPr>
        <w:t> </w:t>
      </w:r>
    </w:p>
    <w:p w14:paraId="198DE896" w14:textId="77777777" w:rsidR="00F20D0F" w:rsidRPr="00F20D0F" w:rsidRDefault="00F20D0F" w:rsidP="00F20D0F">
      <w:pPr>
        <w:rPr>
          <w:rFonts w:ascii="GHEA Grapalat" w:eastAsia="GHEA Grapalat" w:hAnsi="GHEA Grapalat" w:cs="GHEA Grapalat"/>
          <w:b/>
          <w:sz w:val="24"/>
          <w:szCs w:val="24"/>
        </w:rPr>
      </w:pPr>
      <w:r w:rsidRPr="00F20D0F">
        <w:rPr>
          <w:rFonts w:ascii="GHEA Grapalat" w:eastAsia="GHEA Grapalat" w:hAnsi="GHEA Grapalat" w:cs="GHEA Grapalat"/>
          <w:b/>
          <w:sz w:val="24"/>
          <w:szCs w:val="24"/>
        </w:rPr>
        <w:t>ՍԱՀՄԱՆԱՓԱԿ ՊԱՏԱՍԽԱՆԱՏՎՈՒԹՅԱՄԲ ԸՆԿԵՐՈՒԹՅՈՒՆՆԵՐԻ ՄԱՍԻՆ</w:t>
      </w:r>
    </w:p>
    <w:tbl>
      <w:tblPr>
        <w:tblW w:w="0" w:type="auto"/>
        <w:tblCellSpacing w:w="15" w:type="dxa"/>
        <w:tblInd w:w="10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4"/>
        <w:gridCol w:w="6554"/>
      </w:tblGrid>
      <w:tr w:rsidR="00F20D0F" w:rsidRPr="00F20D0F" w14:paraId="60702D7D" w14:textId="77777777" w:rsidTr="00F20D0F">
        <w:trPr>
          <w:tblCellSpacing w:w="15" w:type="dxa"/>
        </w:trPr>
        <w:tc>
          <w:tcPr>
            <w:tcW w:w="0" w:type="auto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206FF9" w14:textId="77777777" w:rsidR="00F20D0F" w:rsidRPr="00F20D0F" w:rsidRDefault="00F20D0F">
            <w:pP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F20D0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Հոդված 24.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74871D" w14:textId="77777777" w:rsidR="00F20D0F" w:rsidRPr="00F20D0F" w:rsidRDefault="00F20D0F">
            <w:pP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F20D0F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Շահույթի բաշխումն ընկերության մասնակիցների միջև</w:t>
            </w:r>
          </w:p>
        </w:tc>
      </w:tr>
    </w:tbl>
    <w:p w14:paraId="4A8DF8F7" w14:textId="77777777" w:rsidR="00F20D0F" w:rsidRPr="00F20D0F" w:rsidRDefault="00F20D0F" w:rsidP="00F20D0F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</w:rPr>
      </w:pPr>
      <w:r w:rsidRPr="00F20D0F">
        <w:rPr>
          <w:rFonts w:ascii="Calibri" w:hAnsi="Calibri" w:cs="Calibri"/>
          <w:color w:val="000000"/>
        </w:rPr>
        <w:t> </w:t>
      </w:r>
    </w:p>
    <w:p w14:paraId="4394EC6E" w14:textId="77777777" w:rsidR="00F20D0F" w:rsidRPr="00F20D0F" w:rsidRDefault="00F20D0F" w:rsidP="00F20D0F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</w:rPr>
      </w:pPr>
      <w:r w:rsidRPr="00F20D0F">
        <w:rPr>
          <w:rFonts w:ascii="GHEA Grapalat" w:hAnsi="GHEA Grapalat"/>
          <w:color w:val="000000"/>
        </w:rPr>
        <w:t xml:space="preserve">1. </w:t>
      </w:r>
      <w:r w:rsidRPr="00F20D0F">
        <w:rPr>
          <w:rFonts w:ascii="GHEA Grapalat" w:hAnsi="GHEA Grapalat"/>
          <w:strike/>
          <w:color w:val="000000"/>
        </w:rPr>
        <w:t>Ընկերությունն իրավունք ունի տարեկան մեկ անգամ իրականացնել իր շահույթի բաշխում ընկերության մասնակիցների միջև</w:t>
      </w:r>
      <w:r w:rsidRPr="00F20D0F">
        <w:rPr>
          <w:rFonts w:ascii="GHEA Grapalat" w:eastAsia="GHEA Grapalat" w:hAnsi="GHEA Grapalat" w:cstheme="majorHAnsi"/>
          <w:color w:val="000000"/>
        </w:rPr>
        <w:t xml:space="preserve"> </w:t>
      </w:r>
      <w:r w:rsidRPr="00F20D0F">
        <w:rPr>
          <w:rFonts w:ascii="GHEA Grapalat" w:eastAsia="GHEA Grapalat" w:hAnsi="GHEA Grapalat" w:cstheme="majorHAnsi"/>
          <w:color w:val="000000"/>
          <w:u w:val="single"/>
        </w:rPr>
        <w:t>Ընկերությունն իրավունք ունի ոչ հաճախ քան եռամսյակը մեկ անգամ իրականացնել իր շահույթի բաշխում ընկերության մասնակիցների միջև</w:t>
      </w:r>
      <w:r w:rsidRPr="00F20D0F">
        <w:rPr>
          <w:rFonts w:ascii="GHEA Grapalat" w:hAnsi="GHEA Grapalat"/>
          <w:color w:val="000000"/>
        </w:rPr>
        <w:t>: Շահույթի բաշխման մասին որոշումն ընդունվում է ընդհանուր ժողովի կողմից:</w:t>
      </w:r>
    </w:p>
    <w:p w14:paraId="433F037D" w14:textId="77777777" w:rsidR="00F20D0F" w:rsidRPr="00F20D0F" w:rsidRDefault="00F20D0F" w:rsidP="00F20D0F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</w:rPr>
      </w:pPr>
      <w:r w:rsidRPr="00F20D0F">
        <w:rPr>
          <w:rFonts w:ascii="GHEA Grapalat" w:hAnsi="GHEA Grapalat"/>
          <w:color w:val="000000"/>
        </w:rPr>
        <w:t>2. Բաշխման ենթակա շահույթը բաշխվում է ընկերության մասնակիցների միջև` ըստ ընկերության կանոնադրական կապիտալում նրանց բաժնեմասերի չափերի:</w:t>
      </w:r>
    </w:p>
    <w:p w14:paraId="6375AFD8" w14:textId="77777777" w:rsidR="00F20D0F" w:rsidRPr="00F20D0F" w:rsidRDefault="00F20D0F" w:rsidP="00F20D0F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</w:rPr>
      </w:pPr>
      <w:r w:rsidRPr="00F20D0F">
        <w:rPr>
          <w:rFonts w:ascii="GHEA Grapalat" w:hAnsi="GHEA Grapalat"/>
          <w:color w:val="000000"/>
        </w:rPr>
        <w:t>3.</w:t>
      </w:r>
      <w:r w:rsidRPr="00F20D0F">
        <w:rPr>
          <w:rFonts w:ascii="Calibri" w:hAnsi="Calibri" w:cs="Calibri"/>
          <w:color w:val="000000"/>
        </w:rPr>
        <w:t> </w:t>
      </w:r>
      <w:r w:rsidRPr="00F20D0F">
        <w:rPr>
          <w:rFonts w:ascii="GHEA Grapalat" w:hAnsi="GHEA Grapalat" w:cs="GHEA Grapalat"/>
          <w:color w:val="000000"/>
        </w:rPr>
        <w:t>Բանկերի</w:t>
      </w:r>
      <w:r w:rsidRPr="00F20D0F">
        <w:rPr>
          <w:rFonts w:ascii="GHEA Grapalat" w:hAnsi="GHEA Grapalat"/>
          <w:color w:val="000000"/>
        </w:rPr>
        <w:t xml:space="preserve"> </w:t>
      </w:r>
      <w:r w:rsidRPr="00F20D0F">
        <w:rPr>
          <w:rFonts w:ascii="GHEA Grapalat" w:hAnsi="GHEA Grapalat" w:cs="GHEA Grapalat"/>
          <w:color w:val="000000"/>
        </w:rPr>
        <w:t>մասնակիցների</w:t>
      </w:r>
      <w:r w:rsidRPr="00F20D0F">
        <w:rPr>
          <w:rFonts w:ascii="GHEA Grapalat" w:hAnsi="GHEA Grapalat"/>
          <w:color w:val="000000"/>
        </w:rPr>
        <w:t xml:space="preserve"> </w:t>
      </w:r>
      <w:r w:rsidRPr="00F20D0F">
        <w:rPr>
          <w:rFonts w:ascii="GHEA Grapalat" w:hAnsi="GHEA Grapalat" w:cs="GHEA Grapalat"/>
          <w:color w:val="000000"/>
        </w:rPr>
        <w:t>միջև</w:t>
      </w:r>
      <w:r w:rsidRPr="00F20D0F">
        <w:rPr>
          <w:rFonts w:ascii="GHEA Grapalat" w:hAnsi="GHEA Grapalat"/>
          <w:color w:val="000000"/>
        </w:rPr>
        <w:t xml:space="preserve"> </w:t>
      </w:r>
      <w:r w:rsidRPr="00F20D0F">
        <w:rPr>
          <w:rFonts w:ascii="GHEA Grapalat" w:hAnsi="GHEA Grapalat" w:cs="GHEA Grapalat"/>
          <w:color w:val="000000"/>
        </w:rPr>
        <w:t>շահույթի</w:t>
      </w:r>
      <w:r w:rsidRPr="00F20D0F">
        <w:rPr>
          <w:rFonts w:ascii="GHEA Grapalat" w:hAnsi="GHEA Grapalat"/>
          <w:color w:val="000000"/>
        </w:rPr>
        <w:t xml:space="preserve"> </w:t>
      </w:r>
      <w:r w:rsidRPr="00F20D0F">
        <w:rPr>
          <w:rFonts w:ascii="GHEA Grapalat" w:hAnsi="GHEA Grapalat" w:cs="GHEA Grapalat"/>
          <w:color w:val="000000"/>
        </w:rPr>
        <w:t>բաշխման</w:t>
      </w:r>
      <w:r w:rsidRPr="00F20D0F">
        <w:rPr>
          <w:rFonts w:ascii="GHEA Grapalat" w:hAnsi="GHEA Grapalat"/>
          <w:color w:val="000000"/>
        </w:rPr>
        <w:t xml:space="preserve"> </w:t>
      </w:r>
      <w:r w:rsidRPr="00F20D0F">
        <w:rPr>
          <w:rFonts w:ascii="GHEA Grapalat" w:hAnsi="GHEA Grapalat" w:cs="GHEA Grapalat"/>
          <w:color w:val="000000"/>
        </w:rPr>
        <w:t>կարգն</w:t>
      </w:r>
      <w:r w:rsidRPr="00F20D0F">
        <w:rPr>
          <w:rFonts w:ascii="GHEA Grapalat" w:hAnsi="GHEA Grapalat"/>
          <w:color w:val="000000"/>
        </w:rPr>
        <w:t xml:space="preserve"> </w:t>
      </w:r>
      <w:r w:rsidRPr="00F20D0F">
        <w:rPr>
          <w:rFonts w:ascii="GHEA Grapalat" w:hAnsi="GHEA Grapalat" w:cs="GHEA Grapalat"/>
          <w:color w:val="000000"/>
        </w:rPr>
        <w:t>ու</w:t>
      </w:r>
      <w:r w:rsidRPr="00F20D0F">
        <w:rPr>
          <w:rFonts w:ascii="GHEA Grapalat" w:hAnsi="GHEA Grapalat"/>
          <w:color w:val="000000"/>
        </w:rPr>
        <w:t xml:space="preserve"> </w:t>
      </w:r>
      <w:r w:rsidRPr="00F20D0F">
        <w:rPr>
          <w:rFonts w:ascii="GHEA Grapalat" w:hAnsi="GHEA Grapalat" w:cs="GHEA Grapalat"/>
          <w:color w:val="000000"/>
        </w:rPr>
        <w:t>առանձնահատկությունները</w:t>
      </w:r>
      <w:r w:rsidRPr="00F20D0F">
        <w:rPr>
          <w:rFonts w:ascii="GHEA Grapalat" w:hAnsi="GHEA Grapalat"/>
          <w:color w:val="000000"/>
        </w:rPr>
        <w:t xml:space="preserve"> </w:t>
      </w:r>
      <w:r w:rsidRPr="00F20D0F">
        <w:rPr>
          <w:rFonts w:ascii="GHEA Grapalat" w:hAnsi="GHEA Grapalat" w:cs="GHEA Grapalat"/>
          <w:color w:val="000000"/>
        </w:rPr>
        <w:t>սահմանվում</w:t>
      </w:r>
      <w:r w:rsidRPr="00F20D0F">
        <w:rPr>
          <w:rFonts w:ascii="GHEA Grapalat" w:hAnsi="GHEA Grapalat"/>
          <w:color w:val="000000"/>
        </w:rPr>
        <w:t xml:space="preserve"> </w:t>
      </w:r>
      <w:r w:rsidRPr="00F20D0F">
        <w:rPr>
          <w:rFonts w:ascii="GHEA Grapalat" w:hAnsi="GHEA Grapalat" w:cs="GHEA Grapalat"/>
          <w:color w:val="000000"/>
        </w:rPr>
        <w:t>են</w:t>
      </w:r>
      <w:r w:rsidRPr="00F20D0F">
        <w:rPr>
          <w:rFonts w:ascii="Calibri" w:hAnsi="Calibri" w:cs="Calibri"/>
          <w:color w:val="000000"/>
        </w:rPr>
        <w:t> </w:t>
      </w:r>
      <w:r w:rsidRPr="00F20D0F">
        <w:rPr>
          <w:rFonts w:ascii="GHEA Grapalat" w:hAnsi="GHEA Grapalat"/>
          <w:color w:val="000000"/>
        </w:rPr>
        <w:t>«Բանկերի և բանկային գործունեության մասին»</w:t>
      </w:r>
      <w:r w:rsidRPr="00F20D0F">
        <w:rPr>
          <w:rFonts w:ascii="Calibri" w:hAnsi="Calibri" w:cs="Calibri"/>
          <w:color w:val="000000"/>
        </w:rPr>
        <w:t> </w:t>
      </w:r>
      <w:r w:rsidRPr="00F20D0F">
        <w:rPr>
          <w:rFonts w:ascii="GHEA Grapalat" w:hAnsi="GHEA Grapalat" w:cs="GHEA Grapalat"/>
          <w:color w:val="000000"/>
        </w:rPr>
        <w:t>Հայաստանի</w:t>
      </w:r>
      <w:r w:rsidRPr="00F20D0F">
        <w:rPr>
          <w:rFonts w:ascii="GHEA Grapalat" w:hAnsi="GHEA Grapalat"/>
          <w:color w:val="000000"/>
        </w:rPr>
        <w:t xml:space="preserve"> </w:t>
      </w:r>
      <w:r w:rsidRPr="00F20D0F">
        <w:rPr>
          <w:rFonts w:ascii="GHEA Grapalat" w:hAnsi="GHEA Grapalat" w:cs="GHEA Grapalat"/>
          <w:color w:val="000000"/>
        </w:rPr>
        <w:t>Հանրապետության</w:t>
      </w:r>
      <w:r w:rsidRPr="00F20D0F">
        <w:rPr>
          <w:rFonts w:ascii="GHEA Grapalat" w:hAnsi="GHEA Grapalat"/>
          <w:color w:val="000000"/>
        </w:rPr>
        <w:t xml:space="preserve"> </w:t>
      </w:r>
      <w:r w:rsidRPr="00F20D0F">
        <w:rPr>
          <w:rFonts w:ascii="GHEA Grapalat" w:hAnsi="GHEA Grapalat" w:cs="GHEA Grapalat"/>
          <w:color w:val="000000"/>
        </w:rPr>
        <w:t>օրենքով</w:t>
      </w:r>
      <w:r w:rsidRPr="00F20D0F">
        <w:rPr>
          <w:rFonts w:ascii="GHEA Grapalat" w:hAnsi="GHEA Grapalat"/>
          <w:color w:val="000000"/>
        </w:rPr>
        <w:t>:</w:t>
      </w:r>
    </w:p>
    <w:p w14:paraId="34E7DEB7" w14:textId="77777777" w:rsidR="00F20D0F" w:rsidRDefault="00F20D0F" w:rsidP="00F20D0F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</w:rPr>
      </w:pPr>
      <w:r w:rsidRPr="00F20D0F">
        <w:rPr>
          <w:rFonts w:ascii="GHEA Grapalat" w:hAnsi="GHEA Grapalat"/>
          <w:color w:val="000000"/>
        </w:rPr>
        <w:t>4. Շահույթը բաշխվում է շահույթի բաշխման մասին որոշումն ընդունվելուց հետո` մեկ տարվա ընթացքում:</w:t>
      </w:r>
    </w:p>
    <w:p w14:paraId="3AE1E316" w14:textId="77777777" w:rsidR="00AB6550" w:rsidRDefault="00AB6550"/>
    <w:sectPr w:rsidR="00AB65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F7D"/>
    <w:rsid w:val="00AB6550"/>
    <w:rsid w:val="00D12F7D"/>
    <w:rsid w:val="00F2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E5DE8C-7C19-4766-8F1B-8C8BB58F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D0F"/>
    <w:pPr>
      <w:spacing w:line="256" w:lineRule="auto"/>
    </w:pPr>
    <w:rPr>
      <w:rFonts w:ascii="Calibri" w:eastAsia="Calibri" w:hAnsi="Calibri" w:cs="Calibri"/>
      <w:kern w:val="0"/>
      <w:lang w:val="hy-AM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0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A. Hayrapetyan</dc:creator>
  <cp:keywords>https://mul2.gov.am/tasks/768376/oneclick/9392896669b35105b8bb3569519786c88e4cd490425e3b80f78f977dc2e29d72.docx?token=a7c9f916734d6d331cb6aebf6aad86f1</cp:keywords>
  <dc:description/>
  <cp:lastModifiedBy>Albert A. Hayrapetyan</cp:lastModifiedBy>
  <cp:revision>3</cp:revision>
  <dcterms:created xsi:type="dcterms:W3CDTF">2023-03-20T11:28:00Z</dcterms:created>
  <dcterms:modified xsi:type="dcterms:W3CDTF">2023-03-20T11:28:00Z</dcterms:modified>
</cp:coreProperties>
</file>