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21" w:rsidRPr="00E27113" w:rsidRDefault="00DA1D21" w:rsidP="00986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DA1D21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</w:p>
    <w:p w:rsidR="00DA1D21" w:rsidRDefault="00DA1D21" w:rsidP="004B0D1A">
      <w:pPr>
        <w:shd w:val="clear" w:color="auto" w:fill="FFFFFF"/>
        <w:spacing w:after="20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312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ԱՄՓՈՓԱԹԵՐԹ</w:t>
      </w:r>
    </w:p>
    <w:p w:rsidR="00DA1D21" w:rsidRPr="0083515B" w:rsidRDefault="00DF2E16" w:rsidP="004B0D1A">
      <w:pPr>
        <w:shd w:val="clear" w:color="auto" w:fill="FFFFFF"/>
        <w:spacing w:after="200" w:line="360" w:lineRule="auto"/>
        <w:ind w:firstLine="374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83515B">
        <w:rPr>
          <w:rFonts w:ascii="Calibri" w:hAnsi="Calibri" w:cs="Calibri"/>
          <w:b/>
          <w:bCs/>
          <w:color w:val="000000"/>
          <w:sz w:val="24"/>
          <w:szCs w:val="24"/>
        </w:rPr>
        <w:t>  </w:t>
      </w:r>
      <w:r w:rsidR="00CF6CCF" w:rsidRPr="0083515B">
        <w:rPr>
          <w:rFonts w:ascii="GHEA Grapalat" w:hAnsi="GHEA Grapalat"/>
          <w:b/>
          <w:bCs/>
          <w:color w:val="000000"/>
          <w:sz w:val="24"/>
          <w:szCs w:val="24"/>
        </w:rPr>
        <w:t xml:space="preserve">«ԲՆԱԿԵԼԻ ՏԱՐԱԾՔՆԵՐ ՆՎԻՐԵԼՈՒ </w:t>
      </w:r>
      <w:proofErr w:type="gramStart"/>
      <w:r w:rsidR="00CF6CCF" w:rsidRPr="0083515B">
        <w:rPr>
          <w:rFonts w:ascii="GHEA Grapalat" w:hAnsi="GHEA Grapalat"/>
          <w:b/>
          <w:bCs/>
          <w:color w:val="000000"/>
          <w:sz w:val="24"/>
          <w:szCs w:val="24"/>
        </w:rPr>
        <w:t>ՄԱՍԻՆ»</w:t>
      </w:r>
      <w:r w:rsidR="00CF6CCF" w:rsidRPr="0083515B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CF6CCF" w:rsidRPr="0083515B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3515B">
        <w:rPr>
          <w:rFonts w:ascii="GHEA Grapalat" w:hAnsi="GHEA Grapalat"/>
          <w:b/>
          <w:bCs/>
          <w:color w:val="000000"/>
          <w:sz w:val="24"/>
          <w:szCs w:val="24"/>
        </w:rPr>
        <w:t>ՀՀ</w:t>
      </w:r>
      <w:proofErr w:type="gramEnd"/>
      <w:r w:rsidRPr="0083515B">
        <w:rPr>
          <w:rFonts w:ascii="GHEA Grapalat" w:hAnsi="GHEA Grapalat"/>
          <w:b/>
          <w:bCs/>
          <w:color w:val="000000"/>
          <w:sz w:val="24"/>
          <w:szCs w:val="24"/>
        </w:rPr>
        <w:t xml:space="preserve"> ԿԱՌԱՎԱՐՈՒԹՅԱՆ ՈՐՈՇՄԱՆ ՆԱԽԱԳԾ</w:t>
      </w:r>
      <w:r w:rsidR="00DD6369" w:rsidRPr="0083515B">
        <w:rPr>
          <w:rFonts w:ascii="GHEA Grapalat" w:hAnsi="GHEA Grapalat"/>
          <w:b/>
          <w:bCs/>
          <w:color w:val="000000"/>
          <w:sz w:val="24"/>
          <w:szCs w:val="24"/>
        </w:rPr>
        <w:t>Ի</w:t>
      </w: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7797"/>
        <w:gridCol w:w="7371"/>
      </w:tblGrid>
      <w:tr w:rsidR="004A260F" w:rsidRPr="004A260F" w:rsidTr="003A4779"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9A21ED" w:rsidRPr="004A260F" w:rsidRDefault="008F5644" w:rsidP="00F12C9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2C90"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 w:rsidR="00F12C90"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ֆ</w:t>
            </w:r>
            <w:r w:rsidR="0059082A"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ինանսների</w:t>
            </w:r>
            <w:proofErr w:type="spellEnd"/>
            <w:r w:rsidR="0059082A"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9082A"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7371" w:type="dxa"/>
            <w:shd w:val="clear" w:color="auto" w:fill="A6A6A6" w:themeFill="background1" w:themeFillShade="A6"/>
          </w:tcPr>
          <w:p w:rsidR="009A21ED" w:rsidRPr="004A260F" w:rsidRDefault="004A260F" w:rsidP="004A260F">
            <w:pPr>
              <w:pStyle w:val="ListParagraph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16.03.2023</w:t>
            </w:r>
            <w:r w:rsidR="00462537"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թ.</w:t>
            </w:r>
          </w:p>
        </w:tc>
      </w:tr>
      <w:tr w:rsidR="004A260F" w:rsidRPr="004A260F" w:rsidTr="003A4779">
        <w:trPr>
          <w:trHeight w:val="111"/>
        </w:trPr>
        <w:tc>
          <w:tcPr>
            <w:tcW w:w="7797" w:type="dxa"/>
            <w:vMerge/>
            <w:shd w:val="clear" w:color="auto" w:fill="A6A6A6" w:themeFill="background1" w:themeFillShade="A6"/>
          </w:tcPr>
          <w:p w:rsidR="009A21ED" w:rsidRPr="004A260F" w:rsidRDefault="009A21ED" w:rsidP="0046253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9A21ED" w:rsidRPr="004A260F" w:rsidRDefault="00462537" w:rsidP="004A260F">
            <w:pPr>
              <w:pStyle w:val="ListParagraph"/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  <w:r w:rsidR="002B1FC0"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01/</w:t>
            </w:r>
            <w:r w:rsid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9-1/4899-2023</w:t>
            </w:r>
          </w:p>
        </w:tc>
      </w:tr>
      <w:tr w:rsidR="004A260F" w:rsidRPr="004A260F" w:rsidTr="003A4779">
        <w:trPr>
          <w:trHeight w:val="616"/>
        </w:trPr>
        <w:tc>
          <w:tcPr>
            <w:tcW w:w="7797" w:type="dxa"/>
          </w:tcPr>
          <w:p w:rsidR="002B1FC0" w:rsidRPr="004A260F" w:rsidRDefault="002B1FC0" w:rsidP="0041107B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վերաբերյալ</w:t>
            </w:r>
            <w:proofErr w:type="spellEnd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առարկություններ</w:t>
            </w:r>
            <w:proofErr w:type="spellEnd"/>
            <w:r w:rsidR="004A260F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="004A260F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առաջարկություններ</w:t>
            </w:r>
            <w:proofErr w:type="spellEnd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չկան</w:t>
            </w:r>
            <w:proofErr w:type="spellEnd"/>
            <w:r w:rsidR="004A260F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</w:tcPr>
          <w:p w:rsidR="002B1FC0" w:rsidRPr="004A260F" w:rsidRDefault="002B1FC0" w:rsidP="002B1FC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31" w:firstLine="253"/>
              <w:jc w:val="both"/>
              <w:rPr>
                <w:rFonts w:ascii="GHEA Grapalat" w:eastAsiaTheme="minorHAnsi" w:hAnsi="GHEA Grapalat" w:cstheme="minorBidi"/>
                <w:color w:val="000000" w:themeColor="text1"/>
                <w:lang w:val="en-US" w:eastAsia="en-US"/>
              </w:rPr>
            </w:pPr>
            <w:proofErr w:type="spellStart"/>
            <w:r w:rsidRPr="004A260F">
              <w:rPr>
                <w:rFonts w:ascii="GHEA Grapalat" w:hAnsi="GHEA Grapalat"/>
                <w:color w:val="000000" w:themeColor="text1"/>
                <w:lang w:val="en-US"/>
              </w:rPr>
              <w:t>Ընդունվել</w:t>
            </w:r>
            <w:proofErr w:type="spellEnd"/>
            <w:r w:rsidRPr="004A260F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A260F">
              <w:rPr>
                <w:rFonts w:ascii="GHEA Grapalat" w:hAnsi="GHEA Grapalat"/>
                <w:color w:val="000000" w:themeColor="text1"/>
                <w:lang w:val="en-US"/>
              </w:rPr>
              <w:t>է</w:t>
            </w:r>
            <w:r w:rsidRPr="004A260F">
              <w:rPr>
                <w:rFonts w:ascii="GHEA Grapalat" w:hAnsi="GHEA Grapalat"/>
                <w:color w:val="000000" w:themeColor="text1"/>
              </w:rPr>
              <w:t>:</w:t>
            </w:r>
          </w:p>
        </w:tc>
      </w:tr>
      <w:tr w:rsidR="004A260F" w:rsidRPr="004A260F" w:rsidTr="003A4779"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2B1FC0" w:rsidRPr="004A260F" w:rsidRDefault="002B1FC0" w:rsidP="0041107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2. ՀՀ քաղաքաշինության կոմիտե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:rsidR="002B1FC0" w:rsidRPr="004A260F" w:rsidRDefault="004A260F" w:rsidP="002B1FC0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14.03.2023</w:t>
            </w:r>
            <w:r w:rsidR="002B1FC0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թ.</w:t>
            </w:r>
          </w:p>
        </w:tc>
      </w:tr>
      <w:tr w:rsidR="004A260F" w:rsidRPr="004A260F" w:rsidTr="003A4779">
        <w:tc>
          <w:tcPr>
            <w:tcW w:w="7797" w:type="dxa"/>
            <w:vMerge/>
            <w:shd w:val="clear" w:color="auto" w:fill="A6A6A6" w:themeFill="background1" w:themeFillShade="A6"/>
          </w:tcPr>
          <w:p w:rsidR="002B1FC0" w:rsidRPr="004A260F" w:rsidRDefault="002B1FC0" w:rsidP="0041107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2B1FC0" w:rsidRPr="004A260F" w:rsidRDefault="002B1FC0" w:rsidP="004A260F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         N</w:t>
            </w:r>
            <w:r w:rsidR="00016EB4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01/13/</w:t>
            </w:r>
            <w:r w:rsid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</w:t>
            </w:r>
            <w:r w:rsidR="00016EB4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8</w:t>
            </w:r>
            <w:r w:rsid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25</w:t>
            </w:r>
            <w:r w:rsidR="00016EB4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-202</w:t>
            </w:r>
            <w:r w:rsid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A260F" w:rsidRPr="004A260F" w:rsidTr="003A4779">
        <w:tc>
          <w:tcPr>
            <w:tcW w:w="7797" w:type="dxa"/>
          </w:tcPr>
          <w:p w:rsidR="002B1FC0" w:rsidRPr="00552C6F" w:rsidRDefault="004A260F" w:rsidP="0041107B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</w:t>
            </w: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ռաջարկ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հավելվածի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Հողամասը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սյունակում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կատարված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նշումները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համապատասխանեցնել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1-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կետի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դրույթներին</w:t>
            </w:r>
            <w:proofErr w:type="spellEnd"/>
            <w:r w:rsidR="0041107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` 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ընդհանուր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բաժնային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սեփականության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իրավունքով</w:t>
            </w:r>
            <w:proofErr w:type="spellEnd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հավասար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բաժիններով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41107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բառերը</w:t>
            </w:r>
            <w:proofErr w:type="spellEnd"/>
            <w:r w:rsidR="0041107B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107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փոխարինել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ընդհանուր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բաժնային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սեփականության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իրավունքով</w:t>
            </w:r>
            <w:proofErr w:type="spellEnd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բաժնեմասերով</w:t>
            </w:r>
            <w:proofErr w:type="spellEnd"/>
            <w:r w:rsidR="0041107B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1107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բառերով</w:t>
            </w:r>
            <w:proofErr w:type="spellEnd"/>
            <w:r w:rsidR="0041107B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</w:tcPr>
          <w:p w:rsidR="002B1FC0" w:rsidRPr="00552C6F" w:rsidRDefault="002B1FC0" w:rsidP="00EF120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31" w:firstLine="253"/>
              <w:jc w:val="both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4A260F">
              <w:rPr>
                <w:rFonts w:ascii="GHEA Grapalat" w:hAnsi="GHEA Grapalat"/>
                <w:color w:val="000000" w:themeColor="text1"/>
                <w:lang w:val="en-US"/>
              </w:rPr>
              <w:t>Ընդունվել</w:t>
            </w:r>
            <w:proofErr w:type="spellEnd"/>
            <w:r w:rsidRPr="004A260F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A260F">
              <w:rPr>
                <w:rFonts w:ascii="GHEA Grapalat" w:hAnsi="GHEA Grapalat"/>
                <w:color w:val="000000" w:themeColor="text1"/>
                <w:lang w:val="en-US"/>
              </w:rPr>
              <w:t>է</w:t>
            </w:r>
            <w:r w:rsidRPr="004A260F">
              <w:rPr>
                <w:rFonts w:ascii="GHEA Grapalat" w:hAnsi="GHEA Grapalat"/>
                <w:color w:val="000000" w:themeColor="text1"/>
              </w:rPr>
              <w:t>:</w:t>
            </w:r>
            <w:r w:rsidRPr="004A260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proofErr w:type="spellStart"/>
            <w:r w:rsidR="00BD0497">
              <w:rPr>
                <w:rFonts w:ascii="GHEA Grapalat" w:hAnsi="GHEA Grapalat"/>
                <w:color w:val="000000" w:themeColor="text1"/>
                <w:lang w:val="en-US"/>
              </w:rPr>
              <w:t>Կատարվել</w:t>
            </w:r>
            <w:proofErr w:type="spellEnd"/>
            <w:r w:rsidR="00BD0497" w:rsidRPr="00552C6F">
              <w:rPr>
                <w:rFonts w:ascii="GHEA Grapalat" w:hAnsi="GHEA Grapalat"/>
                <w:color w:val="000000" w:themeColor="text1"/>
              </w:rPr>
              <w:t xml:space="preserve"> </w:t>
            </w:r>
            <w:r w:rsidR="00BD0497">
              <w:rPr>
                <w:rFonts w:ascii="GHEA Grapalat" w:hAnsi="GHEA Grapalat"/>
                <w:color w:val="000000" w:themeColor="text1"/>
                <w:lang w:val="en-US"/>
              </w:rPr>
              <w:t>է</w:t>
            </w:r>
            <w:r w:rsidR="00BD0497" w:rsidRPr="00552C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BD0497">
              <w:rPr>
                <w:rFonts w:ascii="GHEA Grapalat" w:hAnsi="GHEA Grapalat"/>
                <w:color w:val="000000" w:themeColor="text1"/>
                <w:lang w:val="en-US"/>
              </w:rPr>
              <w:t>համապատասխան</w:t>
            </w:r>
            <w:proofErr w:type="spellEnd"/>
            <w:r w:rsidR="00BD0497" w:rsidRPr="00552C6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="00BD0497">
              <w:rPr>
                <w:rFonts w:ascii="GHEA Grapalat" w:hAnsi="GHEA Grapalat"/>
                <w:color w:val="000000" w:themeColor="text1"/>
                <w:lang w:val="en-US"/>
              </w:rPr>
              <w:t>փոփոխություն</w:t>
            </w:r>
            <w:proofErr w:type="spellEnd"/>
            <w:r w:rsidR="00BD0497" w:rsidRPr="00552C6F">
              <w:rPr>
                <w:rFonts w:ascii="GHEA Grapalat" w:hAnsi="GHEA Grapalat"/>
                <w:color w:val="000000" w:themeColor="text1"/>
              </w:rPr>
              <w:t>:</w:t>
            </w:r>
          </w:p>
        </w:tc>
      </w:tr>
      <w:tr w:rsidR="00EF120A" w:rsidRPr="004A260F" w:rsidTr="003A4779">
        <w:tc>
          <w:tcPr>
            <w:tcW w:w="7797" w:type="dxa"/>
          </w:tcPr>
          <w:p w:rsidR="00EF120A" w:rsidRPr="00552C6F" w:rsidRDefault="00EF120A" w:rsidP="0041107B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ՀՀ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քաղաքաշինության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կոմիտեի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կողմից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իրականացված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ծրագրերի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շրջանակներում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հավելվածում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նշված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անձանց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բնակարան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բնակելի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տուն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չի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հատկացվել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</w:tcPr>
          <w:p w:rsidR="00EF120A" w:rsidRDefault="00EF120A" w:rsidP="00EF120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31" w:firstLine="253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proofErr w:type="spellStart"/>
            <w:r w:rsidRPr="004A260F">
              <w:rPr>
                <w:rFonts w:ascii="GHEA Grapalat" w:hAnsi="GHEA Grapalat"/>
                <w:color w:val="000000" w:themeColor="text1"/>
                <w:lang w:val="en-US"/>
              </w:rPr>
              <w:t>Ընդունվել</w:t>
            </w:r>
            <w:proofErr w:type="spellEnd"/>
            <w:r w:rsidRPr="004A260F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A260F">
              <w:rPr>
                <w:rFonts w:ascii="GHEA Grapalat" w:hAnsi="GHEA Grapalat"/>
                <w:color w:val="000000" w:themeColor="text1"/>
                <w:lang w:val="en-US"/>
              </w:rPr>
              <w:t>է</w:t>
            </w:r>
            <w:r w:rsidRPr="004A260F">
              <w:rPr>
                <w:rFonts w:ascii="GHEA Grapalat" w:hAnsi="GHEA Grapalat"/>
                <w:color w:val="000000" w:themeColor="text1"/>
              </w:rPr>
              <w:t>:</w:t>
            </w:r>
          </w:p>
          <w:p w:rsidR="00EF120A" w:rsidRPr="004A260F" w:rsidRDefault="00EF120A" w:rsidP="00016EB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31" w:firstLine="253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</w:tr>
      <w:tr w:rsidR="004A260F" w:rsidRPr="004A260F" w:rsidTr="003A4779"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016EB4" w:rsidRPr="004A260F" w:rsidRDefault="00016EB4" w:rsidP="00016EB4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. ՀՀ կադաստրի կոմիտե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:rsidR="00016EB4" w:rsidRPr="004A260F" w:rsidRDefault="00EF120A" w:rsidP="00EF120A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10.</w:t>
            </w:r>
            <w:r w:rsidR="00016EB4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</w:t>
            </w:r>
            <w:r w:rsidR="00016EB4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.202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016EB4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թ.</w:t>
            </w:r>
          </w:p>
        </w:tc>
      </w:tr>
      <w:tr w:rsidR="004A260F" w:rsidRPr="004A260F" w:rsidTr="003A4779">
        <w:tc>
          <w:tcPr>
            <w:tcW w:w="7797" w:type="dxa"/>
            <w:vMerge/>
            <w:shd w:val="clear" w:color="auto" w:fill="A6A6A6" w:themeFill="background1" w:themeFillShade="A6"/>
          </w:tcPr>
          <w:p w:rsidR="00016EB4" w:rsidRPr="004A260F" w:rsidRDefault="00016EB4" w:rsidP="00016EB4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016EB4" w:rsidRPr="004A260F" w:rsidRDefault="00016EB4" w:rsidP="00EF120A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         NՍԹ/</w:t>
            </w:r>
            <w:r w:rsidR="00EF120A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3002</w:t>
            </w: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-202</w:t>
            </w:r>
            <w:r w:rsidR="00EF120A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A260F" w:rsidRPr="004A260F" w:rsidTr="003A4779">
        <w:trPr>
          <w:trHeight w:val="979"/>
        </w:trPr>
        <w:tc>
          <w:tcPr>
            <w:tcW w:w="7797" w:type="dxa"/>
            <w:shd w:val="clear" w:color="auto" w:fill="auto"/>
          </w:tcPr>
          <w:p w:rsidR="009152D1" w:rsidRPr="00552C6F" w:rsidRDefault="00EF120A" w:rsidP="00D2438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կից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ներկայացված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հավելվածում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բնակավայրերի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անվանումները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համապատասխան</w:t>
            </w:r>
            <w:r w:rsidR="00A90635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եցնել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թվականի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հունիսի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9-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««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Հայաստանի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Հանրապետության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վարչատարածքային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բաժանման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մասին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օրենքում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փոփոխություններ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կատարելու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մասին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ՀՀ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օրենքի</w:t>
            </w:r>
            <w:r w:rsidR="00A90635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ՀՕ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-266-</w:t>
            </w:r>
            <w:proofErr w:type="gram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proofErr w:type="gram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Ճոճկան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գյուղը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ընդգրկվել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Ալավերդի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կազմում</w:t>
            </w:r>
            <w:proofErr w:type="spellEnd"/>
            <w:r w:rsidR="00A90635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0635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="00A90635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A90635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թ</w:t>
            </w:r>
            <w:r w:rsidR="00A90635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սեպտեմբերի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24-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ընդունված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««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Հայաստանի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Հանրապետության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վարչատարածքային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բաժանման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մասին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օրենքում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փոփոխություններ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կատարելու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մասին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ՀՀ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օրենքի</w:t>
            </w:r>
            <w:r w:rsidR="00A90635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ՀՕ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-328-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</w:t>
            </w:r>
            <w:r w:rsidR="00A90635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Հակո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գյուղը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ընդգրկվել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Արևուտ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կազմում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հավելվածի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5-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, 6-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7-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կետերում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Ախթալա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համայնք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բառերը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փոխարինել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Ալավերդի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համայնք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բառերով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իսկ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8-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կետում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մարզ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,»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բառերից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հետո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լրացնել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Արևուտ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համայնք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,»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բառերը</w:t>
            </w:r>
            <w:proofErr w:type="spellEnd"/>
            <w:r w:rsidR="00A90635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7409C7" w:rsidRPr="00552C6F" w:rsidRDefault="00586A9B" w:rsidP="00B0749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Ընդունվել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Կատարվել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փոփոխություն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F120A" w:rsidRPr="004A260F" w:rsidTr="003A4779">
        <w:trPr>
          <w:trHeight w:val="979"/>
        </w:trPr>
        <w:tc>
          <w:tcPr>
            <w:tcW w:w="7797" w:type="dxa"/>
            <w:shd w:val="clear" w:color="auto" w:fill="auto"/>
          </w:tcPr>
          <w:p w:rsidR="00EF120A" w:rsidRPr="00552C6F" w:rsidRDefault="00A90635" w:rsidP="003D25CE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հավելվածում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ներկայացված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աղյուսակի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6-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տողում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նշված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ՀՀ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Լոռու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մարզ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Ախթալա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համայնք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Ճոճկան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, 6-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փողոց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39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շենք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բնակարան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հասցեում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գտնվող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88.4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քմ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մակերեսով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բնակարանի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նկատմամբ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գրանցված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այլ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անձանց</w:t>
            </w:r>
            <w:proofErr w:type="spellEnd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Ռուբեն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Մելիքսեթյանի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(1/3),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Արտակ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Մելիքսեթյանի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(1/2)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Սմբատ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Մելիքսեթյանի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(1/6)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ընդհանուր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բաժնային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սեփականության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իրավունքը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անշարժ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գույքի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նկատմամբ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իրավունքների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պետական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գրանցման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06112019-06-0015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վկայական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371" w:type="dxa"/>
            <w:shd w:val="clear" w:color="auto" w:fill="auto"/>
          </w:tcPr>
          <w:p w:rsidR="00EF120A" w:rsidRPr="00552C6F" w:rsidRDefault="003A4779" w:rsidP="00D2438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Ընդունվել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հավելվածում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ներկայացված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աղյուսակի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6-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տողում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նշված</w:t>
            </w:r>
            <w:proofErr w:type="spellEnd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Սվետլանա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Ղումաշյանի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ընտանիքի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կողմից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զբաղեցրած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բնակելի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տարածքի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հասցեն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հստակեցվել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է՝</w:t>
            </w:r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Լոռու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մարզ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Ախթալա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համայնք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Ճոճկան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, 6-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փողոց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39 </w:t>
            </w: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շենք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բնակարան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2: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Փաստաթղթերը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ներկայացվել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են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ճշտված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438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հասցեով</w:t>
            </w:r>
            <w:proofErr w:type="spellEnd"/>
            <w:r w:rsidR="00D24382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A8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Նախագծում</w:t>
            </w:r>
            <w:proofErr w:type="spellEnd"/>
            <w:r w:rsidR="00743A84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A8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կատարվել</w:t>
            </w:r>
            <w:proofErr w:type="spellEnd"/>
            <w:r w:rsidR="00743A84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3A8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="00743A84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A8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="00743A84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A8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փոփոխություն</w:t>
            </w:r>
            <w:proofErr w:type="spellEnd"/>
            <w:r w:rsidR="00743A84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4A260F" w:rsidRPr="004A260F" w:rsidTr="003A4779">
        <w:trPr>
          <w:trHeight w:val="405"/>
        </w:trPr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FF0D2B" w:rsidRPr="004A260F" w:rsidRDefault="00FF0D2B" w:rsidP="00240A53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 w:rsidR="00240A53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Արագածոտնի մարզպետարան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:rsidR="00FF0D2B" w:rsidRPr="004A260F" w:rsidRDefault="0051524D" w:rsidP="007C5561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21</w:t>
            </w:r>
            <w:r w:rsidR="00FF0D2B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02.2023</w:t>
            </w:r>
            <w:r w:rsidR="00FF0D2B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թ.</w:t>
            </w:r>
          </w:p>
        </w:tc>
      </w:tr>
      <w:tr w:rsidR="004A260F" w:rsidRPr="004A260F" w:rsidTr="003A4779">
        <w:trPr>
          <w:trHeight w:val="483"/>
        </w:trPr>
        <w:tc>
          <w:tcPr>
            <w:tcW w:w="7797" w:type="dxa"/>
            <w:vMerge/>
            <w:shd w:val="clear" w:color="auto" w:fill="A6A6A6" w:themeFill="background1" w:themeFillShade="A6"/>
          </w:tcPr>
          <w:p w:rsidR="00FF0D2B" w:rsidRPr="004A260F" w:rsidRDefault="00FF0D2B" w:rsidP="00FF0D2B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FF0D2B" w:rsidRPr="004A260F" w:rsidRDefault="00FF0D2B" w:rsidP="00F11263">
            <w:pPr>
              <w:pStyle w:val="ListParagraph"/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                           N</w:t>
            </w:r>
            <w:r w:rsidR="00F11263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01/5.1/00839-2023</w:t>
            </w:r>
          </w:p>
        </w:tc>
      </w:tr>
      <w:tr w:rsidR="004A260F" w:rsidRPr="004A260F" w:rsidTr="003A4779">
        <w:trPr>
          <w:trHeight w:val="964"/>
        </w:trPr>
        <w:tc>
          <w:tcPr>
            <w:tcW w:w="7797" w:type="dxa"/>
            <w:shd w:val="clear" w:color="auto" w:fill="auto"/>
          </w:tcPr>
          <w:p w:rsidR="00FF0D2B" w:rsidRPr="00552C6F" w:rsidRDefault="00FF0D2B" w:rsidP="00076D5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1A36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վերաբերյալ</w:t>
            </w:r>
            <w:proofErr w:type="spellEnd"/>
            <w:r w:rsidR="00311A36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1A36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դիտողություններ</w:t>
            </w:r>
            <w:proofErr w:type="spellEnd"/>
            <w:r w:rsidR="00311A36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A36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="00311A36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1A36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առաջարկություններ</w:t>
            </w:r>
            <w:proofErr w:type="spellEnd"/>
            <w:r w:rsidR="00311A36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1A36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չկան</w:t>
            </w:r>
            <w:proofErr w:type="spellEnd"/>
            <w:r w:rsidR="00311A36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854808" w:rsidRPr="003A4779" w:rsidRDefault="00FF0D2B" w:rsidP="00311A36">
            <w:pPr>
              <w:tabs>
                <w:tab w:val="left" w:pos="630"/>
                <w:tab w:val="left" w:pos="1170"/>
                <w:tab w:val="left" w:pos="1440"/>
              </w:tabs>
              <w:snapToGrid w:val="0"/>
              <w:spacing w:line="360" w:lineRule="auto"/>
              <w:ind w:left="28" w:firstLine="283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Ընդունվել է:</w:t>
            </w:r>
            <w:r w:rsidR="00854808"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A260F" w:rsidRPr="004A260F" w:rsidTr="003A4779">
        <w:trPr>
          <w:trHeight w:val="517"/>
        </w:trPr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F11263" w:rsidRPr="004A260F" w:rsidRDefault="00F11263" w:rsidP="00F11263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5. Լոռու մարզպետարան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:rsidR="00F11263" w:rsidRPr="004A260F" w:rsidRDefault="0051524D" w:rsidP="0051524D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22</w:t>
            </w:r>
            <w:r w:rsidR="00F11263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</w:t>
            </w: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02</w:t>
            </w:r>
            <w:r w:rsidR="00F11263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.202</w:t>
            </w: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</w:t>
            </w:r>
            <w:r w:rsidR="00F11263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թ.</w:t>
            </w:r>
          </w:p>
        </w:tc>
      </w:tr>
      <w:tr w:rsidR="004A260F" w:rsidRPr="004A260F" w:rsidTr="003A4779">
        <w:trPr>
          <w:trHeight w:val="566"/>
        </w:trPr>
        <w:tc>
          <w:tcPr>
            <w:tcW w:w="7797" w:type="dxa"/>
            <w:vMerge/>
            <w:shd w:val="clear" w:color="auto" w:fill="A6A6A6" w:themeFill="background1" w:themeFillShade="A6"/>
          </w:tcPr>
          <w:p w:rsidR="00F11263" w:rsidRPr="004A260F" w:rsidRDefault="00F11263" w:rsidP="00F11263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F11263" w:rsidRPr="004A260F" w:rsidRDefault="00F11263" w:rsidP="0051524D">
            <w:pPr>
              <w:pStyle w:val="ListParagraph"/>
              <w:spacing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                           N</w:t>
            </w:r>
            <w:r w:rsidR="0051524D" w:rsidRPr="004A260F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01/111.5/01268-2023</w:t>
            </w:r>
          </w:p>
        </w:tc>
      </w:tr>
      <w:tr w:rsidR="004A260F" w:rsidRPr="004A260F" w:rsidTr="003A4779">
        <w:trPr>
          <w:trHeight w:val="986"/>
        </w:trPr>
        <w:tc>
          <w:tcPr>
            <w:tcW w:w="7797" w:type="dxa"/>
            <w:shd w:val="clear" w:color="auto" w:fill="auto"/>
          </w:tcPr>
          <w:p w:rsidR="0051524D" w:rsidRPr="00552C6F" w:rsidRDefault="0051524D" w:rsidP="003D25C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վերաբերյալ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դիտողություններ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առաջարկություններ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չկան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51524D" w:rsidRPr="003A4779" w:rsidRDefault="0051524D" w:rsidP="0051524D">
            <w:pPr>
              <w:tabs>
                <w:tab w:val="left" w:pos="630"/>
                <w:tab w:val="left" w:pos="1170"/>
                <w:tab w:val="left" w:pos="1440"/>
              </w:tabs>
              <w:snapToGrid w:val="0"/>
              <w:spacing w:line="360" w:lineRule="auto"/>
              <w:ind w:left="28" w:firstLine="283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A4779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Ընդունվել է: </w:t>
            </w:r>
          </w:p>
        </w:tc>
      </w:tr>
      <w:tr w:rsidR="009A3874" w:rsidRPr="004A260F" w:rsidTr="009A3874">
        <w:trPr>
          <w:trHeight w:val="312"/>
        </w:trPr>
        <w:tc>
          <w:tcPr>
            <w:tcW w:w="7797" w:type="dxa"/>
            <w:vMerge w:val="restart"/>
            <w:shd w:val="clear" w:color="auto" w:fill="A6A6A6" w:themeFill="background1" w:themeFillShade="A6"/>
          </w:tcPr>
          <w:p w:rsidR="009A3874" w:rsidRPr="00552C6F" w:rsidRDefault="009A3874" w:rsidP="009A3874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  <w:r w:rsidRPr="00552C6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552C6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վարչապետի</w:t>
            </w:r>
            <w:proofErr w:type="spellEnd"/>
            <w:r w:rsidRPr="00552C6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աշխատակազմի</w:t>
            </w:r>
            <w:proofErr w:type="spellEnd"/>
            <w:r w:rsidRPr="00552C6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իրավաբանական</w:t>
            </w:r>
            <w:proofErr w:type="spellEnd"/>
            <w:r w:rsidRPr="00552C6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վարչության</w:t>
            </w:r>
            <w:proofErr w:type="spellEnd"/>
            <w:r w:rsidRPr="00552C6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եզրակացություն</w:t>
            </w:r>
            <w:proofErr w:type="spellEnd"/>
          </w:p>
        </w:tc>
        <w:tc>
          <w:tcPr>
            <w:tcW w:w="7371" w:type="dxa"/>
            <w:shd w:val="clear" w:color="auto" w:fill="A6A6A6" w:themeFill="background1" w:themeFillShade="A6"/>
          </w:tcPr>
          <w:p w:rsidR="009A3874" w:rsidRPr="009A3874" w:rsidRDefault="009A3874" w:rsidP="009A3874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12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.04</w:t>
            </w:r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.2022թ.</w:t>
            </w:r>
          </w:p>
        </w:tc>
      </w:tr>
      <w:tr w:rsidR="009A3874" w:rsidRPr="004A260F" w:rsidTr="009A3874">
        <w:trPr>
          <w:trHeight w:val="455"/>
        </w:trPr>
        <w:tc>
          <w:tcPr>
            <w:tcW w:w="7797" w:type="dxa"/>
            <w:vMerge/>
            <w:shd w:val="clear" w:color="auto" w:fill="auto"/>
          </w:tcPr>
          <w:p w:rsidR="009A3874" w:rsidRPr="009A3874" w:rsidRDefault="009A3874" w:rsidP="009A3874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9A3874" w:rsidRPr="009A3874" w:rsidRDefault="009A3874" w:rsidP="009A3874">
            <w:pPr>
              <w:pStyle w:val="ListParagraph"/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N02/16.32/12487-2023</w:t>
            </w:r>
          </w:p>
        </w:tc>
      </w:tr>
      <w:tr w:rsidR="009A3874" w:rsidRPr="00552C6F" w:rsidTr="003A4779">
        <w:trPr>
          <w:trHeight w:val="986"/>
        </w:trPr>
        <w:tc>
          <w:tcPr>
            <w:tcW w:w="7797" w:type="dxa"/>
            <w:shd w:val="clear" w:color="auto" w:fill="auto"/>
          </w:tcPr>
          <w:p w:rsidR="009A3874" w:rsidRPr="00552C6F" w:rsidRDefault="009A3874" w:rsidP="009A3874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3-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կետով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նախատեսվում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որ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(…)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ցանկով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նշված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մակերեսների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տարբերություններ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առաջանալու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դեպքում</w:t>
            </w:r>
            <w:proofErr w:type="spellEnd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հիմք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ընդունել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նշված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հասցեների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սահմանված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կարգով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գրանցված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վկայականի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հատակագծի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մակերեսը</w:t>
            </w:r>
            <w:proofErr w:type="spellEnd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մինչև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3%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թույլատրելի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շեղումով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մինչդեռ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Պետական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մարմիններին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ամրացված</w:t>
            </w:r>
            <w:proofErr w:type="spellEnd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՝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բնակելի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տարածքների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նվիրատվության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կարգը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հաստատելու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մասին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ՀՀ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կառավարության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2011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թվականի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մարտի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24-</w:t>
            </w:r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ի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305-</w:t>
            </w:r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որոշման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հավելված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1-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հաստատված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6-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կետով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մինչև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3%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թույլատրելի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շեղման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պահանջ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նախատեսված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87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չէ</w:t>
            </w:r>
            <w:proofErr w:type="spellEnd"/>
            <w:r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C342D5" w:rsidRDefault="00C342D5" w:rsidP="006263BF">
            <w:pPr>
              <w:tabs>
                <w:tab w:val="left" w:pos="630"/>
                <w:tab w:val="left" w:pos="1170"/>
                <w:tab w:val="left" w:pos="1440"/>
              </w:tabs>
              <w:snapToGrid w:val="0"/>
              <w:spacing w:line="360" w:lineRule="auto"/>
              <w:ind w:left="2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Չի ընդունվել:</w:t>
            </w:r>
          </w:p>
          <w:p w:rsidR="00427850" w:rsidRDefault="00552C6F" w:rsidP="006263BF">
            <w:pPr>
              <w:tabs>
                <w:tab w:val="left" w:pos="630"/>
                <w:tab w:val="left" w:pos="1170"/>
                <w:tab w:val="left" w:pos="1440"/>
              </w:tabs>
              <w:snapToGrid w:val="0"/>
              <w:spacing w:line="360" w:lineRule="auto"/>
              <w:ind w:left="2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Պարզաբանում.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A3874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նշված պահանջի հստակեցումը պայմանավորված է եղել այն հանգամանքով, որ </w:t>
            </w:r>
            <w:r w:rsidR="0059351B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մինչ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բնակելի տարած</w:t>
            </w:r>
            <w:r w:rsidR="00D80A0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 նվիրելու մասին ՀՀ կառավարության որոշման</w:t>
            </w:r>
            <w:r w:rsidR="0059351B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A3874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</w:t>
            </w:r>
            <w:r w:rsidR="009A3874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ծ 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շրջանառելը տարածքները հստակ չափագրվում են</w:t>
            </w:r>
            <w:r w:rsidR="006263BF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263BF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համապատասխան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մակերեսները տրամադրվում են բնակելի տարածքների վերադաս մարմինների կողմից, իսկ ՀՀ կառավարության կողմից որոշումն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263BF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այսուհետ՝ Որոշում</w:t>
            </w:r>
            <w:r w:rsidR="006263BF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ընդունելուց հետո բնակելի տարածքների բնակիչների հետ պայմանագրեր կնքելիս՝ առանձին բնակելի տարածքների հատակագծերը ներկայացվում են բնակիչների կողմից, ընդ որում շատ դեպքերում 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րոշումն ուժի մեջ մտնելուց որոշակի ժամանակ անց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263BF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կապված վերջիններիս ֆինանսական դրության հետ</w:t>
            </w:r>
            <w:r w:rsidR="006263BF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bookmarkStart w:id="0" w:name="_GoBack"/>
            <w:bookmarkEnd w:id="0"/>
            <w:r w:rsid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կարող են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առաջանալ 1-2 քմ մակերեսների 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տարբերություններ, տարբերություններ կարող են առաջանալ նաև տարածքների մնացորդի չափագրման դեպքում, որի արդյունքում նոտարական գրասենյակները պայմանագրերը չեն վավերացնում և անհրաժեշտություն է առաջանում </w:t>
            </w:r>
            <w:r w:rsidR="006263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</w:t>
            </w:r>
            <w:r w:rsidR="009A387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րոշումների մեջ կատարել՝ մակերեսների մասով փոփոխություններ:</w:t>
            </w:r>
          </w:p>
          <w:p w:rsidR="0059351B" w:rsidRPr="00552C6F" w:rsidRDefault="009A3874" w:rsidP="006263BF">
            <w:pPr>
              <w:tabs>
                <w:tab w:val="left" w:pos="630"/>
                <w:tab w:val="left" w:pos="1170"/>
                <w:tab w:val="left" w:pos="1440"/>
              </w:tabs>
              <w:snapToGrid w:val="0"/>
              <w:spacing w:line="360" w:lineRule="auto"/>
              <w:ind w:left="2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Կառավարությանը լրացուցիչ նախագծերով չծանրաբեռնելու</w:t>
            </w:r>
            <w:r w:rsid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ինչպես նաև նվիրառուների վրա լրացուցիչ ֆինանսական բեռ չդնելու </w:t>
            </w:r>
            <w:r w:rsidR="00427850" w:rsidRP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հաշվի առնելով վերջիններիս կողմից մի քանի անգամ </w:t>
            </w:r>
            <w:r w:rsidR="00427850" w:rsidRP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անշարժ գույքի միավորի վերաբերյալ </w:t>
            </w:r>
            <w:r w:rsid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միասնական տեղեկանք ներկայացնելու հանգամանքը</w:t>
            </w:r>
            <w:r w:rsidR="00427850" w:rsidRP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նպատակով, ինչպես նաև գրանցման և չափագրման կազմակերպման համապատասխան լիազորու</w:t>
            </w:r>
            <w:r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յուններով օժտված ստորաբաժանման հետ քննարկման արդյունքում բնակելի տարածքների նվիրատվության և սեփականաշնորհման վերաբերյալ նախագծերը </w:t>
            </w:r>
            <w:r w:rsidR="00D7252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նախատեսվել էր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</w:t>
            </w:r>
            <w:r w:rsid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 w:rsidR="00D7252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 w:rsidR="0059351B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՝ </w:t>
            </w:r>
            <w:r w:rsidR="0059351B" w:rsidRPr="00552C6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(…) </w:t>
            </w:r>
            <w:r w:rsidR="0059351B" w:rsidRPr="00552C6F"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 w:eastAsia="ru-RU"/>
              </w:rPr>
              <w:t>ցանկով նշված մակերեսների տարբերություններ առաջանալու դեպքում՝ հիմք ընդունել նշված հասցեների սահմանված կարգով գրանցված համապատասխան վկայականի հատակագծի մակերեսը՝</w:t>
            </w:r>
            <w:r w:rsidR="0059351B" w:rsidRPr="0059351B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 1-3% թույլատրելի շեղումով</w:t>
            </w:r>
            <w:r w:rsidR="00D7252B" w:rsidRPr="00552C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արտահայտությամբ:</w:t>
            </w:r>
          </w:p>
          <w:p w:rsidR="009A3874" w:rsidRDefault="0059351B" w:rsidP="0059351B">
            <w:pPr>
              <w:tabs>
                <w:tab w:val="left" w:pos="630"/>
                <w:tab w:val="left" w:pos="1170"/>
                <w:tab w:val="left" w:pos="1440"/>
              </w:tabs>
              <w:snapToGrid w:val="0"/>
              <w:spacing w:line="360" w:lineRule="auto"/>
              <w:ind w:left="2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5823AE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Ֆինանսատնտեսական նախարարական կոմիտեի </w:t>
            </w:r>
            <w:r w:rsidR="00D7252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2022 թվականի դեկտեմբերի 20-ի </w:t>
            </w:r>
            <w:r w:rsidRPr="005823AE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նիստ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առաջարկվել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էր</w:t>
            </w:r>
            <w:proofErr w:type="spellEnd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9351B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«1-3% թույլատրելի շեղումով» արտահայտությունը փոխարինել «մինչև </w:t>
            </w:r>
            <w:r w:rsidRPr="0059351B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>3% թույլատրելի շեղումով» արտահայտությամբ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D7252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Նախագիծը լրամշակվել էր,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նախապատրաստվող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0FB4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ախագծերում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ներառվ</w:t>
            </w:r>
            <w:proofErr w:type="spellEnd"/>
            <w:r w:rsidR="00E9702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9702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</w:t>
            </w:r>
            <w:r w:rsidR="00D46CB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ձևակերպմամբ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  <w:p w:rsidR="0059351B" w:rsidRPr="0059351B" w:rsidRDefault="0059351B" w:rsidP="00427850">
            <w:pPr>
              <w:tabs>
                <w:tab w:val="left" w:pos="630"/>
                <w:tab w:val="left" w:pos="1170"/>
                <w:tab w:val="left" w:pos="1440"/>
              </w:tabs>
              <w:snapToGrid w:val="0"/>
              <w:spacing w:line="360" w:lineRule="auto"/>
              <w:ind w:left="28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9351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Միաժամանակ հայտնում ենք, որ </w:t>
            </w:r>
            <w:r w:rsidR="0042785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նախագծերը համաձայնեցվում են նաև Կադաստրի կոմիտեի հետ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</w:tbl>
    <w:p w:rsidR="00DA1D21" w:rsidRPr="004A260F" w:rsidRDefault="00DA1D21" w:rsidP="00325A89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sectPr w:rsidR="00DA1D21" w:rsidRPr="004A260F" w:rsidSect="00B6354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FD5"/>
    <w:multiLevelType w:val="hybridMultilevel"/>
    <w:tmpl w:val="DABC20F8"/>
    <w:lvl w:ilvl="0" w:tplc="A89A8D5E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66707D"/>
    <w:multiLevelType w:val="hybridMultilevel"/>
    <w:tmpl w:val="D31A1C78"/>
    <w:lvl w:ilvl="0" w:tplc="CA7461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BCC2ACB"/>
    <w:multiLevelType w:val="hybridMultilevel"/>
    <w:tmpl w:val="49BC267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8B085B"/>
    <w:multiLevelType w:val="hybridMultilevel"/>
    <w:tmpl w:val="62C44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765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9EC6D67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BD16ED1"/>
    <w:multiLevelType w:val="hybridMultilevel"/>
    <w:tmpl w:val="32068B58"/>
    <w:lvl w:ilvl="0" w:tplc="E08015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703C"/>
    <w:multiLevelType w:val="hybridMultilevel"/>
    <w:tmpl w:val="857C6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5C5"/>
    <w:multiLevelType w:val="hybridMultilevel"/>
    <w:tmpl w:val="2148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F86"/>
    <w:multiLevelType w:val="hybridMultilevel"/>
    <w:tmpl w:val="6C1E42B6"/>
    <w:lvl w:ilvl="0" w:tplc="9526543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67408"/>
    <w:multiLevelType w:val="hybridMultilevel"/>
    <w:tmpl w:val="192401A8"/>
    <w:lvl w:ilvl="0" w:tplc="95F682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1E36D9D"/>
    <w:multiLevelType w:val="hybridMultilevel"/>
    <w:tmpl w:val="7AF0E068"/>
    <w:lvl w:ilvl="0" w:tplc="C5F6F7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EA138CE"/>
    <w:multiLevelType w:val="hybridMultilevel"/>
    <w:tmpl w:val="2218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1"/>
    <w:rsid w:val="00000219"/>
    <w:rsid w:val="00013A5F"/>
    <w:rsid w:val="00016EB4"/>
    <w:rsid w:val="00023F6B"/>
    <w:rsid w:val="00040EF1"/>
    <w:rsid w:val="0004606D"/>
    <w:rsid w:val="00051DAE"/>
    <w:rsid w:val="00074B3C"/>
    <w:rsid w:val="00076D56"/>
    <w:rsid w:val="000A4C15"/>
    <w:rsid w:val="000B6C50"/>
    <w:rsid w:val="000B700E"/>
    <w:rsid w:val="000D05FA"/>
    <w:rsid w:val="000D5327"/>
    <w:rsid w:val="00107FD9"/>
    <w:rsid w:val="00143AF9"/>
    <w:rsid w:val="001465A4"/>
    <w:rsid w:val="00153D1B"/>
    <w:rsid w:val="00160D30"/>
    <w:rsid w:val="00164205"/>
    <w:rsid w:val="001808FF"/>
    <w:rsid w:val="00181295"/>
    <w:rsid w:val="001918AB"/>
    <w:rsid w:val="001939D3"/>
    <w:rsid w:val="001A0E13"/>
    <w:rsid w:val="001C25CF"/>
    <w:rsid w:val="001E3D27"/>
    <w:rsid w:val="001F63A1"/>
    <w:rsid w:val="00201C9B"/>
    <w:rsid w:val="00213887"/>
    <w:rsid w:val="002176AF"/>
    <w:rsid w:val="002267CC"/>
    <w:rsid w:val="00240A53"/>
    <w:rsid w:val="00272CC2"/>
    <w:rsid w:val="00282799"/>
    <w:rsid w:val="00292610"/>
    <w:rsid w:val="0029543B"/>
    <w:rsid w:val="0029647B"/>
    <w:rsid w:val="002B1FC0"/>
    <w:rsid w:val="002D5D6E"/>
    <w:rsid w:val="002E087A"/>
    <w:rsid w:val="00305AF4"/>
    <w:rsid w:val="00311A36"/>
    <w:rsid w:val="00325A89"/>
    <w:rsid w:val="00344D2A"/>
    <w:rsid w:val="00361328"/>
    <w:rsid w:val="00363A63"/>
    <w:rsid w:val="00366049"/>
    <w:rsid w:val="003757F8"/>
    <w:rsid w:val="00391790"/>
    <w:rsid w:val="00392752"/>
    <w:rsid w:val="003A4779"/>
    <w:rsid w:val="003B298F"/>
    <w:rsid w:val="003D1CC1"/>
    <w:rsid w:val="003D25CE"/>
    <w:rsid w:val="003D48C8"/>
    <w:rsid w:val="003F690F"/>
    <w:rsid w:val="0041107B"/>
    <w:rsid w:val="004254A0"/>
    <w:rsid w:val="00427850"/>
    <w:rsid w:val="00433935"/>
    <w:rsid w:val="004403B2"/>
    <w:rsid w:val="00444E5E"/>
    <w:rsid w:val="00445FED"/>
    <w:rsid w:val="00462232"/>
    <w:rsid w:val="00462537"/>
    <w:rsid w:val="00462FAE"/>
    <w:rsid w:val="00472941"/>
    <w:rsid w:val="00497973"/>
    <w:rsid w:val="004A260F"/>
    <w:rsid w:val="004A2660"/>
    <w:rsid w:val="004B0D1A"/>
    <w:rsid w:val="004C6CE1"/>
    <w:rsid w:val="00505084"/>
    <w:rsid w:val="0051524D"/>
    <w:rsid w:val="00524C1B"/>
    <w:rsid w:val="0052564C"/>
    <w:rsid w:val="00527A7C"/>
    <w:rsid w:val="005317EA"/>
    <w:rsid w:val="0054788A"/>
    <w:rsid w:val="00552C6F"/>
    <w:rsid w:val="005819F4"/>
    <w:rsid w:val="00586A9B"/>
    <w:rsid w:val="0059082A"/>
    <w:rsid w:val="0059351B"/>
    <w:rsid w:val="006001A1"/>
    <w:rsid w:val="00600483"/>
    <w:rsid w:val="00622B1D"/>
    <w:rsid w:val="00625BCE"/>
    <w:rsid w:val="006263BF"/>
    <w:rsid w:val="006330CC"/>
    <w:rsid w:val="00651907"/>
    <w:rsid w:val="00664A89"/>
    <w:rsid w:val="006740A1"/>
    <w:rsid w:val="00677B3D"/>
    <w:rsid w:val="006A4139"/>
    <w:rsid w:val="006C130B"/>
    <w:rsid w:val="006C482E"/>
    <w:rsid w:val="0070037F"/>
    <w:rsid w:val="0070646E"/>
    <w:rsid w:val="0071002E"/>
    <w:rsid w:val="00715336"/>
    <w:rsid w:val="00717366"/>
    <w:rsid w:val="00723AFC"/>
    <w:rsid w:val="00737104"/>
    <w:rsid w:val="007404B9"/>
    <w:rsid w:val="007409C7"/>
    <w:rsid w:val="00743093"/>
    <w:rsid w:val="00743A84"/>
    <w:rsid w:val="00743A9C"/>
    <w:rsid w:val="0075684F"/>
    <w:rsid w:val="00765608"/>
    <w:rsid w:val="00766308"/>
    <w:rsid w:val="0077489D"/>
    <w:rsid w:val="007A6A03"/>
    <w:rsid w:val="007B186D"/>
    <w:rsid w:val="007B1FC3"/>
    <w:rsid w:val="007B2FEB"/>
    <w:rsid w:val="007C5561"/>
    <w:rsid w:val="007C5E75"/>
    <w:rsid w:val="007D140F"/>
    <w:rsid w:val="007D27A4"/>
    <w:rsid w:val="00801BF9"/>
    <w:rsid w:val="00804BEF"/>
    <w:rsid w:val="00821219"/>
    <w:rsid w:val="00825BDC"/>
    <w:rsid w:val="0083515B"/>
    <w:rsid w:val="00854808"/>
    <w:rsid w:val="00865E3A"/>
    <w:rsid w:val="00885CBE"/>
    <w:rsid w:val="00887E71"/>
    <w:rsid w:val="008A29FD"/>
    <w:rsid w:val="008B260D"/>
    <w:rsid w:val="008E0A45"/>
    <w:rsid w:val="008E29AC"/>
    <w:rsid w:val="008E67F4"/>
    <w:rsid w:val="008F5644"/>
    <w:rsid w:val="008F7119"/>
    <w:rsid w:val="00912E76"/>
    <w:rsid w:val="009152D1"/>
    <w:rsid w:val="00921AA3"/>
    <w:rsid w:val="00931D29"/>
    <w:rsid w:val="00932828"/>
    <w:rsid w:val="0095445E"/>
    <w:rsid w:val="00964D2C"/>
    <w:rsid w:val="00975AAF"/>
    <w:rsid w:val="00986ED8"/>
    <w:rsid w:val="0099184F"/>
    <w:rsid w:val="009A21ED"/>
    <w:rsid w:val="009A234D"/>
    <w:rsid w:val="009A3874"/>
    <w:rsid w:val="009B1464"/>
    <w:rsid w:val="009F6632"/>
    <w:rsid w:val="009F7843"/>
    <w:rsid w:val="00A018F7"/>
    <w:rsid w:val="00A0425C"/>
    <w:rsid w:val="00A44DF1"/>
    <w:rsid w:val="00A647E5"/>
    <w:rsid w:val="00A64C73"/>
    <w:rsid w:val="00A85B18"/>
    <w:rsid w:val="00A90635"/>
    <w:rsid w:val="00A9386B"/>
    <w:rsid w:val="00AA5A85"/>
    <w:rsid w:val="00AB08BE"/>
    <w:rsid w:val="00AC04E8"/>
    <w:rsid w:val="00AD0B72"/>
    <w:rsid w:val="00B07492"/>
    <w:rsid w:val="00B0781B"/>
    <w:rsid w:val="00B14920"/>
    <w:rsid w:val="00B312E0"/>
    <w:rsid w:val="00B364EB"/>
    <w:rsid w:val="00B37367"/>
    <w:rsid w:val="00B41F2F"/>
    <w:rsid w:val="00B63549"/>
    <w:rsid w:val="00B733B4"/>
    <w:rsid w:val="00B81871"/>
    <w:rsid w:val="00B91DE2"/>
    <w:rsid w:val="00B97B75"/>
    <w:rsid w:val="00BA02C6"/>
    <w:rsid w:val="00BA350D"/>
    <w:rsid w:val="00BB6CC3"/>
    <w:rsid w:val="00BC0ECE"/>
    <w:rsid w:val="00BC5269"/>
    <w:rsid w:val="00BD0497"/>
    <w:rsid w:val="00BE29DB"/>
    <w:rsid w:val="00BF6E2D"/>
    <w:rsid w:val="00C10FB4"/>
    <w:rsid w:val="00C342D5"/>
    <w:rsid w:val="00C4383B"/>
    <w:rsid w:val="00C45295"/>
    <w:rsid w:val="00C60E46"/>
    <w:rsid w:val="00C65590"/>
    <w:rsid w:val="00C85FE6"/>
    <w:rsid w:val="00C9132B"/>
    <w:rsid w:val="00CA3832"/>
    <w:rsid w:val="00CF61A6"/>
    <w:rsid w:val="00CF6CCF"/>
    <w:rsid w:val="00D01A7D"/>
    <w:rsid w:val="00D03755"/>
    <w:rsid w:val="00D24382"/>
    <w:rsid w:val="00D328FB"/>
    <w:rsid w:val="00D40617"/>
    <w:rsid w:val="00D42A75"/>
    <w:rsid w:val="00D46CB8"/>
    <w:rsid w:val="00D46D2D"/>
    <w:rsid w:val="00D55CAA"/>
    <w:rsid w:val="00D7252B"/>
    <w:rsid w:val="00D75C54"/>
    <w:rsid w:val="00D80A06"/>
    <w:rsid w:val="00D836B6"/>
    <w:rsid w:val="00DA1D21"/>
    <w:rsid w:val="00DA2944"/>
    <w:rsid w:val="00DD6369"/>
    <w:rsid w:val="00DF2E16"/>
    <w:rsid w:val="00DF6285"/>
    <w:rsid w:val="00E01ED1"/>
    <w:rsid w:val="00E0425E"/>
    <w:rsid w:val="00E14785"/>
    <w:rsid w:val="00E20598"/>
    <w:rsid w:val="00E27113"/>
    <w:rsid w:val="00E37555"/>
    <w:rsid w:val="00E47DB3"/>
    <w:rsid w:val="00E53F6C"/>
    <w:rsid w:val="00E55F0F"/>
    <w:rsid w:val="00E81104"/>
    <w:rsid w:val="00E90004"/>
    <w:rsid w:val="00E95EFF"/>
    <w:rsid w:val="00E97024"/>
    <w:rsid w:val="00EB422D"/>
    <w:rsid w:val="00EC38A4"/>
    <w:rsid w:val="00EC477A"/>
    <w:rsid w:val="00EE47A1"/>
    <w:rsid w:val="00EF120A"/>
    <w:rsid w:val="00F007DC"/>
    <w:rsid w:val="00F11263"/>
    <w:rsid w:val="00F12C90"/>
    <w:rsid w:val="00FB267B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A66E"/>
  <w15:chartTrackingRefBased/>
  <w15:docId w15:val="{0544F59F-6792-4100-A3EA-71FC333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B700E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D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A1D21"/>
    <w:rPr>
      <w:b/>
      <w:bCs/>
    </w:rPr>
  </w:style>
  <w:style w:type="table" w:styleId="TableGrid">
    <w:name w:val="Table Grid"/>
    <w:basedOn w:val="TableNormal"/>
    <w:uiPriority w:val="39"/>
    <w:rsid w:val="009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9A21E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D55CAA"/>
  </w:style>
  <w:style w:type="character" w:customStyle="1" w:styleId="Heading2Char">
    <w:name w:val="Heading 2 Char"/>
    <w:basedOn w:val="DefaultParagraphFont"/>
    <w:link w:val="Heading2"/>
    <w:uiPriority w:val="9"/>
    <w:rsid w:val="000B700E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43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213887"/>
    <w:pPr>
      <w:spacing w:after="0" w:line="240" w:lineRule="auto"/>
      <w:jc w:val="both"/>
    </w:pPr>
    <w:rPr>
      <w:rFonts w:ascii="Arial Armenian" w:eastAsia="MS Mincho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3887"/>
    <w:rPr>
      <w:rFonts w:ascii="Arial Armenian" w:eastAsia="MS Mincho" w:hAnsi="Arial Armeni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8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nhideWhenUsed/>
    <w:rsid w:val="008F7119"/>
    <w:pPr>
      <w:tabs>
        <w:tab w:val="left" w:pos="10260"/>
      </w:tabs>
      <w:spacing w:after="0" w:line="240" w:lineRule="auto"/>
      <w:ind w:left="990" w:right="270" w:firstLine="990"/>
      <w:jc w:val="both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C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21C5-DAAC-40F3-B61E-4853C3B5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Karine Ghulyan</cp:lastModifiedBy>
  <cp:revision>18</cp:revision>
  <cp:lastPrinted>2023-04-13T08:07:00Z</cp:lastPrinted>
  <dcterms:created xsi:type="dcterms:W3CDTF">2023-03-24T13:05:00Z</dcterms:created>
  <dcterms:modified xsi:type="dcterms:W3CDTF">2023-04-13T11:25:00Z</dcterms:modified>
</cp:coreProperties>
</file>