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AA5" w:rsidRDefault="009C0AA5" w:rsidP="00C15CF0">
      <w:pPr>
        <w:spacing w:after="60" w:line="276" w:lineRule="auto"/>
        <w:ind w:firstLine="72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C15CF0" w:rsidRDefault="00C15CF0" w:rsidP="00C15CF0">
      <w:pPr>
        <w:spacing w:after="60" w:line="276" w:lineRule="auto"/>
        <w:ind w:firstLine="720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p w:rsidR="009C0AA5" w:rsidRPr="009C0AA5" w:rsidRDefault="009C0AA5" w:rsidP="00C15CF0">
      <w:pPr>
        <w:spacing w:after="60" w:line="276" w:lineRule="auto"/>
        <w:jc w:val="center"/>
        <w:rPr>
          <w:rFonts w:ascii="GHEA Grapalat" w:hAnsi="GHEA Grapalat" w:cs="GHEA Grapalat"/>
          <w:b/>
          <w:lang w:val="hy-AM"/>
        </w:rPr>
      </w:pPr>
      <w:r w:rsidRPr="009C0AA5">
        <w:rPr>
          <w:rFonts w:ascii="GHEA Grapalat" w:hAnsi="GHEA Grapalat" w:cs="GHEA Grapalat"/>
          <w:b/>
          <w:lang w:val="hy-AM"/>
        </w:rPr>
        <w:t>«</w:t>
      </w:r>
      <w:r w:rsidRPr="009C0AA5">
        <w:rPr>
          <w:rFonts w:ascii="GHEA Grapalat" w:hAnsi="GHEA Grapalat"/>
          <w:b/>
          <w:lang w:val="hy-AM"/>
        </w:rPr>
        <w:t>ԵԱՏՄ անդամ պետությունների բորսաներում արժեթղթերի տեղաբաշխման և շրջանառության փոխադարձ թույլտվության մասի</w:t>
      </w:r>
      <w:r w:rsidRPr="009C0AA5">
        <w:rPr>
          <w:rFonts w:ascii="GHEA Grapalat" w:hAnsi="GHEA Grapalat" w:cs="GHEA Grapalat"/>
          <w:b/>
          <w:lang w:val="hy-AM"/>
        </w:rPr>
        <w:t xml:space="preserve">ն» </w:t>
      </w:r>
      <w:r>
        <w:rPr>
          <w:rFonts w:ascii="GHEA Grapalat" w:hAnsi="GHEA Grapalat" w:cs="GHEA Grapalat"/>
          <w:b/>
          <w:lang w:val="hy-AM"/>
        </w:rPr>
        <w:t>հ</w:t>
      </w:r>
      <w:r w:rsidRPr="009C0AA5">
        <w:rPr>
          <w:rFonts w:ascii="GHEA Grapalat" w:hAnsi="GHEA Grapalat" w:cs="GHEA Grapalat"/>
          <w:b/>
          <w:lang w:val="hy-AM"/>
        </w:rPr>
        <w:t>ամաձայնագրի նախագծի ստորագրման նպատակահարմարության վերաբերյալ</w:t>
      </w:r>
    </w:p>
    <w:p w:rsidR="004A76A0" w:rsidRDefault="004A76A0" w:rsidP="00C15CF0">
      <w:pPr>
        <w:spacing w:after="60" w:line="276" w:lineRule="auto"/>
        <w:rPr>
          <w:rFonts w:ascii="Sylfaen" w:hAnsi="Sylfaen"/>
          <w:lang w:val="hy-AM"/>
        </w:rPr>
      </w:pPr>
    </w:p>
    <w:p w:rsidR="00C15CF0" w:rsidRDefault="00C15CF0" w:rsidP="00C15CF0">
      <w:pPr>
        <w:spacing w:after="60" w:line="276" w:lineRule="auto"/>
        <w:rPr>
          <w:rFonts w:ascii="Sylfaen" w:hAnsi="Sylfaen"/>
          <w:lang w:val="hy-AM"/>
        </w:rPr>
      </w:pPr>
    </w:p>
    <w:p w:rsidR="009C0AA5" w:rsidRDefault="009C0AA5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DB12A4">
        <w:rPr>
          <w:rFonts w:ascii="GHEA Grapalat" w:hAnsi="GHEA Grapalat"/>
          <w:lang w:val="hy-AM"/>
        </w:rPr>
        <w:t>ԵԱՏՄ անդամ պետությունների բորսաներում արժեթղթերի տեղաբաշխման և շրջանառության փոխադարձ թույլտվության մասին</w:t>
      </w:r>
      <w:r>
        <w:rPr>
          <w:rFonts w:ascii="GHEA Grapalat" w:hAnsi="GHEA Grapalat"/>
          <w:lang w:val="hy-AM"/>
        </w:rPr>
        <w:t>» հ</w:t>
      </w:r>
      <w:r w:rsidRPr="00DB12A4">
        <w:rPr>
          <w:rFonts w:ascii="GHEA Grapalat" w:hAnsi="GHEA Grapalat"/>
          <w:lang w:val="hy-AM"/>
        </w:rPr>
        <w:t>ամաձայնագ</w:t>
      </w:r>
      <w:r>
        <w:rPr>
          <w:rFonts w:ascii="GHEA Grapalat" w:hAnsi="GHEA Grapalat"/>
          <w:lang w:val="hy-AM"/>
        </w:rPr>
        <w:t>ի</w:t>
      </w:r>
      <w:r w:rsidRPr="00DB12A4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>ը</w:t>
      </w:r>
      <w:r w:rsidRPr="000D7042">
        <w:rPr>
          <w:rFonts w:ascii="GHEA Grapalat" w:hAnsi="GHEA Grapalat"/>
          <w:lang w:val="hy-AM"/>
        </w:rPr>
        <w:t xml:space="preserve"> (</w:t>
      </w:r>
      <w:r>
        <w:rPr>
          <w:rFonts w:ascii="GHEA Grapalat" w:hAnsi="GHEA Grapalat"/>
          <w:lang w:val="hy-AM"/>
        </w:rPr>
        <w:t>այսուհետ՝ Համաձայնագիր</w:t>
      </w:r>
      <w:r w:rsidRPr="000D7042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մշակվել է Եվրասիական տնտեսական հանձնաժողովի ֆինանսական դեպարտամենտի և անդամ պետությունների արժեթղթերի շուկաների կարգավորողների կողմից</w:t>
      </w:r>
      <w:r w:rsidRPr="001306C2">
        <w:rPr>
          <w:rFonts w:ascii="GHEA Grapalat" w:hAnsi="GHEA Grapalat"/>
          <w:lang w:val="hy-AM"/>
        </w:rPr>
        <w:t>, որպես «Բրոքեր-դիլեր» պիլոտային նախագծի («ԵԱՏՄ մեկ անդամ պետության բրոքերների և դիլերների՝ այլ անդամ պետությունների բորսաներ մուտքի մասին» համաձայնագիր) շարունակություն։</w:t>
      </w:r>
      <w:r>
        <w:rPr>
          <w:rFonts w:ascii="GHEA Grapalat" w:hAnsi="GHEA Grapalat"/>
          <w:lang w:val="hy-AM"/>
        </w:rPr>
        <w:t xml:space="preserve"> </w:t>
      </w:r>
    </w:p>
    <w:p w:rsidR="009C0AA5" w:rsidRDefault="009C0AA5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0D7042">
        <w:rPr>
          <w:rFonts w:ascii="GHEA Grapalat" w:hAnsi="GHEA Grapalat"/>
          <w:lang w:val="hy-AM"/>
        </w:rPr>
        <w:t>Համաձայնագրի նպատակն է ապահովել ԵԱՏՄ անդամ պետություններում ցուցակված արժեթղթերի տեղաբաշխումը և շրջանառությունը</w:t>
      </w:r>
      <w:r>
        <w:rPr>
          <w:rFonts w:ascii="GHEA Grapalat" w:hAnsi="GHEA Grapalat"/>
          <w:lang w:val="hy-AM"/>
        </w:rPr>
        <w:t xml:space="preserve"> </w:t>
      </w:r>
      <w:r w:rsidRPr="000D7042">
        <w:rPr>
          <w:rFonts w:ascii="GHEA Grapalat" w:hAnsi="GHEA Grapalat"/>
          <w:lang w:val="hy-AM"/>
        </w:rPr>
        <w:t>ԵԱՏՄ անդամ մյուս երկրներում</w:t>
      </w:r>
      <w:r>
        <w:rPr>
          <w:rFonts w:ascii="GHEA Grapalat" w:hAnsi="GHEA Grapalat"/>
          <w:lang w:val="hy-AM"/>
        </w:rPr>
        <w:t xml:space="preserve">, ինչի արդյունքում </w:t>
      </w:r>
      <w:r w:rsidRPr="000D7042">
        <w:rPr>
          <w:rFonts w:ascii="GHEA Grapalat" w:hAnsi="GHEA Grapalat"/>
          <w:lang w:val="hy-AM"/>
        </w:rPr>
        <w:t>թողարկողներ</w:t>
      </w:r>
      <w:r>
        <w:rPr>
          <w:rFonts w:ascii="GHEA Grapalat" w:hAnsi="GHEA Grapalat"/>
          <w:lang w:val="hy-AM"/>
        </w:rPr>
        <w:t>ի համար ներդրումային միջոցների</w:t>
      </w:r>
      <w:r w:rsidRPr="002A237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ներգրավման նոր հնարավորություններ են ստեղծվում։</w:t>
      </w:r>
    </w:p>
    <w:p w:rsidR="009C0AA5" w:rsidRPr="001306C2" w:rsidRDefault="009C0AA5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1306C2">
        <w:rPr>
          <w:rFonts w:ascii="GHEA Grapalat" w:hAnsi="GHEA Grapalat"/>
          <w:lang w:val="hy-AM"/>
        </w:rPr>
        <w:t>Համաձայնագրով սահմանված հիմնական սկզբունքներն են.</w:t>
      </w:r>
    </w:p>
    <w:p w:rsidR="009C0AA5" w:rsidRPr="001306C2" w:rsidRDefault="009C0AA5" w:rsidP="00C15CF0">
      <w:pPr>
        <w:pStyle w:val="ListParagraph"/>
        <w:numPr>
          <w:ilvl w:val="0"/>
          <w:numId w:val="1"/>
        </w:numPr>
        <w:spacing w:after="6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06C2">
        <w:rPr>
          <w:rFonts w:ascii="GHEA Grapalat" w:hAnsi="GHEA Grapalat" w:cs="Sylfaen"/>
          <w:sz w:val="24"/>
          <w:szCs w:val="24"/>
          <w:lang w:val="hy-AM"/>
        </w:rPr>
        <w:t>արժեթղթերի ոչ խտրական «մուտք» ԵԱՏՄ ընդհանուր բորսայական տարածք,</w:t>
      </w:r>
    </w:p>
    <w:p w:rsidR="009C0AA5" w:rsidRPr="001306C2" w:rsidRDefault="009C0AA5" w:rsidP="00C15CF0">
      <w:pPr>
        <w:pStyle w:val="ListParagraph"/>
        <w:numPr>
          <w:ilvl w:val="0"/>
          <w:numId w:val="1"/>
        </w:numPr>
        <w:spacing w:after="6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06C2">
        <w:rPr>
          <w:rFonts w:ascii="GHEA Grapalat" w:hAnsi="GHEA Grapalat" w:cs="Sylfaen"/>
          <w:sz w:val="24"/>
          <w:szCs w:val="24"/>
          <w:lang w:val="hy-AM"/>
        </w:rPr>
        <w:t>արժեթղթերի շրջանառության, ինչպես նաև առաջնային տեղաբաշխման հնարավորություն։</w:t>
      </w:r>
    </w:p>
    <w:p w:rsidR="009C0AA5" w:rsidRPr="001306C2" w:rsidRDefault="009C0AA5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1306C2">
        <w:rPr>
          <w:rFonts w:ascii="GHEA Grapalat" w:hAnsi="GHEA Grapalat"/>
          <w:lang w:val="hy-AM"/>
        </w:rPr>
        <w:t>Համաձայնագրով սահմանված  սահմանափակումներն են․</w:t>
      </w:r>
    </w:p>
    <w:p w:rsidR="009C0AA5" w:rsidRPr="001306C2" w:rsidRDefault="009C0AA5" w:rsidP="00C15CF0">
      <w:pPr>
        <w:pStyle w:val="ListParagraph"/>
        <w:numPr>
          <w:ilvl w:val="0"/>
          <w:numId w:val="1"/>
        </w:numPr>
        <w:spacing w:after="6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06C2">
        <w:rPr>
          <w:rFonts w:ascii="GHEA Grapalat" w:hAnsi="GHEA Grapalat" w:cs="Sylfaen"/>
          <w:sz w:val="24"/>
          <w:szCs w:val="24"/>
          <w:lang w:val="hy-AM"/>
        </w:rPr>
        <w:t>«մուտքի» հնարավորություն միայն բաժնետոմսերի և պարտատոմսերի համար,</w:t>
      </w:r>
    </w:p>
    <w:p w:rsidR="009C0AA5" w:rsidRPr="001306C2" w:rsidRDefault="009C0AA5" w:rsidP="00C15CF0">
      <w:pPr>
        <w:pStyle w:val="ListParagraph"/>
        <w:numPr>
          <w:ilvl w:val="0"/>
          <w:numId w:val="1"/>
        </w:numPr>
        <w:spacing w:after="60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06C2">
        <w:rPr>
          <w:rFonts w:ascii="GHEA Grapalat" w:hAnsi="GHEA Grapalat" w:cs="Sylfaen"/>
          <w:sz w:val="24"/>
          <w:szCs w:val="24"/>
          <w:lang w:val="hy-AM"/>
        </w:rPr>
        <w:t>«մուտքի» հնարավորություն միայն բորսաների հիմնական (առաջատար) հարթակներում ցուցակված արժեթղթերի համար։</w:t>
      </w:r>
    </w:p>
    <w:p w:rsidR="009C0AA5" w:rsidRDefault="009C0AA5" w:rsidP="00C15CF0">
      <w:pPr>
        <w:spacing w:after="60" w:line="276" w:lineRule="auto"/>
        <w:ind w:firstLine="360"/>
        <w:jc w:val="both"/>
        <w:rPr>
          <w:rFonts w:ascii="GHEA Grapalat" w:hAnsi="GHEA Grapalat"/>
          <w:lang w:val="hy-AM"/>
        </w:rPr>
      </w:pPr>
      <w:r w:rsidRPr="005E2FF4">
        <w:rPr>
          <w:rFonts w:ascii="GHEA Grapalat" w:hAnsi="GHEA Grapalat"/>
          <w:lang w:val="hy-AM"/>
        </w:rPr>
        <w:t xml:space="preserve">Համաձայնագրի կնքումը հնարավորություն կտա ՀՀ ռեզիդենտ ներդրումային ծառայություններ մատուցող անձանց (բրոքերներին և դիլերներին) ձեռք բերել ԵԱՏՄ անդամ պետությունների բորսաներում </w:t>
      </w:r>
      <w:r>
        <w:rPr>
          <w:rFonts w:ascii="GHEA Grapalat" w:hAnsi="GHEA Grapalat"/>
          <w:lang w:val="hy-AM"/>
        </w:rPr>
        <w:t xml:space="preserve">ցուցակված և </w:t>
      </w:r>
      <w:r w:rsidRPr="005E2FF4">
        <w:rPr>
          <w:rFonts w:ascii="GHEA Grapalat" w:hAnsi="GHEA Grapalat"/>
          <w:lang w:val="hy-AM"/>
        </w:rPr>
        <w:t xml:space="preserve">շրջանառվող </w:t>
      </w:r>
      <w:r>
        <w:rPr>
          <w:rFonts w:ascii="GHEA Grapalat" w:hAnsi="GHEA Grapalat"/>
          <w:lang w:val="hy-AM"/>
        </w:rPr>
        <w:t xml:space="preserve">«բարձր որակի» </w:t>
      </w:r>
      <w:r w:rsidRPr="005E2FF4">
        <w:rPr>
          <w:rFonts w:ascii="GHEA Grapalat" w:hAnsi="GHEA Grapalat"/>
          <w:lang w:val="hy-AM"/>
        </w:rPr>
        <w:t xml:space="preserve">արժեթղթեր </w:t>
      </w:r>
      <w:r>
        <w:rPr>
          <w:rFonts w:ascii="GHEA Grapalat" w:hAnsi="GHEA Grapalat"/>
          <w:lang w:val="hy-AM"/>
        </w:rPr>
        <w:t xml:space="preserve">առանց </w:t>
      </w:r>
      <w:r w:rsidRPr="00F9489E">
        <w:rPr>
          <w:rFonts w:ascii="GHEA Grapalat" w:hAnsi="GHEA Grapalat"/>
          <w:lang w:val="hy-AM"/>
        </w:rPr>
        <w:t>իրեն</w:t>
      </w:r>
      <w:r>
        <w:rPr>
          <w:rFonts w:ascii="GHEA Grapalat" w:hAnsi="GHEA Grapalat"/>
          <w:lang w:val="hy-AM"/>
        </w:rPr>
        <w:t>ց</w:t>
      </w:r>
      <w:r w:rsidRPr="00F9489E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 xml:space="preserve">հարազատ» բորսան լքելու և առանց լրացուցիչ ծախսեր կատարելու։ </w:t>
      </w:r>
    </w:p>
    <w:p w:rsidR="00C24F3E" w:rsidRDefault="00C15CF0" w:rsidP="00C15CF0">
      <w:pPr>
        <w:shd w:val="clear" w:color="auto" w:fill="FFFFFF"/>
        <w:spacing w:line="276" w:lineRule="auto"/>
        <w:ind w:firstLine="360"/>
        <w:jc w:val="both"/>
        <w:textAlignment w:val="baseline"/>
        <w:rPr>
          <w:rFonts w:ascii="GHEA Grapalat" w:eastAsia="Times New Roman" w:hAnsi="GHEA Grapalat" w:cs="Times New Roman"/>
          <w:bCs/>
          <w:bdr w:val="none" w:sz="0" w:space="0" w:color="auto" w:frame="1"/>
          <w:lang w:val="hy-AM" w:eastAsia="en-US"/>
        </w:rPr>
      </w:pPr>
      <w:r>
        <w:rPr>
          <w:rFonts w:ascii="GHEA Grapalat" w:eastAsia="Times New Roman" w:hAnsi="GHEA Grapalat" w:cs="Times New Roman"/>
          <w:bCs/>
          <w:bdr w:val="none" w:sz="0" w:space="0" w:color="auto" w:frame="1"/>
          <w:lang w:val="hy-AM" w:eastAsia="en-US"/>
        </w:rPr>
        <w:t>Համաձայնագրի</w:t>
      </w:r>
      <w:r w:rsidR="00C24F3E" w:rsidRPr="00C24F3E">
        <w:rPr>
          <w:rFonts w:ascii="GHEA Grapalat" w:eastAsia="Times New Roman" w:hAnsi="GHEA Grapalat" w:cs="Times New Roman"/>
          <w:bCs/>
          <w:bdr w:val="none" w:sz="0" w:space="0" w:color="auto" w:frame="1"/>
          <w:lang w:val="hy-AM" w:eastAsia="en-US"/>
        </w:rPr>
        <w:t xml:space="preserve"> և </w:t>
      </w:r>
      <w:r w:rsidR="00C24F3E">
        <w:rPr>
          <w:rFonts w:ascii="GHEA Grapalat" w:eastAsia="Times New Roman" w:hAnsi="GHEA Grapalat" w:cs="Times New Roman"/>
          <w:bCs/>
          <w:bdr w:val="none" w:sz="0" w:space="0" w:color="auto" w:frame="1"/>
          <w:lang w:val="hy-AM" w:eastAsia="en-US"/>
        </w:rPr>
        <w:t>ռ</w:t>
      </w:r>
      <w:r w:rsidR="00C24F3E" w:rsidRPr="00C24F3E">
        <w:rPr>
          <w:rFonts w:ascii="GHEA Grapalat" w:eastAsia="Times New Roman" w:hAnsi="GHEA Grapalat" w:cs="Times New Roman"/>
          <w:bCs/>
          <w:bdr w:val="none" w:sz="0" w:space="0" w:color="auto" w:frame="1"/>
          <w:lang w:val="hy-AM" w:eastAsia="en-US"/>
        </w:rPr>
        <w:t>ազմավարական փաստաթղթերի միջ</w:t>
      </w:r>
      <w:r w:rsidR="00C24F3E">
        <w:rPr>
          <w:rFonts w:ascii="GHEA Grapalat" w:eastAsia="Times New Roman" w:hAnsi="GHEA Grapalat" w:cs="Times New Roman"/>
          <w:bCs/>
          <w:bdr w:val="none" w:sz="0" w:space="0" w:color="auto" w:frame="1"/>
          <w:lang w:val="hy-AM" w:eastAsia="en-US"/>
        </w:rPr>
        <w:t xml:space="preserve">և </w:t>
      </w:r>
      <w:r w:rsidR="00C24F3E" w:rsidRPr="00C24F3E">
        <w:rPr>
          <w:rFonts w:ascii="GHEA Grapalat" w:eastAsia="Times New Roman" w:hAnsi="GHEA Grapalat" w:cs="Times New Roman"/>
          <w:bCs/>
          <w:bdr w:val="none" w:sz="0" w:space="0" w:color="auto" w:frame="1"/>
          <w:lang w:val="hy-AM" w:eastAsia="en-US"/>
        </w:rPr>
        <w:t>կապ առկա չէ։</w:t>
      </w:r>
    </w:p>
    <w:p w:rsidR="009C0AA5" w:rsidRDefault="009C0AA5" w:rsidP="00C15CF0">
      <w:pPr>
        <w:spacing w:after="60" w:line="276" w:lineRule="auto"/>
        <w:rPr>
          <w:rFonts w:ascii="Sylfaen" w:hAnsi="Sylfaen"/>
          <w:lang w:val="hy-AM"/>
        </w:rPr>
      </w:pPr>
    </w:p>
    <w:p w:rsidR="001338C7" w:rsidRDefault="001338C7" w:rsidP="00C15CF0">
      <w:pPr>
        <w:shd w:val="clear" w:color="auto" w:fill="FFFFFF"/>
        <w:spacing w:line="276" w:lineRule="auto"/>
        <w:textAlignment w:val="baseline"/>
        <w:rPr>
          <w:rFonts w:ascii="GHEA Grapalat" w:eastAsia="Times New Roman" w:hAnsi="GHEA Grapalat" w:cs="Times New Roman"/>
          <w:b/>
          <w:bCs/>
          <w:color w:val="4B5C6A"/>
          <w:bdr w:val="none" w:sz="0" w:space="0" w:color="auto" w:frame="1"/>
          <w:lang w:val="hy-AM" w:eastAsia="en-US"/>
        </w:rPr>
      </w:pPr>
    </w:p>
    <w:p w:rsidR="001338C7" w:rsidRPr="001338C7" w:rsidRDefault="001338C7" w:rsidP="00C15CF0">
      <w:pPr>
        <w:spacing w:after="60" w:line="276" w:lineRule="auto"/>
        <w:rPr>
          <w:rFonts w:ascii="Sylfaen" w:hAnsi="Sylfaen"/>
          <w:lang w:val="hy-AM"/>
        </w:rPr>
      </w:pPr>
    </w:p>
    <w:sectPr w:rsidR="001338C7" w:rsidRPr="001338C7" w:rsidSect="00C15CF0">
      <w:pgSz w:w="11906" w:h="16838" w:code="9"/>
      <w:pgMar w:top="1134" w:right="1361" w:bottom="81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C26D2"/>
    <w:multiLevelType w:val="hybridMultilevel"/>
    <w:tmpl w:val="EB2A6882"/>
    <w:lvl w:ilvl="0" w:tplc="A51816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C4039"/>
    <w:multiLevelType w:val="multilevel"/>
    <w:tmpl w:val="F848A7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9FE"/>
    <w:rsid w:val="001306C2"/>
    <w:rsid w:val="001338C7"/>
    <w:rsid w:val="004A76A0"/>
    <w:rsid w:val="006C7E48"/>
    <w:rsid w:val="00905D03"/>
    <w:rsid w:val="009149FE"/>
    <w:rsid w:val="009C0AA5"/>
    <w:rsid w:val="00C15CF0"/>
    <w:rsid w:val="00C24F3E"/>
    <w:rsid w:val="00E6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B37A5"/>
  <w15:chartTrackingRefBased/>
  <w15:docId w15:val="{4B1FC5AE-1ACE-48D1-87C1-E977FA321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AA5"/>
    <w:pPr>
      <w:spacing w:after="0" w:line="240" w:lineRule="auto"/>
    </w:pPr>
    <w:rPr>
      <w:rFonts w:ascii="Times Armenian" w:eastAsia="MS Mincho" w:hAnsi="Times Armenian" w:cs="Sylfae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AA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1338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179</Words>
  <Characters>1463</Characters>
  <Application>Microsoft Office Word</Application>
  <DocSecurity>0</DocSecurity>
  <Lines>36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Նաիրա Ավչյան</dc:creator>
  <cp:keywords>https://mul2.gov.am/tasks/778162/oneclick/b9005da92625665a5eba2da62f387fe52abd6e1733d749f143b6720c89b0f89a.docx?token=e9a9def45895ff2bb1958ff9b84dbb29</cp:keywords>
  <dc:description/>
  <cp:lastModifiedBy>Milena Hovhannisyan</cp:lastModifiedBy>
  <cp:revision>7</cp:revision>
  <dcterms:created xsi:type="dcterms:W3CDTF">2021-12-23T11:20:00Z</dcterms:created>
  <dcterms:modified xsi:type="dcterms:W3CDTF">2023-03-30T13:47:00Z</dcterms:modified>
</cp:coreProperties>
</file>