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40D" w:rsidRPr="001A3BB6" w:rsidRDefault="00C7440D" w:rsidP="00C7440D">
      <w:pPr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0D1158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ԿԱՌԱՎԱՐՈՒԹՅԱՆ 2021 ԹՎԱԿԱՆԻ ՓԵՏՐՎԱՐԻ 4-Ի N 126-Ն ՈՐՈՇՄԱՆ ՄԵՋ ԼՐԱՑՈՒՄ</w:t>
      </w:r>
      <w:r w:rsidR="00AD5E03">
        <w:rPr>
          <w:rFonts w:ascii="GHEA Grapalat" w:hAnsi="GHEA Grapalat"/>
          <w:bCs/>
          <w:color w:val="000000"/>
          <w:sz w:val="24"/>
          <w:szCs w:val="24"/>
          <w:lang w:eastAsia="hy-AM"/>
        </w:rPr>
        <w:t>ՆԵՐ</w:t>
      </w:r>
      <w:r w:rsidRPr="000D115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ԵՎ ՓՈՓՈԽՈՒԹՅՈՒՆ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</w:t>
      </w:r>
      <w:r w:rsidRPr="001A3BB6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bookmarkStart w:id="0" w:name="_GoBack"/>
      <w:bookmarkEnd w:id="0"/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Նախագծի մշակումը պայմանավորված է Հայաստանի Հանրապետության Ազգային ժողովի կողմից 2022 թվականի սեպտեմբերի 14-ին «Մաքսային կարգավորման մասին» ՀՕ-353-Ն օրենքի ընդունմամբ, որով ուժը կորցրած է ճանաչվել «Մաքսային կարգավորման մասին» 2014 թվականի դեկտեմբերի 17-ի ՀՕ-241-Ն օրենքը: Նշված օրենքի ընդունմամբ անհրաժեշտություն է առաջացել 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21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փետրվարի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126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-Ն որոշման մեջ կատարել համապատասխան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լրացում և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փոփոխություն՝ որոշման դրույթները համապատասխանեցնելով ներկայումս գործող օրենքի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84-րդ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հոդված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ին։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Միաժամանակ, նախագծով նախատեսվում է սահմանել </w:t>
      </w:r>
      <w:r w:rsidRPr="00AA5724">
        <w:rPr>
          <w:rFonts w:ascii="GHEA Grapalat" w:hAnsi="GHEA Grapalat"/>
          <w:bCs/>
          <w:color w:val="000000"/>
          <w:sz w:val="24"/>
          <w:szCs w:val="24"/>
          <w:lang w:eastAsia="hy-AM"/>
        </w:rPr>
        <w:t>էքսպրես-բեռների համար ապրանքային մաքսային հայտարարագրի և էքսպրես-բեռների համար ուղևորային մաքսային հայտարարագրի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թղթային տարբերակների կիրառման այլ առանձնահատկություններ։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21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փետրվարի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126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-Ն որոշման դրույթները կհամապատասխանեցվեն «Մաքսային կարգավորման մասին» 2022 թվականի սեպտեմբերի 14-ի ՀՕ-353-Ն օրենքի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84-րդ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հոդված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ին, կսահմանվեն նաև </w:t>
      </w:r>
      <w:r w:rsidRPr="00AA5724">
        <w:rPr>
          <w:rFonts w:ascii="GHEA Grapalat" w:hAnsi="GHEA Grapalat"/>
          <w:bCs/>
          <w:color w:val="000000"/>
          <w:sz w:val="24"/>
          <w:szCs w:val="24"/>
          <w:lang w:eastAsia="hy-AM"/>
        </w:rPr>
        <w:t>էքսպրես-բեռների համար ապրանքային մաքսային հայտարարագրի և էքսպրես-բեռների համար ուղևորային մաքսային հայտարարագրի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կիրառման առանձնահատկություններ։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1A3BB6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Նախագիծը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1A3BB6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1A3BB6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1A3BB6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C7440D" w:rsidRPr="001A3BB6" w:rsidRDefault="00C7440D" w:rsidP="00C7440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C7440D" w:rsidRPr="009E50AF" w:rsidRDefault="00C7440D" w:rsidP="00C7440D">
      <w:pPr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19525D" w:rsidRDefault="00AD5E03"/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82C"/>
    <w:rsid w:val="007F0791"/>
    <w:rsid w:val="00A9282C"/>
    <w:rsid w:val="00AD5E03"/>
    <w:rsid w:val="00C7440D"/>
    <w:rsid w:val="00CB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FA17AD-7AF8-4F4A-A81F-28225657C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40D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3</cp:revision>
  <dcterms:created xsi:type="dcterms:W3CDTF">2023-04-05T11:22:00Z</dcterms:created>
  <dcterms:modified xsi:type="dcterms:W3CDTF">2023-04-27T13:17:00Z</dcterms:modified>
</cp:coreProperties>
</file>