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E7" w:rsidRPr="0092491D" w:rsidRDefault="00AE12E7" w:rsidP="00AE12E7">
      <w:pPr>
        <w:tabs>
          <w:tab w:val="left" w:pos="8647"/>
        </w:tabs>
        <w:ind w:right="-1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</w:t>
      </w:r>
      <w:r w:rsidR="00443F4E">
        <w:rPr>
          <w:rFonts w:ascii="GHEA Grapalat" w:hAnsi="GHEA Grapalat" w:cs="GHEA Grapalat"/>
          <w:b/>
          <w:i w:val="0"/>
          <w:sz w:val="24"/>
          <w:szCs w:val="24"/>
          <w:lang w:val="hy-AM"/>
        </w:rPr>
        <w:t>ԻՄՆԱՎՈՐՈՒՄ</w:t>
      </w:r>
    </w:p>
    <w:p w:rsidR="00B66916" w:rsidRDefault="00FC7F04" w:rsidP="00B66916">
      <w:pPr>
        <w:pStyle w:val="norm"/>
        <w:spacing w:line="360" w:lineRule="auto"/>
        <w:ind w:left="-90" w:firstLine="90"/>
        <w:jc w:val="center"/>
        <w:rPr>
          <w:rFonts w:ascii="GHEA Grapalat" w:eastAsia="Calibri" w:hAnsi="GHEA Grapalat" w:cs="Cambria"/>
          <w:b/>
          <w:bCs/>
          <w:spacing w:val="-4"/>
          <w:sz w:val="24"/>
          <w:szCs w:val="24"/>
          <w:lang w:val="hy-AM"/>
        </w:rPr>
      </w:pPr>
      <w:r w:rsidRPr="00FC7F04">
        <w:rPr>
          <w:rFonts w:ascii="GHEA Grapalat" w:eastAsia="Calibri" w:hAnsi="GHEA Grapalat" w:cs="Cambria"/>
          <w:b/>
          <w:bCs/>
          <w:spacing w:val="-4"/>
          <w:sz w:val="24"/>
          <w:szCs w:val="24"/>
          <w:lang w:val="hy-AM"/>
        </w:rPr>
        <w:t>«ՀԱՅԱՍՏԱՆԻ ՀԱՆՐԱՊԵՏՈՒԹՅԱՆ 2023 ԹՎԱԿԱՆԻ ՊԵՏԱԿԱՆ ԲՅՈՒՋԵՈՒՄ ՎԵՐԱԲԱՇԽՈՒՄ ԵՎ ՀԱՅԱՍՏԱՆԻ ՀԱՆՐԱՊԵՏՈՒԹՅԱՆ ԿԱՌԱՎԱՐՈՒԹՅԱՆ 2022 ԹՎԱԿԱՆԻ ԴԵԿՏԵՄԲԵՐԻ 29-Ի N 2111-Ն ՈՐՈՇՄԱՆ ՄԵՋ ՓՈՓՈԽՈՒԹՅՈՒՆ ԵՎ ԼՐԱՑՈՒՄ</w:t>
      </w:r>
      <w:r w:rsidR="00D862B8">
        <w:rPr>
          <w:rFonts w:ascii="GHEA Grapalat" w:eastAsia="Calibri" w:hAnsi="GHEA Grapalat" w:cs="Cambria"/>
          <w:b/>
          <w:bCs/>
          <w:spacing w:val="-4"/>
          <w:sz w:val="24"/>
          <w:szCs w:val="24"/>
          <w:lang w:val="hy-AM"/>
        </w:rPr>
        <w:t>ՆԵՐ</w:t>
      </w:r>
      <w:r w:rsidRPr="00FC7F04">
        <w:rPr>
          <w:rFonts w:ascii="GHEA Grapalat" w:eastAsia="Calibri" w:hAnsi="GHEA Grapalat" w:cs="Cambria"/>
          <w:b/>
          <w:bCs/>
          <w:spacing w:val="-4"/>
          <w:sz w:val="24"/>
          <w:szCs w:val="24"/>
          <w:lang w:val="hy-AM"/>
        </w:rPr>
        <w:t xml:space="preserve"> ԿԱՏԱՐԵԼՈՒ</w:t>
      </w:r>
      <w:r w:rsidR="0086298D">
        <w:rPr>
          <w:rFonts w:ascii="GHEA Grapalat" w:eastAsia="Calibri" w:hAnsi="GHEA Grapalat" w:cs="Cambria"/>
          <w:b/>
          <w:bCs/>
          <w:spacing w:val="-4"/>
          <w:sz w:val="24"/>
          <w:szCs w:val="24"/>
          <w:lang w:val="hy-AM"/>
        </w:rPr>
        <w:t xml:space="preserve"> </w:t>
      </w:r>
      <w:r w:rsidRPr="00FC7F04">
        <w:rPr>
          <w:rFonts w:ascii="GHEA Grapalat" w:eastAsia="Calibri" w:hAnsi="GHEA Grapalat" w:cs="Cambria"/>
          <w:b/>
          <w:bCs/>
          <w:spacing w:val="-4"/>
          <w:sz w:val="24"/>
          <w:szCs w:val="24"/>
          <w:lang w:val="hy-AM"/>
        </w:rPr>
        <w:t>ՄԱՍԻՆ» ՀԱՅԱՍՏԱՆԻ ՀԱՆՐԱՊԵՏՈՒԹՅԱՆ ԿԱՌԱՎԱՐՈՒԹՅԱՆ ՈՐՈՇՄԱՆ ՆԱԽԱԳԾԻ ԸՆԴՈՒՆՄԱՆ</w:t>
      </w:r>
    </w:p>
    <w:p w:rsidR="00D862B8" w:rsidRDefault="00D862B8" w:rsidP="00B66916">
      <w:pPr>
        <w:pStyle w:val="norm"/>
        <w:spacing w:line="360" w:lineRule="auto"/>
        <w:ind w:left="-90" w:firstLine="90"/>
        <w:jc w:val="center"/>
        <w:rPr>
          <w:rFonts w:ascii="GHEA Grapalat" w:eastAsia="Calibri" w:hAnsi="GHEA Grapalat" w:cs="Cambria"/>
          <w:b/>
          <w:bCs/>
          <w:sz w:val="24"/>
          <w:szCs w:val="24"/>
          <w:lang w:val="hy-AM"/>
        </w:rPr>
      </w:pPr>
    </w:p>
    <w:p w:rsidR="00FC7F04" w:rsidRDefault="00B65484" w:rsidP="00B66916">
      <w:pPr>
        <w:pStyle w:val="norm"/>
        <w:spacing w:line="360" w:lineRule="auto"/>
        <w:ind w:left="-90" w:firstLine="90"/>
        <w:rPr>
          <w:rFonts w:ascii="GHEA Grapalat" w:eastAsia="Calibri" w:hAnsi="GHEA Grapalat" w:cs="Cambria"/>
          <w:bCs/>
          <w:sz w:val="24"/>
          <w:szCs w:val="24"/>
          <w:lang w:val="fr-FR"/>
        </w:rPr>
      </w:pPr>
      <w:r w:rsidRPr="009400A8">
        <w:rPr>
          <w:rFonts w:ascii="GHEA Grapalat" w:eastAsia="Calibri" w:hAnsi="GHEA Grapalat" w:cs="Cambria"/>
          <w:bCs/>
          <w:sz w:val="24"/>
          <w:szCs w:val="24"/>
          <w:lang w:val="hy-AM"/>
        </w:rPr>
        <w:tab/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Առաջնահերթությունների</w:t>
      </w:r>
      <w:proofErr w:type="spellEnd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վերանայմամբ</w:t>
      </w:r>
      <w:proofErr w:type="spellEnd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պայմանավորված</w:t>
      </w:r>
      <w:proofErr w:type="spellEnd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՝ </w:t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անհրաժեշտություն</w:t>
      </w:r>
      <w:proofErr w:type="spellEnd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է </w:t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առաջացել</w:t>
      </w:r>
      <w:proofErr w:type="spellEnd"/>
      <w:proofErr w:type="gram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r w:rsidR="00FC7F04" w:rsidRPr="00FC7F0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«</w:t>
      </w:r>
      <w:r w:rsidR="00FC7F04" w:rsidRPr="0086298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Հ</w:t>
      </w:r>
      <w:r w:rsidR="00FC7F04" w:rsidRPr="00FC7F0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այաստանի</w:t>
      </w:r>
      <w:proofErr w:type="gramEnd"/>
      <w:r w:rsidR="00FC7F04" w:rsidRPr="00FC7F0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 </w:t>
      </w:r>
      <w:r w:rsidR="00FC7F04" w:rsidRPr="0086298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Հ</w:t>
      </w:r>
      <w:r w:rsidR="00FC7F04" w:rsidRPr="00FC7F0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անրապետության 2023 թվականի պետական բյուջեում </w:t>
      </w:r>
      <w:r w:rsidR="007E125A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կատարել </w:t>
      </w:r>
      <w:r w:rsidR="00FC7F04" w:rsidRPr="00FC7F0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վերաբաշխում </w:t>
      </w:r>
      <w:r w:rsidR="00FC7F04" w:rsidRPr="0086298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և</w:t>
      </w:r>
      <w:r w:rsidR="00FC7F04" w:rsidRPr="00FC7F0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 </w:t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Հայաստանի</w:t>
      </w:r>
      <w:proofErr w:type="spellEnd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proofErr w:type="spellStart"/>
      <w:r w:rsidR="009400A8" w:rsidRPr="009400A8">
        <w:rPr>
          <w:rFonts w:ascii="GHEA Grapalat" w:eastAsia="Calibri" w:hAnsi="GHEA Grapalat" w:cs="Cambria"/>
          <w:bCs/>
          <w:sz w:val="24"/>
          <w:szCs w:val="24"/>
          <w:lang w:val="fr-FR"/>
        </w:rPr>
        <w:t>Հանրապետության</w:t>
      </w:r>
      <w:proofErr w:type="spellEnd"/>
      <w:r w:rsidR="003027D7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2023 </w:t>
      </w:r>
      <w:proofErr w:type="spellStart"/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>թվականի</w:t>
      </w:r>
      <w:proofErr w:type="spellEnd"/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r w:rsidR="007E125A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պետական բյուջեով նախատեսված ՀՀ կառավարության </w:t>
      </w:r>
      <w:proofErr w:type="spellStart"/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>պահուստային</w:t>
      </w:r>
      <w:proofErr w:type="spellEnd"/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proofErr w:type="spellStart"/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>ֆոնդից</w:t>
      </w:r>
      <w:proofErr w:type="spellEnd"/>
      <w:r w:rsidR="00FC7F04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proofErr w:type="spellStart"/>
      <w:r w:rsidR="003027D7">
        <w:rPr>
          <w:rFonts w:ascii="GHEA Grapalat" w:eastAsia="Calibri" w:hAnsi="GHEA Grapalat" w:cs="Cambria"/>
          <w:bCs/>
          <w:sz w:val="24"/>
          <w:szCs w:val="24"/>
          <w:lang w:val="fr-FR"/>
        </w:rPr>
        <w:t>վարչապետի</w:t>
      </w:r>
      <w:proofErr w:type="spellEnd"/>
      <w:r w:rsidR="003027D7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proofErr w:type="spellStart"/>
      <w:r w:rsidR="003027D7">
        <w:rPr>
          <w:rFonts w:ascii="GHEA Grapalat" w:eastAsia="Calibri" w:hAnsi="GHEA Grapalat" w:cs="Cambria"/>
          <w:bCs/>
          <w:sz w:val="24"/>
          <w:szCs w:val="24"/>
          <w:lang w:val="fr-FR"/>
        </w:rPr>
        <w:t>աշխատակ</w:t>
      </w:r>
      <w:proofErr w:type="spellEnd"/>
      <w:r w:rsidR="007E125A">
        <w:rPr>
          <w:rFonts w:ascii="GHEA Grapalat" w:eastAsia="Calibri" w:hAnsi="GHEA Grapalat" w:cs="Cambria"/>
          <w:bCs/>
          <w:sz w:val="24"/>
          <w:szCs w:val="24"/>
          <w:lang w:val="hy-AM"/>
        </w:rPr>
        <w:t>ա</w:t>
      </w:r>
      <w:proofErr w:type="spellStart"/>
      <w:r w:rsidR="003027D7">
        <w:rPr>
          <w:rFonts w:ascii="GHEA Grapalat" w:eastAsia="Calibri" w:hAnsi="GHEA Grapalat" w:cs="Cambria"/>
          <w:bCs/>
          <w:sz w:val="24"/>
          <w:szCs w:val="24"/>
          <w:lang w:val="fr-FR"/>
        </w:rPr>
        <w:t>զմին</w:t>
      </w:r>
      <w:proofErr w:type="spellEnd"/>
      <w:r w:rsidR="003027D7">
        <w:rPr>
          <w:rFonts w:ascii="GHEA Grapalat" w:eastAsia="Calibri" w:hAnsi="GHEA Grapalat" w:cs="Cambria"/>
          <w:bCs/>
          <w:sz w:val="24"/>
          <w:szCs w:val="24"/>
          <w:lang w:val="fr-FR"/>
        </w:rPr>
        <w:t xml:space="preserve"> </w:t>
      </w:r>
      <w:r w:rsidR="0086298D">
        <w:rPr>
          <w:rFonts w:ascii="GHEA Grapalat" w:eastAsia="Calibri" w:hAnsi="GHEA Grapalat" w:cs="Cambria"/>
          <w:bCs/>
          <w:sz w:val="24"/>
          <w:szCs w:val="24"/>
          <w:lang w:val="hy-AM"/>
        </w:rPr>
        <w:t>հատկացնել</w:t>
      </w:r>
      <w:r w:rsidR="004839A3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գումար:</w:t>
      </w:r>
    </w:p>
    <w:p w:rsidR="003B24D7" w:rsidRDefault="00B65484" w:rsidP="00B65484">
      <w:pPr>
        <w:spacing w:after="0" w:line="360" w:lineRule="auto"/>
        <w:ind w:left="-90" w:firstLine="156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 w:rsidRPr="002A21D6">
        <w:rPr>
          <w:rFonts w:ascii="GHEA Grapalat" w:hAnsi="GHEA Grapalat"/>
          <w:b/>
          <w:i w:val="0"/>
          <w:sz w:val="24"/>
          <w:szCs w:val="24"/>
          <w:lang w:val="hy-AM"/>
        </w:rPr>
        <w:t xml:space="preserve">       </w:t>
      </w:r>
      <w:r w:rsidR="00AE12E7" w:rsidRPr="001F6964">
        <w:rPr>
          <w:rFonts w:ascii="GHEA Grapalat" w:hAnsi="GHEA Grapalat"/>
          <w:b/>
          <w:i w:val="0"/>
          <w:sz w:val="24"/>
          <w:szCs w:val="24"/>
          <w:lang w:val="hy-AM"/>
        </w:rPr>
        <w:t>«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Հ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այաստանի 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Հ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>անրապետության 202</w:t>
      </w:r>
      <w:r w:rsidR="00274303">
        <w:rPr>
          <w:rFonts w:ascii="GHEA Grapalat" w:hAnsi="GHEA Grapalat"/>
          <w:b/>
          <w:i w:val="0"/>
          <w:sz w:val="24"/>
          <w:szCs w:val="24"/>
          <w:lang w:val="hy-AM"/>
        </w:rPr>
        <w:t>3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թվականի պետական բյուջեում վերաբաշխում 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և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Հ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այաստանի 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Հ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>անրապետության կառավարության 202</w:t>
      </w:r>
      <w:r w:rsidR="00274303">
        <w:rPr>
          <w:rFonts w:ascii="GHEA Grapalat" w:hAnsi="GHEA Grapalat"/>
          <w:b/>
          <w:i w:val="0"/>
          <w:sz w:val="24"/>
          <w:szCs w:val="24"/>
          <w:lang w:val="hy-AM"/>
        </w:rPr>
        <w:t>2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թվականի դեկտեմբերի 2</w:t>
      </w:r>
      <w:r w:rsidR="00274303">
        <w:rPr>
          <w:rFonts w:ascii="GHEA Grapalat" w:hAnsi="GHEA Grapalat"/>
          <w:b/>
          <w:i w:val="0"/>
          <w:sz w:val="24"/>
          <w:szCs w:val="24"/>
          <w:lang w:val="hy-AM"/>
        </w:rPr>
        <w:t>9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-ի </w:t>
      </w:r>
      <w:r w:rsidR="003C2C74" w:rsidRPr="00A640F5">
        <w:rPr>
          <w:rFonts w:ascii="GHEA Grapalat" w:hAnsi="GHEA Grapalat"/>
          <w:b/>
          <w:i w:val="0"/>
          <w:sz w:val="24"/>
          <w:szCs w:val="24"/>
          <w:lang w:val="hy-AM"/>
        </w:rPr>
        <w:t>N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21</w:t>
      </w:r>
      <w:r w:rsidR="00274303">
        <w:rPr>
          <w:rFonts w:ascii="GHEA Grapalat" w:hAnsi="GHEA Grapalat"/>
          <w:b/>
          <w:i w:val="0"/>
          <w:sz w:val="24"/>
          <w:szCs w:val="24"/>
          <w:lang w:val="hy-AM"/>
        </w:rPr>
        <w:t>1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>1-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Ն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որոշման մեջ փոփոխություն</w:t>
      </w:r>
      <w:r w:rsidR="00D862B8">
        <w:rPr>
          <w:rFonts w:ascii="GHEA Grapalat" w:hAnsi="GHEA Grapalat"/>
          <w:b/>
          <w:i w:val="0"/>
          <w:sz w:val="24"/>
          <w:szCs w:val="24"/>
          <w:lang w:val="hy-AM"/>
        </w:rPr>
        <w:t>ներ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3C2C74">
        <w:rPr>
          <w:rFonts w:ascii="GHEA Grapalat" w:hAnsi="GHEA Grapalat"/>
          <w:b/>
          <w:i w:val="0"/>
          <w:sz w:val="24"/>
          <w:szCs w:val="24"/>
          <w:lang w:val="hy-AM"/>
        </w:rPr>
        <w:t>և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լրացում</w:t>
      </w:r>
      <w:r w:rsidR="00D862B8">
        <w:rPr>
          <w:rFonts w:ascii="GHEA Grapalat" w:hAnsi="GHEA Grapalat"/>
          <w:b/>
          <w:i w:val="0"/>
          <w:sz w:val="24"/>
          <w:szCs w:val="24"/>
          <w:lang w:val="hy-AM"/>
        </w:rPr>
        <w:t>ներ</w:t>
      </w:r>
      <w:r w:rsidR="003C2C74" w:rsidRPr="00F0581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կատարելու </w:t>
      </w:r>
      <w:bookmarkStart w:id="0" w:name="_GoBack"/>
      <w:bookmarkEnd w:id="0"/>
      <w:r w:rsidR="004C76A6" w:rsidRPr="004C76A6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  <w:r w:rsidR="00AE12E7" w:rsidRPr="00F05813">
        <w:rPr>
          <w:rFonts w:ascii="GHEA Grapalat" w:hAnsi="GHEA Grapalat"/>
          <w:b/>
          <w:i w:val="0"/>
          <w:sz w:val="24"/>
          <w:szCs w:val="24"/>
          <w:lang w:val="hy-AM"/>
        </w:rPr>
        <w:t>»</w:t>
      </w:r>
      <w:r w:rsidR="00AE12E7" w:rsidRPr="001F6964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կառավարության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որոշման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նախագծի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ընդունումը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պետական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բյուջեում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ծախսերի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և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եկամուտների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էական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ավելացում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կամ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նվազեցում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չի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E12E7">
        <w:rPr>
          <w:rFonts w:ascii="GHEA Grapalat" w:hAnsi="GHEA Grapalat"/>
          <w:i w:val="0"/>
          <w:sz w:val="24"/>
          <w:szCs w:val="24"/>
          <w:lang w:val="hy-AM"/>
        </w:rPr>
        <w:t>առաջացնի</w:t>
      </w:r>
      <w:r w:rsidR="00AE12E7"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B65484" w:rsidRPr="002A21D6" w:rsidRDefault="00B65484" w:rsidP="00B65484">
      <w:pPr>
        <w:spacing w:line="360" w:lineRule="auto"/>
        <w:ind w:firstLine="708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B65484">
        <w:rPr>
          <w:rFonts w:ascii="GHEA Grapalat" w:hAnsi="GHEA Grapalat" w:cs="Arial"/>
          <w:b/>
          <w:i w:val="0"/>
          <w:sz w:val="24"/>
          <w:szCs w:val="24"/>
        </w:rPr>
        <w:t>Իրավական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ակտի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ընդունման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կապակցությամբ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պետական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կամ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տեղական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ինքնակառավարման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մարմնի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բյուջեում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եկամուտների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և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ծախսերի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ավելացման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կամ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նվազեցման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անհրաժեշտություն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>.</w:t>
      </w:r>
    </w:p>
    <w:p w:rsidR="00B65484" w:rsidRPr="002A21D6" w:rsidRDefault="00B65484" w:rsidP="00B65484">
      <w:pPr>
        <w:spacing w:line="360" w:lineRule="auto"/>
        <w:ind w:firstLine="708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 w:rsidRPr="00B65484">
        <w:rPr>
          <w:rFonts w:ascii="GHEA Grapalat" w:hAnsi="GHEA Grapalat" w:cs="Arial"/>
          <w:i w:val="0"/>
          <w:sz w:val="24"/>
          <w:szCs w:val="24"/>
        </w:rPr>
        <w:t>Հայաստանի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Հանրապետության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կառավարության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որոշման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նախագծի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ընդունումը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ՀՀ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պետական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բյուջեի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եկամուտներում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և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ծախսերում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փոփոխություններ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չի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առաջացնի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B65484" w:rsidRPr="002A21D6" w:rsidRDefault="00B65484" w:rsidP="00B65484">
      <w:pPr>
        <w:spacing w:line="360" w:lineRule="auto"/>
        <w:ind w:firstLine="708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B65484">
        <w:rPr>
          <w:rFonts w:ascii="GHEA Grapalat" w:hAnsi="GHEA Grapalat" w:cs="Arial"/>
          <w:b/>
          <w:i w:val="0"/>
          <w:sz w:val="24"/>
          <w:szCs w:val="24"/>
        </w:rPr>
        <w:t>Կապը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ռազմավարական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փաստաթղթերի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հետ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.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Հայաստանի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վերափոխման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ռազմավարություն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2050,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Կառավարության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2021-2026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թթ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.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Ծրագիր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,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ոլորտային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և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>/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կամ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այլ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b/>
          <w:i w:val="0"/>
          <w:sz w:val="24"/>
          <w:szCs w:val="24"/>
        </w:rPr>
        <w:t>ռազմավարություն</w:t>
      </w:r>
      <w:r w:rsidRPr="00B65484">
        <w:rPr>
          <w:rFonts w:ascii="GHEA Grapalat" w:hAnsi="GHEA Grapalat" w:cs="Arial"/>
          <w:b/>
          <w:i w:val="0"/>
          <w:sz w:val="24"/>
          <w:szCs w:val="24"/>
          <w:lang w:val="hy-AM"/>
        </w:rPr>
        <w:t>.</w:t>
      </w:r>
      <w:r w:rsidRPr="002A21D6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</w:p>
    <w:p w:rsidR="00B65484" w:rsidRPr="00A640F5" w:rsidRDefault="00B65484" w:rsidP="007E125A">
      <w:pPr>
        <w:spacing w:line="360" w:lineRule="auto"/>
        <w:ind w:firstLine="708"/>
        <w:jc w:val="both"/>
        <w:rPr>
          <w:lang w:val="hy-AM"/>
        </w:rPr>
      </w:pPr>
      <w:r w:rsidRPr="00B65484">
        <w:rPr>
          <w:rFonts w:ascii="GHEA Grapalat" w:hAnsi="GHEA Grapalat" w:cs="Arial"/>
          <w:i w:val="0"/>
          <w:sz w:val="24"/>
          <w:szCs w:val="24"/>
        </w:rPr>
        <w:t>Նախագիծը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կապ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չունի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ռազմավարական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փաստաթղթերի՝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Հայաստանի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վերափոխման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ռազմավարություն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2050, </w:t>
      </w:r>
      <w:r w:rsidRPr="00B65484">
        <w:rPr>
          <w:rFonts w:ascii="GHEA Grapalat" w:hAnsi="GHEA Grapalat" w:cs="Arial"/>
          <w:i w:val="0"/>
          <w:sz w:val="24"/>
          <w:szCs w:val="24"/>
        </w:rPr>
        <w:t>Կառավարության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2021-2026</w:t>
      </w:r>
      <w:r w:rsidRPr="00B65484">
        <w:rPr>
          <w:rFonts w:ascii="GHEA Grapalat" w:hAnsi="GHEA Grapalat" w:cs="Arial"/>
          <w:i w:val="0"/>
          <w:sz w:val="24"/>
          <w:szCs w:val="24"/>
        </w:rPr>
        <w:t>թթ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. </w:t>
      </w:r>
      <w:r w:rsidRPr="00B65484">
        <w:rPr>
          <w:rFonts w:ascii="GHEA Grapalat" w:hAnsi="GHEA Grapalat" w:cs="Arial"/>
          <w:i w:val="0"/>
          <w:sz w:val="24"/>
          <w:szCs w:val="24"/>
        </w:rPr>
        <w:t>ծրագրի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, </w:t>
      </w:r>
      <w:r w:rsidRPr="00B65484">
        <w:rPr>
          <w:rFonts w:ascii="GHEA Grapalat" w:hAnsi="GHEA Grapalat" w:cs="Arial"/>
          <w:i w:val="0"/>
          <w:sz w:val="24"/>
          <w:szCs w:val="24"/>
        </w:rPr>
        <w:t>ոլորտային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և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>/</w:t>
      </w:r>
      <w:r w:rsidRPr="00B65484">
        <w:rPr>
          <w:rFonts w:ascii="GHEA Grapalat" w:hAnsi="GHEA Grapalat" w:cs="Arial"/>
          <w:i w:val="0"/>
          <w:sz w:val="24"/>
          <w:szCs w:val="24"/>
        </w:rPr>
        <w:t>կամ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այլ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ռազմավարությունների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65484">
        <w:rPr>
          <w:rFonts w:ascii="GHEA Grapalat" w:hAnsi="GHEA Grapalat" w:cs="Arial"/>
          <w:i w:val="0"/>
          <w:sz w:val="24"/>
          <w:szCs w:val="24"/>
        </w:rPr>
        <w:t>հետ</w:t>
      </w:r>
      <w:r w:rsidRPr="002A21D6">
        <w:rPr>
          <w:rFonts w:ascii="GHEA Grapalat" w:hAnsi="GHEA Grapalat"/>
          <w:i w:val="0"/>
          <w:sz w:val="24"/>
          <w:szCs w:val="24"/>
          <w:lang w:val="af-ZA"/>
        </w:rPr>
        <w:t>:</w:t>
      </w:r>
    </w:p>
    <w:sectPr w:rsidR="00B65484" w:rsidRPr="00A640F5" w:rsidSect="00B65484">
      <w:pgSz w:w="11906" w:h="16838"/>
      <w:pgMar w:top="709" w:right="1196" w:bottom="426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F"/>
    <w:rsid w:val="0003282E"/>
    <w:rsid w:val="002016CF"/>
    <w:rsid w:val="002118BC"/>
    <w:rsid w:val="00242C8D"/>
    <w:rsid w:val="00274303"/>
    <w:rsid w:val="00286508"/>
    <w:rsid w:val="002A21D6"/>
    <w:rsid w:val="003027D7"/>
    <w:rsid w:val="003B24D7"/>
    <w:rsid w:val="003C2C74"/>
    <w:rsid w:val="00443F4E"/>
    <w:rsid w:val="004839A3"/>
    <w:rsid w:val="004C76A6"/>
    <w:rsid w:val="00564256"/>
    <w:rsid w:val="00566623"/>
    <w:rsid w:val="00605399"/>
    <w:rsid w:val="006216CE"/>
    <w:rsid w:val="007E125A"/>
    <w:rsid w:val="00810286"/>
    <w:rsid w:val="0086298D"/>
    <w:rsid w:val="009400A8"/>
    <w:rsid w:val="0097135E"/>
    <w:rsid w:val="00A640F5"/>
    <w:rsid w:val="00AE12E7"/>
    <w:rsid w:val="00B060AA"/>
    <w:rsid w:val="00B65484"/>
    <w:rsid w:val="00B66916"/>
    <w:rsid w:val="00CB1C83"/>
    <w:rsid w:val="00D862B8"/>
    <w:rsid w:val="00D90474"/>
    <w:rsid w:val="00F05813"/>
    <w:rsid w:val="00FC7F04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678"/>
  <w15:chartTrackingRefBased/>
  <w15:docId w15:val="{3E02DD24-95BF-4868-96DA-3FDB83F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E7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1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12E7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customStyle="1" w:styleId="normChar">
    <w:name w:val="norm Char"/>
    <w:basedOn w:val="DefaultParagraphFont"/>
    <w:link w:val="norm"/>
    <w:locked/>
    <w:rsid w:val="00AE12E7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AE12E7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BC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Gasparyan</dc:creator>
  <cp:keywords/>
  <dc:description/>
  <cp:lastModifiedBy>Arpine Martirosyan</cp:lastModifiedBy>
  <cp:revision>24</cp:revision>
  <cp:lastPrinted>2022-08-02T07:51:00Z</cp:lastPrinted>
  <dcterms:created xsi:type="dcterms:W3CDTF">2022-03-28T06:37:00Z</dcterms:created>
  <dcterms:modified xsi:type="dcterms:W3CDTF">2023-05-04T08:49:00Z</dcterms:modified>
</cp:coreProperties>
</file>