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5" w:rsidRPr="00315A53" w:rsidRDefault="00315A53" w:rsidP="00E26568">
      <w:pPr>
        <w:pStyle w:val="Footer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73374C" w:rsidRDefault="0073374C" w:rsidP="00E26568">
      <w:pPr>
        <w:pStyle w:val="Footer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142DC" w:rsidRDefault="00C824D5" w:rsidP="00E26568">
      <w:pPr>
        <w:pStyle w:val="Footer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441EEE" w:rsidRDefault="00441EEE" w:rsidP="00E26568">
      <w:pPr>
        <w:pStyle w:val="Footer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C824D5" w:rsidRPr="00E142DC" w:rsidRDefault="00EF37BE" w:rsidP="00EF37BE">
      <w:pPr>
        <w:shd w:val="clear" w:color="auto" w:fill="FFFFFF"/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216B2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16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2021 ԹՎԱԿԱՆԻ ՓԵՏՐՎԱՐԻ 4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-Ի</w:t>
      </w:r>
      <w:r w:rsidRPr="00216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N 141-Ն</w:t>
      </w:r>
      <w:r w:rsidR="00A60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60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2014 ԹՎԱԿԱՆԻ ՀՈՒՆԻՍԻ 26-Ի </w:t>
      </w:r>
      <w:r w:rsidR="00A60689" w:rsidRPr="00500A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A60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635-Ն</w:t>
      </w:r>
      <w:r w:rsidR="00A60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ԵՎ  </w:t>
      </w:r>
      <w:r w:rsidRPr="00F173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2015 ԹՎԱԿԱՆԻ ԴԵԿՏԵՄԲԵՐԻ 29-Ի N 1566-Ն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ՈՐՈՇՈՒՄՆԵՐԻ </w:t>
      </w:r>
      <w:r w:rsidRPr="00500A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ՄԵՋ </w:t>
      </w:r>
      <w:r w:rsidRPr="0066618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ՓՈՓՈԽՈՒԹՅՈՒՆՆԵՐ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ԵՎ ԼՐԱՑՈՒՄՆԵՐ </w:t>
      </w:r>
      <w:r w:rsidRPr="00500A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ԿԱՏԱՐԵԼՈՒ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500A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142DC" w:rsidRPr="00E142DC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</w:t>
      </w:r>
      <w:r w:rsidR="00C824D5" w:rsidRPr="00E142DC">
        <w:rPr>
          <w:rStyle w:val="Strong"/>
          <w:rFonts w:ascii="GHEA Grapalat" w:hAnsi="GHEA Grapalat"/>
          <w:sz w:val="24"/>
          <w:szCs w:val="24"/>
          <w:lang w:val="hy-AM"/>
        </w:rPr>
        <w:t xml:space="preserve">ՆԱԽԱԳԾԻ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ԿԱՊԱԿՑՈՒԹՅԱՄԲ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ՇԱՀԱԳՐԳԻՌ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ՆԱԽԱՐԱՐՈՒԹՅՈՒՆՆԵՐԻ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ԱՌԱՐԿՈՒԹՅՈՒՆՆԵՐԻ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24D5" w:rsidRPr="00E142DC">
        <w:rPr>
          <w:rFonts w:ascii="GHEA Grapalat" w:hAnsi="GHEA Grapalat" w:cs="Sylfaen"/>
          <w:b/>
          <w:bCs/>
          <w:sz w:val="24"/>
          <w:szCs w:val="24"/>
          <w:lang w:val="hy-AM"/>
        </w:rPr>
        <w:t>ԱՌԱՋԱՐԿՈՒԹՅՈՒՆՆԵՐԻ</w:t>
      </w:r>
      <w:r w:rsidR="00C824D5" w:rsidRPr="00E142D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AC7883" w:rsidRPr="0095260D" w:rsidRDefault="00AC7883" w:rsidP="00E26568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8635"/>
        <w:gridCol w:w="5760"/>
      </w:tblGrid>
      <w:tr w:rsidR="001D5077" w:rsidRPr="00F52FC1" w:rsidTr="00472C39">
        <w:trPr>
          <w:jc w:val="center"/>
        </w:trPr>
        <w:tc>
          <w:tcPr>
            <w:tcW w:w="8635" w:type="dxa"/>
          </w:tcPr>
          <w:p w:rsidR="001D5077" w:rsidRPr="001D5077" w:rsidRDefault="00B920D4" w:rsidP="001D5077">
            <w:pPr>
              <w:spacing w:line="360" w:lineRule="auto"/>
              <w:ind w:left="9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</w:t>
            </w:r>
            <w:r w:rsidR="001D5077" w:rsidRPr="001D50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Ֆինանսների նախարարություն</w:t>
            </w:r>
          </w:p>
        </w:tc>
        <w:tc>
          <w:tcPr>
            <w:tcW w:w="5760" w:type="dxa"/>
          </w:tcPr>
          <w:p w:rsidR="001D5077" w:rsidRDefault="00280053" w:rsidP="001D507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="001D50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.03.2023</w:t>
            </w:r>
          </w:p>
          <w:p w:rsidR="001D5077" w:rsidRDefault="00280053" w:rsidP="001D507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800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01/34-2/5465-2023</w:t>
            </w:r>
          </w:p>
        </w:tc>
      </w:tr>
      <w:tr w:rsidR="001D5077" w:rsidRPr="00B920D4" w:rsidTr="00472C39">
        <w:trPr>
          <w:jc w:val="center"/>
        </w:trPr>
        <w:tc>
          <w:tcPr>
            <w:tcW w:w="8635" w:type="dxa"/>
          </w:tcPr>
          <w:p w:rsidR="001D5077" w:rsidRPr="00570A08" w:rsidRDefault="00280053" w:rsidP="00E23E60">
            <w:pPr>
              <w:spacing w:line="360" w:lineRule="auto"/>
              <w:ind w:firstLine="567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56F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Ուսումնասիրելով Ձեր 14.03.2023թ. N ՆՄ/ԱԳ-1-2/6020-2023 գրությամբ ներկայացված «Հայաստանի Հանրապետության կառավարության 2014 թվականի հունիսի 26-ի N 635-Ն և 2021 թվականի փետրվարի 4-ի N 141-Ն որոշումների մեջ փոփոխություններ և լրացումներ կատարելու մասին» ՀՀ կառավարության որոշման նախագիծը հայտնում ենք, որ մեր իրավասությունների շրջանակներում առարկություններ չունենք:</w:t>
            </w:r>
          </w:p>
        </w:tc>
        <w:tc>
          <w:tcPr>
            <w:tcW w:w="5760" w:type="dxa"/>
          </w:tcPr>
          <w:p w:rsidR="001D5077" w:rsidRPr="00EC3CAE" w:rsidRDefault="00280053" w:rsidP="006036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Ընդունվել է ի </w:t>
            </w:r>
            <w:r w:rsidR="00E23E6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տություն։</w:t>
            </w:r>
          </w:p>
        </w:tc>
      </w:tr>
      <w:tr w:rsidR="00A121EA" w:rsidRPr="00B920D4" w:rsidTr="00472C39">
        <w:trPr>
          <w:jc w:val="center"/>
        </w:trPr>
        <w:tc>
          <w:tcPr>
            <w:tcW w:w="8635" w:type="dxa"/>
          </w:tcPr>
          <w:p w:rsidR="00A121EA" w:rsidRPr="00A121EA" w:rsidRDefault="00A121EA" w:rsidP="00A121EA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 Արդարադատության նախարարություն</w:t>
            </w:r>
          </w:p>
        </w:tc>
        <w:tc>
          <w:tcPr>
            <w:tcW w:w="5760" w:type="dxa"/>
          </w:tcPr>
          <w:p w:rsidR="00A121EA" w:rsidRPr="00A121EA" w:rsidRDefault="00A121EA" w:rsidP="00A121EA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121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13.04.2023</w:t>
            </w:r>
          </w:p>
          <w:p w:rsidR="00A121EA" w:rsidRDefault="00A121EA" w:rsidP="00A121EA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121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/27.4/18537-2023</w:t>
            </w:r>
          </w:p>
        </w:tc>
      </w:tr>
      <w:tr w:rsidR="00A121EA" w:rsidRPr="00315A53" w:rsidTr="00472C39">
        <w:trPr>
          <w:jc w:val="center"/>
        </w:trPr>
        <w:tc>
          <w:tcPr>
            <w:tcW w:w="8635" w:type="dxa"/>
          </w:tcPr>
          <w:p w:rsidR="008015E8" w:rsidRPr="001E32D9" w:rsidRDefault="008015E8" w:rsidP="008015E8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1E32D9">
              <w:rPr>
                <w:rFonts w:ascii="GHEA Grapalat" w:hAnsi="GHEA Grapalat" w:cs="Sylfaen"/>
                <w:sz w:val="24"/>
                <w:szCs w:val="24"/>
              </w:rPr>
              <w:t xml:space="preserve">«Հայաստանի Հանրապետության կառավարության 2014 թվականի հունիսի 26-ի N 635-Ն, 2021 թվականի փետրվարի 4-ի N 141-Ն և 2015 թվականի դեկտեմբերի 29-ի N 1566-Ն որոշումների մեջ փոփոխություններ և </w:t>
            </w:r>
            <w:r w:rsidRPr="001E32D9">
              <w:rPr>
                <w:rFonts w:ascii="GHEA Grapalat" w:hAnsi="GHEA Grapalat" w:cs="Sylfaen"/>
                <w:sz w:val="24"/>
                <w:szCs w:val="24"/>
              </w:rPr>
              <w:lastRenderedPageBreak/>
              <w:t>լրացումներ կատարելու մասին» Հայաստանի Հանրապետության կառավարության որոշման նախագծի վերաբերյալ</w:t>
            </w:r>
          </w:p>
          <w:p w:rsidR="008015E8" w:rsidRPr="001E32D9" w:rsidRDefault="008015E8" w:rsidP="008015E8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1E32D9">
              <w:rPr>
                <w:rFonts w:ascii="GHEA Grapalat" w:hAnsi="GHEA Grapalat" w:cs="Sylfaen"/>
                <w:sz w:val="24"/>
                <w:szCs w:val="24"/>
              </w:rPr>
              <w:t>«Հայաստանի Հանրապետության կառավարության 2014 թվականի հունիսի 26-ի N 635-Ն, 2021 թվականի փետրվարի 4-ի N 141-Ն և 2015 թվականի դեկտեմբերի 29-ի N 1566-Ն որոշումների մեջ փոփոխություններ և լրացումներ կատարելու մասին» Հայաստանի Հանրապետության կառավարության որոշման նախագծի վերաբերյալ հայտնում ենք հետևյալը.</w:t>
            </w:r>
          </w:p>
          <w:p w:rsidR="00A121EA" w:rsidRPr="00E256F7" w:rsidRDefault="008015E8" w:rsidP="00E23E60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12FB1">
              <w:rPr>
                <w:rFonts w:ascii="GHEA Grapalat" w:hAnsi="GHEA Grapalat" w:cs="Sylfaen"/>
                <w:sz w:val="24"/>
                <w:szCs w:val="24"/>
              </w:rPr>
              <w:t>1.</w:t>
            </w:r>
            <w:r w:rsidRPr="001E32D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 1-ին կետի 1-ին ենթակետում «2-րդ կետում» բառերից հետո անհրաժեշտ է լրացնել «բոլոր» բառը՝ նկատի ունենալով, որ 2-րդ կետում առկա են 2 «առաջին կամ երկրորդ խմբի» բառեր:</w:t>
            </w:r>
          </w:p>
        </w:tc>
        <w:tc>
          <w:tcPr>
            <w:tcW w:w="5760" w:type="dxa"/>
          </w:tcPr>
          <w:p w:rsidR="00A121EA" w:rsidRDefault="00395B8D" w:rsidP="006036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Չի ընդունվել</w:t>
            </w:r>
            <w:r w:rsidR="00C84B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C84B84" w:rsidRPr="00C84B84" w:rsidRDefault="00C84B84" w:rsidP="00E164B8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84B8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Նախագծի 1-ին կետի 1-ին ենթակետ</w:t>
            </w:r>
            <w:r w:rsidR="00395B8D">
              <w:rPr>
                <w:rFonts w:ascii="GHEA Grapalat" w:hAnsi="GHEA Grapalat" w:cs="Sylfaen"/>
                <w:sz w:val="24"/>
                <w:szCs w:val="24"/>
                <w:lang w:val="hy-AM"/>
              </w:rPr>
              <w:t>ի խմբագրությունը նշանակում է, որ այն վերաբերում է բոլոր ձևակերպումներին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։ </w:t>
            </w:r>
          </w:p>
        </w:tc>
      </w:tr>
      <w:tr w:rsidR="00A121EA" w:rsidRPr="00315A53" w:rsidTr="00472C39">
        <w:trPr>
          <w:jc w:val="center"/>
        </w:trPr>
        <w:tc>
          <w:tcPr>
            <w:tcW w:w="8635" w:type="dxa"/>
          </w:tcPr>
          <w:p w:rsidR="00A121EA" w:rsidRPr="005D25EC" w:rsidRDefault="001E32D9" w:rsidP="00E23E60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25E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2. Նկատի ունենալով այն հանգամանքը, որ ՀՀ կառավարության 2014 թվականի հունիսի 26-ի թիվ 635-Ն որոշման մեջ բացակայում են «բժշկասոցիալական փորձաքննության իրականացնող իրավասու պետական մարմին» բառերը՝ Նախագծի 2-րդ կետը անհրաժեշտ է վերախմբագրել՝ հանելով «և» բառը:</w:t>
            </w:r>
          </w:p>
        </w:tc>
        <w:tc>
          <w:tcPr>
            <w:tcW w:w="5760" w:type="dxa"/>
          </w:tcPr>
          <w:p w:rsidR="00A121EA" w:rsidRDefault="005D25EC" w:rsidP="006036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5D25EC" w:rsidRDefault="005D25EC" w:rsidP="006036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D25E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2-րդ կետը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խմբագրվել է։</w:t>
            </w:r>
          </w:p>
        </w:tc>
      </w:tr>
      <w:tr w:rsidR="004C6E07" w:rsidRPr="004C6E07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4C6E07">
            <w:pPr>
              <w:tabs>
                <w:tab w:val="left" w:pos="0"/>
              </w:tabs>
              <w:spacing w:line="360" w:lineRule="auto"/>
              <w:ind w:right="-2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 աշխատակազմի սոցիալական հարցերի վարչություն</w:t>
            </w:r>
          </w:p>
          <w:p w:rsidR="004C6E07" w:rsidRPr="005D25EC" w:rsidRDefault="004C6E07" w:rsidP="00E23E60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</w:tcPr>
          <w:p w:rsidR="004C6E07" w:rsidRDefault="004C6E07" w:rsidP="004C6E0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19.04.2023 թ․ թիվ </w:t>
            </w:r>
            <w:r w:rsidRPr="004C6E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02/11.4/14225-2023</w:t>
            </w:r>
          </w:p>
        </w:tc>
      </w:tr>
      <w:tr w:rsidR="004C6E07" w:rsidRPr="004C6E07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4C6E07">
            <w:pPr>
              <w:tabs>
                <w:tab w:val="left" w:pos="0"/>
              </w:tabs>
              <w:spacing w:line="360" w:lineRule="auto"/>
              <w:ind w:right="-2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</w:t>
            </w:r>
          </w:p>
          <w:p w:rsidR="004C6E07" w:rsidRPr="004C6E07" w:rsidRDefault="004C6E07" w:rsidP="004C6E07">
            <w:pPr>
              <w:tabs>
                <w:tab w:val="left" w:pos="0"/>
              </w:tabs>
              <w:spacing w:line="360" w:lineRule="auto"/>
              <w:ind w:right="-2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2014 թվականի հունիսի 26-ի N 635-Ն, 2021 թվականի փետրվարի 4-ի N 141-Ն և 2015 թվականի դեկտեմբերի 29-ի N 1566-Ն որոշումների մեջ փոփոխություններ և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լրացումներ կատարելու մասին» Կառավարության որոշման նախագծի վերաբերյալ</w:t>
            </w:r>
          </w:p>
        </w:tc>
        <w:tc>
          <w:tcPr>
            <w:tcW w:w="5760" w:type="dxa"/>
          </w:tcPr>
          <w:p w:rsidR="004C6E07" w:rsidRDefault="004C6E07" w:rsidP="004C6E0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1-ին ենթակետով առաջարկվող փոփոխությամբ ստացվում է ֆունկցիոնալության սահմանափակման խորը կամ ծանր աստիճանի հաշմանդամությունը ձեռք է բերել....... : Մինչդեռ գործող օրենսդրությամբ աստիճանը վերաբերում է ոչ թե հաշմանդամությանը, այլ ֆունկցիոնալության սահմանափակմանը:</w:t>
            </w:r>
          </w:p>
        </w:tc>
        <w:tc>
          <w:tcPr>
            <w:tcW w:w="5760" w:type="dxa"/>
          </w:tcPr>
          <w:p w:rsidR="004C6E07" w:rsidRDefault="003F53C3" w:rsidP="004C6E0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3F53C3" w:rsidRDefault="003F53C3" w:rsidP="003F53C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1-ին ենթակետ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 խմբագրվել է։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6A64C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4-րդ և 5-րդ, 2-րդ կետի 4–րդ և 5-րդ ենթակետերն անհրաժեշտ է խմբագրել՝ հաշվի առնելով, որ բժշկասոցիալական փորձաքննությամբ սահմանվում է հաշմանդամությունը:</w:t>
            </w:r>
            <w:bookmarkEnd w:id="0"/>
          </w:p>
        </w:tc>
        <w:tc>
          <w:tcPr>
            <w:tcW w:w="5760" w:type="dxa"/>
          </w:tcPr>
          <w:p w:rsidR="004C6E07" w:rsidRDefault="00E25E57" w:rsidP="004C6E0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83181C" w:rsidRDefault="0045258A" w:rsidP="00D575B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4-րդ</w:t>
            </w:r>
            <w:r w:rsidR="00D57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ենթակետը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5-րդ</w:t>
            </w:r>
            <w:r w:rsidR="00D57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նախագծի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2-րդ կետի </w:t>
            </w:r>
            <w:r w:rsidR="00D57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2-րդ ենթակետով լրացվող՝ </w:t>
            </w:r>
            <w:r w:rsidR="00D575B2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="00D575B2" w:rsidRP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 2014 թվականի  հունիսի 26-ի </w:t>
            </w:r>
            <w:r w:rsidR="00D575B2"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D57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635-Ն որոշման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4–րդ և 5-րդ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ենթակետերը խմբագրվել են։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6-րդ, 2-րդ կետի 6-րդ ենթակետերում անհասկանալի է «բժշկասոցիալական փորձաքննություն գնահատում» ձևակերպումը:</w:t>
            </w:r>
          </w:p>
        </w:tc>
        <w:tc>
          <w:tcPr>
            <w:tcW w:w="5760" w:type="dxa"/>
          </w:tcPr>
          <w:p w:rsidR="009C2E17" w:rsidRDefault="009C2E17" w:rsidP="009C2E1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4C6E07" w:rsidRDefault="009C2E17" w:rsidP="009460F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</w:t>
            </w:r>
            <w:r w:rsidR="009460F0" w:rsidRP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>1-ին կետի 2-րդ</w:t>
            </w:r>
            <w:r w:rsid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ենթակետով լրացվող՝ ՀՀ</w:t>
            </w:r>
            <w:r w:rsidR="009460F0" w:rsidRP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 2021 թվականի  փետրվարի 4-ի</w:t>
            </w:r>
            <w:r w:rsid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460F0" w:rsidRP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>141-Ն որոշման 3.1-ին կետի 6-րդ ենթակետը և Նախագծի 2-րդ կետի 2-րդ ենթակետով լրացվող՝ ՀՀ</w:t>
            </w:r>
            <w:r w:rsidR="009460F0" w:rsidRP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 2014 թվականի  հունիսի 26-ի </w:t>
            </w:r>
            <w:r w:rsidR="009460F0"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9460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635-Ն որոշման 4-րդ կետի 6-րդ ենթակետը խմբագրվել </w:t>
            </w:r>
            <w:r w:rsidR="007C7294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4C6E07" w:rsidRPr="00D02605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Նախագծի 1-ին կետի 3-րդ ենթակետով և 3-րդ կետի 2-րդ ենթակետով նախատեսվող փոփոխությունն անհրաժեշտ է կատարել այնպես, որ դրա արդյունքում նախադասությունների իմաստները չաղավաղվեն: Օրինակ, ոչ թե ֆունկցիոնալության սահմանափակման խորը աստիճանի հաշմանդամություն ունեցող անձ, այլ ֆունկցինալության խորը աստիճանի սահմանափակումով հաշմանդամություն ունեցող անձ և այլ:</w:t>
            </w:r>
          </w:p>
        </w:tc>
        <w:tc>
          <w:tcPr>
            <w:tcW w:w="5760" w:type="dxa"/>
          </w:tcPr>
          <w:p w:rsidR="004C6E07" w:rsidRDefault="00BA3AB5" w:rsidP="00122786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D02605" w:rsidRDefault="00D02605" w:rsidP="00D02605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3-րդ և 3-րդ կետի 2-րդ ենթակետ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երում 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ամապատասխան փոփոխությունները կատարվել են։</w:t>
            </w:r>
          </w:p>
          <w:p w:rsidR="00BA3AB5" w:rsidRPr="00BA3AB5" w:rsidRDefault="00BA3AB5" w:rsidP="00122786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4C6E07" w:rsidRPr="00315A53" w:rsidTr="00472C39">
        <w:trPr>
          <w:trHeight w:val="1322"/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1-ին կետի 5-րդ ենթակետում փոխարինվող բառերից անհրաժեշտ է հանել «անձի» բառը:</w:t>
            </w:r>
          </w:p>
        </w:tc>
        <w:tc>
          <w:tcPr>
            <w:tcW w:w="5760" w:type="dxa"/>
          </w:tcPr>
          <w:p w:rsidR="004C6E07" w:rsidRDefault="00001348" w:rsidP="004C6E0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001348" w:rsidRDefault="00001348" w:rsidP="00E164B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1-ին կետի 5-րդ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ենթակետից </w:t>
            </w:r>
            <w:r w:rsidRPr="00001348">
              <w:rPr>
                <w:rFonts w:ascii="GHEA Grapalat" w:hAnsi="GHEA Grapalat" w:cs="Sylfaen"/>
                <w:sz w:val="24"/>
                <w:szCs w:val="24"/>
                <w:lang w:val="hy-AM"/>
              </w:rPr>
              <w:t>«անձի» բառը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</w:t>
            </w:r>
            <w:r w:rsidR="00C74B2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վել է։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2-րդ կետի 3-րդ ենթակետի ե. պարբերությունում «հաշմանդամ» բառն անհրաժեշտ է փոխարինել «հաշմանդամություն ունեցող անձ» բառերով:</w:t>
            </w:r>
          </w:p>
        </w:tc>
        <w:tc>
          <w:tcPr>
            <w:tcW w:w="5760" w:type="dxa"/>
          </w:tcPr>
          <w:p w:rsidR="006A60E4" w:rsidRDefault="006A60E4" w:rsidP="006A60E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4C6E07" w:rsidRDefault="006A60E4" w:rsidP="007F508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2-րդ կետի 3-րդ ենթակետի ե. պարբերությունում «հաշմանդամ» </w:t>
            </w:r>
            <w:r w:rsidR="007F5080">
              <w:rPr>
                <w:rFonts w:ascii="GHEA Grapalat" w:hAnsi="GHEA Grapalat" w:cs="Sylfaen"/>
                <w:sz w:val="24"/>
                <w:szCs w:val="24"/>
                <w:lang w:val="hy-AM"/>
              </w:rPr>
              <w:t>բառը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փոխարին</w:t>
            </w:r>
            <w:r w:rsidR="007F5080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7F50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«հաշմանդամություն ունեցող անձ» բառերով: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է փոփոխություններ նախատեսել նաև գործող՝ Կառավարության 26.06.2014թ. N 635-Ն որոշմամբ հաստատված N 1 </w:t>
            </w:r>
            <w:r w:rsidRPr="00C27869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հավելվածի 31.1-ին, 31.2-րդ,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49-րդ կետերում, N 2 հավելվածի 15-րդ, 15.1-ին կետերում:</w:t>
            </w:r>
            <w:r w:rsidR="006677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760" w:type="dxa"/>
          </w:tcPr>
          <w:p w:rsidR="00FE3E8E" w:rsidRDefault="00FE3E8E" w:rsidP="00FE3E8E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4C6E07" w:rsidRPr="00FE3E8E" w:rsidRDefault="00947430" w:rsidP="00947430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26.06.2014թ. N 635-Ն որոշմամբ հաստատված N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N 1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2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հավելվածներում կատարվել </w:t>
            </w:r>
            <w:r w:rsidR="00FE3E8E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փոփոխություններ</w:t>
            </w:r>
            <w:r w:rsidR="00FE3E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Նախագծին կից հիմնավորումն անհրաժեշտ է խմբագրել՝ հաշվի առնելով հաշմանդամության ոլորտում իրականացված բարեփոխումները: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Օրինակ, 1.1-ին կետի նախավերջին պարբերությունում «ֆունկցիոնալության սահմանափակման խումբ» ձևակերպում չկա և այլն:</w:t>
            </w:r>
          </w:p>
        </w:tc>
        <w:tc>
          <w:tcPr>
            <w:tcW w:w="5760" w:type="dxa"/>
          </w:tcPr>
          <w:p w:rsidR="002646E1" w:rsidRDefault="002646E1" w:rsidP="002646E1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է։</w:t>
            </w:r>
          </w:p>
          <w:p w:rsidR="004C6E07" w:rsidRDefault="002646E1" w:rsidP="002646E1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իմնավորում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խմբագր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է։</w:t>
            </w:r>
          </w:p>
        </w:tc>
      </w:tr>
      <w:tr w:rsidR="004C6E07" w:rsidRPr="00315A53" w:rsidTr="00472C39">
        <w:trPr>
          <w:jc w:val="center"/>
        </w:trPr>
        <w:tc>
          <w:tcPr>
            <w:tcW w:w="8635" w:type="dxa"/>
          </w:tcPr>
          <w:p w:rsidR="004C6E07" w:rsidRPr="004C6E07" w:rsidRDefault="004C6E07" w:rsidP="003F53C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0" w:right="-23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տեխնիկայի մասով անհրաժեշտ է համապատասխանեցնել «Նորմատիվ իրավական ակտերի մասին» օրենքի պահանջներին: Օրինակ, նախագծի վերնագիրն ու նախատեվող փոփոխությունների հերթականությունը, նախագծի 2-րդ կետի 4-րդ ենթակետը </w:t>
            </w:r>
            <w:r w:rsidRPr="00BA2FB3">
              <w:rPr>
                <w:rFonts w:ascii="GHEA Grapalat" w:hAnsi="GHEA Grapalat" w:cs="Sylfaen"/>
                <w:sz w:val="24"/>
                <w:szCs w:val="24"/>
                <w:lang w:val="hy-AM"/>
              </w:rPr>
              <w:t>և այլն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5760" w:type="dxa"/>
          </w:tcPr>
          <w:p w:rsidR="002646E1" w:rsidRDefault="002646E1" w:rsidP="002646E1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է։</w:t>
            </w:r>
          </w:p>
          <w:p w:rsidR="004C6E07" w:rsidRDefault="002646E1" w:rsidP="002646E1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ախագծի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վերնագիրը և </w:t>
            </w:r>
            <w:r w:rsidRPr="004C6E07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2-րդ կետի 4-րդ ենթակետը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խմբագրվել են։</w:t>
            </w:r>
          </w:p>
        </w:tc>
      </w:tr>
    </w:tbl>
    <w:p w:rsidR="00AC7883" w:rsidRPr="00F21472" w:rsidRDefault="00AC7883" w:rsidP="004C6E0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AC7883" w:rsidRPr="00F21472" w:rsidSect="00441EEE">
      <w:pgSz w:w="16838" w:h="11906" w:orient="landscape" w:code="9"/>
      <w:pgMar w:top="567" w:right="70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58" w:rsidRDefault="00880F58" w:rsidP="003D30E3">
      <w:pPr>
        <w:spacing w:after="0" w:line="240" w:lineRule="auto"/>
      </w:pPr>
      <w:r>
        <w:separator/>
      </w:r>
    </w:p>
  </w:endnote>
  <w:endnote w:type="continuationSeparator" w:id="0">
    <w:p w:rsidR="00880F58" w:rsidRDefault="00880F58" w:rsidP="003D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58" w:rsidRDefault="00880F58" w:rsidP="003D30E3">
      <w:pPr>
        <w:spacing w:after="0" w:line="240" w:lineRule="auto"/>
      </w:pPr>
      <w:r>
        <w:separator/>
      </w:r>
    </w:p>
  </w:footnote>
  <w:footnote w:type="continuationSeparator" w:id="0">
    <w:p w:rsidR="00880F58" w:rsidRDefault="00880F58" w:rsidP="003D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A1"/>
    <w:multiLevelType w:val="hybridMultilevel"/>
    <w:tmpl w:val="2002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943"/>
    <w:multiLevelType w:val="multilevel"/>
    <w:tmpl w:val="2F80C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2C85D03"/>
    <w:multiLevelType w:val="hybridMultilevel"/>
    <w:tmpl w:val="A2926648"/>
    <w:lvl w:ilvl="0" w:tplc="762AB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9652C"/>
    <w:multiLevelType w:val="hybridMultilevel"/>
    <w:tmpl w:val="6F80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A07"/>
    <w:multiLevelType w:val="hybridMultilevel"/>
    <w:tmpl w:val="A2926648"/>
    <w:lvl w:ilvl="0" w:tplc="762AB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1B6AD3"/>
    <w:multiLevelType w:val="hybridMultilevel"/>
    <w:tmpl w:val="CD88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BFF"/>
    <w:multiLevelType w:val="hybridMultilevel"/>
    <w:tmpl w:val="4BB0FA54"/>
    <w:lvl w:ilvl="0" w:tplc="04090011">
      <w:start w:val="1"/>
      <w:numFmt w:val="decimal"/>
      <w:lvlText w:val="%1)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3FEA39CE"/>
    <w:multiLevelType w:val="hybridMultilevel"/>
    <w:tmpl w:val="644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7820"/>
    <w:multiLevelType w:val="hybridMultilevel"/>
    <w:tmpl w:val="B3E4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A2A"/>
    <w:multiLevelType w:val="hybridMultilevel"/>
    <w:tmpl w:val="96BAE4D2"/>
    <w:lvl w:ilvl="0" w:tplc="CF627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797E"/>
    <w:multiLevelType w:val="hybridMultilevel"/>
    <w:tmpl w:val="CF2C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C22"/>
    <w:multiLevelType w:val="hybridMultilevel"/>
    <w:tmpl w:val="4EA4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DEB"/>
    <w:multiLevelType w:val="hybridMultilevel"/>
    <w:tmpl w:val="2852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535A"/>
    <w:multiLevelType w:val="hybridMultilevel"/>
    <w:tmpl w:val="7AF6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C"/>
    <w:rsid w:val="00001348"/>
    <w:rsid w:val="00010FF5"/>
    <w:rsid w:val="00016C08"/>
    <w:rsid w:val="0002233E"/>
    <w:rsid w:val="0002456B"/>
    <w:rsid w:val="00027E4C"/>
    <w:rsid w:val="0003057A"/>
    <w:rsid w:val="00036ECC"/>
    <w:rsid w:val="000406FC"/>
    <w:rsid w:val="000558B5"/>
    <w:rsid w:val="00061345"/>
    <w:rsid w:val="00077908"/>
    <w:rsid w:val="000816BB"/>
    <w:rsid w:val="000A0FC6"/>
    <w:rsid w:val="000A6610"/>
    <w:rsid w:val="000C06EB"/>
    <w:rsid w:val="000D27B0"/>
    <w:rsid w:val="000E6ADE"/>
    <w:rsid w:val="000F00A2"/>
    <w:rsid w:val="00101A93"/>
    <w:rsid w:val="00113DBC"/>
    <w:rsid w:val="00122786"/>
    <w:rsid w:val="00125C9C"/>
    <w:rsid w:val="00131C59"/>
    <w:rsid w:val="00132F23"/>
    <w:rsid w:val="00151623"/>
    <w:rsid w:val="00162C8D"/>
    <w:rsid w:val="00180AB7"/>
    <w:rsid w:val="00191258"/>
    <w:rsid w:val="001A241F"/>
    <w:rsid w:val="001B68E9"/>
    <w:rsid w:val="001D5077"/>
    <w:rsid w:val="001E32D9"/>
    <w:rsid w:val="00203CE0"/>
    <w:rsid w:val="002372DA"/>
    <w:rsid w:val="00242597"/>
    <w:rsid w:val="002472FA"/>
    <w:rsid w:val="00250C8A"/>
    <w:rsid w:val="002646E1"/>
    <w:rsid w:val="0027741F"/>
    <w:rsid w:val="00280053"/>
    <w:rsid w:val="002A0A4D"/>
    <w:rsid w:val="002A16AE"/>
    <w:rsid w:val="002B73A4"/>
    <w:rsid w:val="002C2887"/>
    <w:rsid w:val="002D78BC"/>
    <w:rsid w:val="002E2D97"/>
    <w:rsid w:val="002E3D9A"/>
    <w:rsid w:val="002F263D"/>
    <w:rsid w:val="00315A53"/>
    <w:rsid w:val="00353CA8"/>
    <w:rsid w:val="003571C1"/>
    <w:rsid w:val="00395373"/>
    <w:rsid w:val="00395B8D"/>
    <w:rsid w:val="003B3E4F"/>
    <w:rsid w:val="003D05DC"/>
    <w:rsid w:val="003D0A3C"/>
    <w:rsid w:val="003D30E3"/>
    <w:rsid w:val="003F53C3"/>
    <w:rsid w:val="004324AA"/>
    <w:rsid w:val="00441EEE"/>
    <w:rsid w:val="004475D4"/>
    <w:rsid w:val="00450C3A"/>
    <w:rsid w:val="0045258A"/>
    <w:rsid w:val="00461A17"/>
    <w:rsid w:val="00462F30"/>
    <w:rsid w:val="00465B5C"/>
    <w:rsid w:val="00472C39"/>
    <w:rsid w:val="00485EAF"/>
    <w:rsid w:val="004B255B"/>
    <w:rsid w:val="004B61D5"/>
    <w:rsid w:val="004C0FBB"/>
    <w:rsid w:val="004C6E07"/>
    <w:rsid w:val="004D0B27"/>
    <w:rsid w:val="00505BE0"/>
    <w:rsid w:val="00535FDC"/>
    <w:rsid w:val="005545BC"/>
    <w:rsid w:val="00563029"/>
    <w:rsid w:val="00564C18"/>
    <w:rsid w:val="00564F11"/>
    <w:rsid w:val="00570A08"/>
    <w:rsid w:val="005754CC"/>
    <w:rsid w:val="00590B8A"/>
    <w:rsid w:val="005920E3"/>
    <w:rsid w:val="005A12E7"/>
    <w:rsid w:val="005A59DE"/>
    <w:rsid w:val="005B64FD"/>
    <w:rsid w:val="005D25EC"/>
    <w:rsid w:val="005E5CA2"/>
    <w:rsid w:val="005E697B"/>
    <w:rsid w:val="006036AC"/>
    <w:rsid w:val="00607627"/>
    <w:rsid w:val="006135AC"/>
    <w:rsid w:val="00615A71"/>
    <w:rsid w:val="006179C9"/>
    <w:rsid w:val="00625EE1"/>
    <w:rsid w:val="006552E7"/>
    <w:rsid w:val="00664F1F"/>
    <w:rsid w:val="0066773C"/>
    <w:rsid w:val="0068585A"/>
    <w:rsid w:val="006A5FC5"/>
    <w:rsid w:val="006A60E4"/>
    <w:rsid w:val="006A64CA"/>
    <w:rsid w:val="006B6E91"/>
    <w:rsid w:val="006E1AB9"/>
    <w:rsid w:val="006E4094"/>
    <w:rsid w:val="006F5238"/>
    <w:rsid w:val="0070151D"/>
    <w:rsid w:val="00705201"/>
    <w:rsid w:val="00711850"/>
    <w:rsid w:val="00717B72"/>
    <w:rsid w:val="0073374C"/>
    <w:rsid w:val="00733B1E"/>
    <w:rsid w:val="007453A7"/>
    <w:rsid w:val="00746A0A"/>
    <w:rsid w:val="0075323D"/>
    <w:rsid w:val="007543CE"/>
    <w:rsid w:val="00755710"/>
    <w:rsid w:val="00764747"/>
    <w:rsid w:val="00776CF9"/>
    <w:rsid w:val="007810AC"/>
    <w:rsid w:val="007B52FE"/>
    <w:rsid w:val="007C7294"/>
    <w:rsid w:val="007D4550"/>
    <w:rsid w:val="007D5F95"/>
    <w:rsid w:val="007E2AD7"/>
    <w:rsid w:val="007F1509"/>
    <w:rsid w:val="007F4176"/>
    <w:rsid w:val="007F5080"/>
    <w:rsid w:val="008007AF"/>
    <w:rsid w:val="008015E8"/>
    <w:rsid w:val="00806660"/>
    <w:rsid w:val="0081597A"/>
    <w:rsid w:val="0083181C"/>
    <w:rsid w:val="008548EB"/>
    <w:rsid w:val="00880F58"/>
    <w:rsid w:val="0088288E"/>
    <w:rsid w:val="00886404"/>
    <w:rsid w:val="00897F76"/>
    <w:rsid w:val="008B30D0"/>
    <w:rsid w:val="008D2B23"/>
    <w:rsid w:val="008E2C8D"/>
    <w:rsid w:val="008E6025"/>
    <w:rsid w:val="008E6F97"/>
    <w:rsid w:val="008E70E5"/>
    <w:rsid w:val="00912FD3"/>
    <w:rsid w:val="00914475"/>
    <w:rsid w:val="00924ACA"/>
    <w:rsid w:val="00932296"/>
    <w:rsid w:val="00940AEB"/>
    <w:rsid w:val="009433E8"/>
    <w:rsid w:val="009460F0"/>
    <w:rsid w:val="00947430"/>
    <w:rsid w:val="0095260D"/>
    <w:rsid w:val="00954ED1"/>
    <w:rsid w:val="009554B9"/>
    <w:rsid w:val="0096329A"/>
    <w:rsid w:val="009A3DDC"/>
    <w:rsid w:val="009A6775"/>
    <w:rsid w:val="009B486C"/>
    <w:rsid w:val="009C2E17"/>
    <w:rsid w:val="009C4986"/>
    <w:rsid w:val="009D0E37"/>
    <w:rsid w:val="009D6417"/>
    <w:rsid w:val="009E6D06"/>
    <w:rsid w:val="00A06DC6"/>
    <w:rsid w:val="00A121EA"/>
    <w:rsid w:val="00A138C7"/>
    <w:rsid w:val="00A25C77"/>
    <w:rsid w:val="00A60689"/>
    <w:rsid w:val="00A64027"/>
    <w:rsid w:val="00A92339"/>
    <w:rsid w:val="00AA2BAB"/>
    <w:rsid w:val="00AB72C5"/>
    <w:rsid w:val="00AC5E7F"/>
    <w:rsid w:val="00AC7883"/>
    <w:rsid w:val="00B27B9E"/>
    <w:rsid w:val="00B559FA"/>
    <w:rsid w:val="00B604DA"/>
    <w:rsid w:val="00B77EB9"/>
    <w:rsid w:val="00B920D4"/>
    <w:rsid w:val="00B92AD6"/>
    <w:rsid w:val="00B92E39"/>
    <w:rsid w:val="00BA1365"/>
    <w:rsid w:val="00BA2FB3"/>
    <w:rsid w:val="00BA3AB5"/>
    <w:rsid w:val="00BA5BC5"/>
    <w:rsid w:val="00BD7DDA"/>
    <w:rsid w:val="00BE4270"/>
    <w:rsid w:val="00BF160D"/>
    <w:rsid w:val="00C071BD"/>
    <w:rsid w:val="00C1511E"/>
    <w:rsid w:val="00C16A72"/>
    <w:rsid w:val="00C27869"/>
    <w:rsid w:val="00C345F1"/>
    <w:rsid w:val="00C74B27"/>
    <w:rsid w:val="00C824D5"/>
    <w:rsid w:val="00C84B84"/>
    <w:rsid w:val="00C903DE"/>
    <w:rsid w:val="00C94314"/>
    <w:rsid w:val="00C94624"/>
    <w:rsid w:val="00C9758D"/>
    <w:rsid w:val="00CA0609"/>
    <w:rsid w:val="00CA4165"/>
    <w:rsid w:val="00CD33D8"/>
    <w:rsid w:val="00D003E3"/>
    <w:rsid w:val="00D02605"/>
    <w:rsid w:val="00D3282F"/>
    <w:rsid w:val="00D43DCD"/>
    <w:rsid w:val="00D575B2"/>
    <w:rsid w:val="00D66938"/>
    <w:rsid w:val="00D93826"/>
    <w:rsid w:val="00DA22A7"/>
    <w:rsid w:val="00DB4C90"/>
    <w:rsid w:val="00DB4EC7"/>
    <w:rsid w:val="00DB7721"/>
    <w:rsid w:val="00DD6ADB"/>
    <w:rsid w:val="00DE1014"/>
    <w:rsid w:val="00DE5BE6"/>
    <w:rsid w:val="00E0558E"/>
    <w:rsid w:val="00E142DC"/>
    <w:rsid w:val="00E164B8"/>
    <w:rsid w:val="00E174FD"/>
    <w:rsid w:val="00E23E60"/>
    <w:rsid w:val="00E25E57"/>
    <w:rsid w:val="00E26568"/>
    <w:rsid w:val="00E51A57"/>
    <w:rsid w:val="00E53EDB"/>
    <w:rsid w:val="00E54D93"/>
    <w:rsid w:val="00E62FE8"/>
    <w:rsid w:val="00E65A9F"/>
    <w:rsid w:val="00E73843"/>
    <w:rsid w:val="00E91BF2"/>
    <w:rsid w:val="00E968F6"/>
    <w:rsid w:val="00EC3B05"/>
    <w:rsid w:val="00EC3CAE"/>
    <w:rsid w:val="00ED43EE"/>
    <w:rsid w:val="00EF37BE"/>
    <w:rsid w:val="00EF5A0C"/>
    <w:rsid w:val="00F00EFA"/>
    <w:rsid w:val="00F21472"/>
    <w:rsid w:val="00F21A5B"/>
    <w:rsid w:val="00F3390D"/>
    <w:rsid w:val="00F33EF8"/>
    <w:rsid w:val="00F42142"/>
    <w:rsid w:val="00F421AD"/>
    <w:rsid w:val="00F514D5"/>
    <w:rsid w:val="00F52FC1"/>
    <w:rsid w:val="00F71C5E"/>
    <w:rsid w:val="00F930B7"/>
    <w:rsid w:val="00FC1F0E"/>
    <w:rsid w:val="00FE3E8E"/>
    <w:rsid w:val="00FF487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2796"/>
  <w15:chartTrackingRefBased/>
  <w15:docId w15:val="{4B4A0B90-3DAB-403E-92D1-6692D08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7883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AC788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450C3A"/>
  </w:style>
  <w:style w:type="paragraph" w:styleId="Header">
    <w:name w:val="header"/>
    <w:basedOn w:val="Normal"/>
    <w:link w:val="HeaderChar"/>
    <w:uiPriority w:val="99"/>
    <w:unhideWhenUsed/>
    <w:rsid w:val="003D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E3"/>
  </w:style>
  <w:style w:type="paragraph" w:styleId="Footer">
    <w:name w:val="footer"/>
    <w:basedOn w:val="Normal"/>
    <w:link w:val="FooterChar"/>
    <w:unhideWhenUsed/>
    <w:rsid w:val="003D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30E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webb"/>
    <w:basedOn w:val="Normal"/>
    <w:link w:val="NormalWebChar"/>
    <w:uiPriority w:val="99"/>
    <w:semiHidden/>
    <w:unhideWhenUsed/>
    <w:qFormat/>
    <w:rsid w:val="0019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258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,webb Char"/>
    <w:link w:val="NormalWeb"/>
    <w:uiPriority w:val="99"/>
    <w:semiHidden/>
    <w:locked/>
    <w:rsid w:val="00C824D5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9E6D06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qFormat/>
    <w:rsid w:val="009E6D06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626</Words>
  <Characters>4639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Armine.Balyan</dc:creator>
  <cp:keywords>https://mul2-mss.gov.am/tasks/1633548/oneclick/ampopatert.docx?token=1d22b4b77cf9fc9d9a8d35df5bd19e93</cp:keywords>
  <dc:description/>
  <cp:lastModifiedBy>Anahit.Galstyan</cp:lastModifiedBy>
  <cp:revision>37</cp:revision>
  <dcterms:created xsi:type="dcterms:W3CDTF">2023-03-28T07:30:00Z</dcterms:created>
  <dcterms:modified xsi:type="dcterms:W3CDTF">2023-05-03T10:42:00Z</dcterms:modified>
</cp:coreProperties>
</file>