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CE" w:rsidRPr="00FE1ED3" w:rsidRDefault="001656CE" w:rsidP="00FE1ED3">
      <w:pPr>
        <w:spacing w:line="276" w:lineRule="auto"/>
        <w:jc w:val="both"/>
        <w:rPr>
          <w:rStyle w:val="Strong"/>
          <w:rFonts w:ascii="GHEA Grapalat" w:hAnsi="GHEA Grapalat"/>
          <w:color w:val="000000"/>
          <w:sz w:val="24"/>
          <w:szCs w:val="24"/>
          <w:shd w:val="clear" w:color="auto" w:fill="FFFFFF"/>
        </w:rPr>
      </w:pPr>
      <w:r w:rsidRPr="00FE1ED3">
        <w:rPr>
          <w:rStyle w:val="Strong"/>
          <w:rFonts w:ascii="GHEA Grapalat" w:hAnsi="GHEA Grapalat"/>
          <w:color w:val="000000"/>
          <w:sz w:val="24"/>
          <w:szCs w:val="24"/>
          <w:shd w:val="clear" w:color="auto" w:fill="FFFFFF"/>
        </w:rPr>
        <w:t>ԱՎՏՈՄՈԲԻԼԱՅԻՆ ՏՐԱՆՍՊՈՐՏԻ ՄԱՍԻՆ</w:t>
      </w:r>
    </w:p>
    <w:p w:rsidR="001656CE" w:rsidRPr="00FE1ED3" w:rsidRDefault="001656CE" w:rsidP="00FE1ED3">
      <w:pPr>
        <w:spacing w:line="276" w:lineRule="auto"/>
        <w:jc w:val="both"/>
        <w:rPr>
          <w:rFonts w:ascii="GHEA Grapalat" w:hAnsi="GHEA Grapalat"/>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875"/>
      </w:tblGrid>
      <w:tr w:rsidR="001656CE" w:rsidRPr="00FE1ED3" w:rsidTr="001656CE">
        <w:trPr>
          <w:tblCellSpacing w:w="0" w:type="dxa"/>
        </w:trPr>
        <w:tc>
          <w:tcPr>
            <w:tcW w:w="2025" w:type="dxa"/>
            <w:shd w:val="clear" w:color="auto" w:fill="FFFFFF"/>
            <w:vAlign w:val="center"/>
            <w:hideMark/>
          </w:tcPr>
          <w:p w:rsidR="001656CE" w:rsidRPr="00FE1ED3" w:rsidRDefault="001656CE" w:rsidP="00FE1ED3">
            <w:pPr>
              <w:spacing w:before="100" w:beforeAutospacing="1" w:after="100" w:afterAutospacing="1" w:line="276" w:lineRule="auto"/>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b/>
                <w:bCs/>
                <w:color w:val="000000"/>
                <w:sz w:val="24"/>
                <w:szCs w:val="24"/>
              </w:rPr>
              <w:t>Հոդված 4.</w:t>
            </w:r>
          </w:p>
        </w:tc>
        <w:tc>
          <w:tcPr>
            <w:tcW w:w="0" w:type="auto"/>
            <w:shd w:val="clear" w:color="auto" w:fill="FFFFFF"/>
            <w:vAlign w:val="center"/>
            <w:hideMark/>
          </w:tcPr>
          <w:p w:rsidR="001656CE" w:rsidRPr="00FE1ED3" w:rsidRDefault="001656CE" w:rsidP="00FE1ED3">
            <w:pPr>
              <w:spacing w:after="0" w:line="276" w:lineRule="auto"/>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b/>
                <w:bCs/>
                <w:color w:val="000000"/>
                <w:sz w:val="24"/>
                <w:szCs w:val="24"/>
              </w:rPr>
              <w:t>Օրենքի հիմնական հասկացությունները</w:t>
            </w:r>
          </w:p>
        </w:tc>
      </w:tr>
    </w:tbl>
    <w:p w:rsidR="001656CE" w:rsidRPr="00FE1ED3" w:rsidRDefault="001656CE" w:rsidP="00FE1ED3">
      <w:pPr>
        <w:spacing w:line="276" w:lineRule="auto"/>
        <w:ind w:firstLine="720"/>
        <w:jc w:val="both"/>
        <w:rPr>
          <w:rFonts w:ascii="GHEA Grapalat" w:hAnsi="GHEA Grapalat" w:cs="GHEA Grapalat"/>
          <w:color w:val="FF0000"/>
          <w:sz w:val="24"/>
          <w:szCs w:val="24"/>
          <w:shd w:val="clear" w:color="auto" w:fill="FFFFFF"/>
          <w:lang w:val="hy-AM"/>
        </w:rPr>
      </w:pPr>
      <w:r w:rsidRPr="00FE1ED3">
        <w:rPr>
          <w:rFonts w:ascii="GHEA Grapalat" w:hAnsi="GHEA Grapalat" w:cs="GHEA Grapalat"/>
          <w:color w:val="FF0000"/>
          <w:sz w:val="24"/>
          <w:szCs w:val="24"/>
          <w:shd w:val="clear" w:color="auto" w:fill="FFFFFF"/>
          <w:lang w:val="hy-AM"/>
        </w:rPr>
        <w:t>«</w:t>
      </w:r>
      <w:r w:rsidRPr="00FE1ED3">
        <w:rPr>
          <w:rFonts w:ascii="GHEA Grapalat" w:hAnsi="GHEA Grapalat" w:cs="GHEA Grapalat"/>
          <w:b/>
          <w:i/>
          <w:color w:val="FF0000"/>
          <w:sz w:val="24"/>
          <w:szCs w:val="24"/>
          <w:shd w:val="clear" w:color="auto" w:fill="FFFFFF"/>
          <w:lang w:val="hy-AM"/>
        </w:rPr>
        <w:t>Գործարար համբավ</w:t>
      </w:r>
      <w:r w:rsidRPr="00FE1ED3">
        <w:rPr>
          <w:rFonts w:ascii="GHEA Grapalat" w:hAnsi="GHEA Grapalat" w:cs="GHEA Grapalat"/>
          <w:color w:val="FF0000"/>
          <w:sz w:val="24"/>
          <w:szCs w:val="24"/>
          <w:shd w:val="clear" w:color="auto" w:fill="FFFFFF"/>
          <w:lang w:val="hy-AM"/>
        </w:rPr>
        <w:t>՝ գործարարության ոլորտում դրսևորած ձեռնարկատիրական գործունեության, աշխատանքային և մասնագիտական որակներին տրվող գնահատական»:</w:t>
      </w:r>
    </w:p>
    <w:p w:rsidR="001656CE" w:rsidRPr="00FE1ED3" w:rsidRDefault="001656CE" w:rsidP="00FE1ED3">
      <w:pPr>
        <w:spacing w:line="276" w:lineRule="auto"/>
        <w:jc w:val="both"/>
        <w:rPr>
          <w:rFonts w:ascii="GHEA Grapalat" w:hAnsi="GHEA Grapalat"/>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875"/>
      </w:tblGrid>
      <w:tr w:rsidR="001D64D5" w:rsidRPr="00FE1ED3" w:rsidTr="001D64D5">
        <w:trPr>
          <w:tblCellSpacing w:w="0" w:type="dxa"/>
        </w:trPr>
        <w:tc>
          <w:tcPr>
            <w:tcW w:w="2025" w:type="dxa"/>
            <w:shd w:val="clear" w:color="auto" w:fill="FFFFFF"/>
            <w:vAlign w:val="center"/>
            <w:hideMark/>
          </w:tcPr>
          <w:p w:rsidR="001D64D5" w:rsidRPr="00FE1ED3" w:rsidRDefault="001D64D5" w:rsidP="00FE1ED3">
            <w:pPr>
              <w:spacing w:before="100" w:beforeAutospacing="1" w:after="100" w:afterAutospacing="1" w:line="276" w:lineRule="auto"/>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b/>
                <w:bCs/>
                <w:color w:val="000000"/>
                <w:sz w:val="24"/>
                <w:szCs w:val="24"/>
              </w:rPr>
              <w:t>Հոդված 7.</w:t>
            </w:r>
          </w:p>
        </w:tc>
        <w:tc>
          <w:tcPr>
            <w:tcW w:w="0" w:type="auto"/>
            <w:shd w:val="clear" w:color="auto" w:fill="FFFFFF"/>
            <w:vAlign w:val="center"/>
            <w:hideMark/>
          </w:tcPr>
          <w:p w:rsidR="001D64D5" w:rsidRPr="00FE1ED3" w:rsidRDefault="001D64D5" w:rsidP="00FE1ED3">
            <w:pPr>
              <w:spacing w:after="0" w:line="276" w:lineRule="auto"/>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b/>
                <w:bCs/>
                <w:color w:val="000000"/>
                <w:sz w:val="24"/>
                <w:szCs w:val="24"/>
              </w:rPr>
              <w:t>Ավտոմոբիլային տրանսպորտով միջպետական փոխադրումները</w:t>
            </w:r>
          </w:p>
        </w:tc>
      </w:tr>
    </w:tbl>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Calibri" w:eastAsia="Times New Roman" w:hAnsi="Calibri" w:cs="Calibri"/>
          <w:color w:val="000000"/>
          <w:sz w:val="24"/>
          <w:szCs w:val="24"/>
        </w:rPr>
        <w:t> </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1. Ավտոմոբիլային տրանսպորտով ուղևորների, ուղեբեռների և բեռների միջպետական փոխադրումները կազմակերպվում և իրականացվում են Հայաստանի Հանրապետության միջազգային պայմանագրերի պահանջներին և Հայաստանի Հանրապետության տարածքից ուղևորների, ուղեբեռների և բեռների միջպետական փոխադրումների իրականացման կարգին համապատասխան: Հայաստանի Հանրապետության տարածքից ուղևորների, ուղեբեռների և բեռների միջպետական փոխադրումների իրականացման կարգը հաստատում է Հայաստանի Հանրապետության կառավարությունը:</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2. Հայաստանի Հանրապետության տարածքում կաբոտաժային փոխադրումն արգելվում է, բացառությամբ միջազգային համաձայնագրերով սահմանված դեպքերի:</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3. Հայաստանի Հանրապետությունում ավտոմոբիլային տրանսպորտով միջպետական փոխադրումներ իրականացնող բեռնատար տրանսպորտային միջոցները և ավտոբուսները, ինչպես նաև միկրոավտոբուսները պետք է կահավորված լինեն թվային</w:t>
      </w:r>
      <w:r w:rsidRPr="00FE1ED3">
        <w:rPr>
          <w:rFonts w:ascii="Calibri" w:eastAsia="Times New Roman" w:hAnsi="Calibri" w:cs="Calibri"/>
          <w:color w:val="000000"/>
          <w:sz w:val="24"/>
          <w:szCs w:val="24"/>
        </w:rPr>
        <w:t> </w:t>
      </w:r>
      <w:r w:rsidRPr="00FE1ED3">
        <w:rPr>
          <w:rFonts w:ascii="GHEA Grapalat" w:eastAsia="Times New Roman" w:hAnsi="GHEA Grapalat" w:cs="Arial Unicode"/>
          <w:color w:val="000000"/>
          <w:sz w:val="24"/>
          <w:szCs w:val="24"/>
        </w:rPr>
        <w:t>տախոգրաֆով</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բացառությամբ</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«Միջազգային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ավտոճանապարհային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փոխադրումներ</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կատարող</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տրանսպորտային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միջոցների</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անձնակազմի</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աշխատանքի</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մասին»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համաձայնագրի</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կողմ</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չհանդիսացող</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պետություններում</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հաշվառված</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տրանսպորտային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միջոցների</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Թվայ</w:t>
      </w:r>
      <w:r w:rsidRPr="00FE1ED3">
        <w:rPr>
          <w:rFonts w:ascii="GHEA Grapalat" w:eastAsia="Times New Roman" w:hAnsi="GHEA Grapalat" w:cs="Times New Roman"/>
          <w:color w:val="000000"/>
          <w:sz w:val="24"/>
          <w:szCs w:val="24"/>
        </w:rPr>
        <w:t>ին տախոգրաֆով կահավորված միջպետական փոխադրումներում ներգրավված տրանսպորտային միջոցներ շահագործող կազմակերպությունները և վարորդները պետք է ունենան համապատասխանաբար կազմակերպության և վարորդի թվային տախոգրաֆի քարտեր, որոնց ձևերը և տրամադրման կարգը սահմանում է Հայաստանի Հանրապետության կառավարությունը:</w:t>
      </w:r>
    </w:p>
    <w:p w:rsidR="00860B23" w:rsidRPr="00860B23" w:rsidRDefault="00860B23" w:rsidP="00860B23">
      <w:pPr>
        <w:spacing w:line="276" w:lineRule="auto"/>
        <w:ind w:firstLine="720"/>
        <w:jc w:val="both"/>
        <w:rPr>
          <w:rFonts w:ascii="GHEA Grapalat" w:hAnsi="GHEA Grapalat" w:cs="Sylfaen"/>
          <w:color w:val="FF0000"/>
          <w:lang w:val="hy-AM"/>
        </w:rPr>
      </w:pPr>
      <w:r w:rsidRPr="00860B23">
        <w:rPr>
          <w:rFonts w:ascii="GHEA Grapalat" w:hAnsi="GHEA Grapalat" w:cs="GHEA Grapalat"/>
          <w:color w:val="FF0000"/>
          <w:shd w:val="clear" w:color="auto" w:fill="FFFFFF"/>
          <w:lang w:val="hy-AM"/>
        </w:rPr>
        <w:t xml:space="preserve">7. Թույլատրելի առավելագույն 3,5 տոննա քաշը գերազանցող բեռնատար ավտոտրանսպորտային միջոցներով դեպի Տրանսպորտի Նախարարների Եվրոպական Կոնֆերանսի (ՏՆԵԿ) անդամ պետություններ միջպետական բեռնափոխադրումներ (բացառությամբ ոչ առևտրային փոխադրումների) իրականացնող կազմակերպությունները պետք է ապահովեն </w:t>
      </w:r>
      <w:r w:rsidRPr="00860B23">
        <w:rPr>
          <w:rFonts w:ascii="GHEA Grapalat" w:hAnsi="GHEA Grapalat" w:cs="Sylfaen"/>
          <w:color w:val="FF0000"/>
          <w:lang w:val="fr-FR"/>
        </w:rPr>
        <w:t>Միջազգային ավտոճանապարհային բեռնափոխադրումների Որակի Խարտիայով</w:t>
      </w:r>
      <w:r w:rsidRPr="00860B23">
        <w:rPr>
          <w:rFonts w:ascii="GHEA Grapalat" w:hAnsi="GHEA Grapalat" w:cs="Sylfaen"/>
          <w:color w:val="FF0000"/>
          <w:lang w:val="hy-AM"/>
        </w:rPr>
        <w:t xml:space="preserve"> նախատեսված գործարար համբավի, ֆինանսական վիճակի և փոխադրումների մենեջերի համար սահմանված պահանջները։</w:t>
      </w:r>
    </w:p>
    <w:p w:rsidR="00860B23" w:rsidRPr="00860B23" w:rsidRDefault="00860B23" w:rsidP="00860B23">
      <w:pPr>
        <w:spacing w:line="276" w:lineRule="auto"/>
        <w:ind w:firstLine="720"/>
        <w:jc w:val="both"/>
        <w:rPr>
          <w:rFonts w:ascii="GHEA Grapalat" w:hAnsi="GHEA Grapalat" w:cs="Sylfaen"/>
          <w:color w:val="FF0000"/>
          <w:lang w:val="hy-AM"/>
        </w:rPr>
      </w:pPr>
      <w:r w:rsidRPr="00860B23">
        <w:rPr>
          <w:rFonts w:ascii="GHEA Grapalat" w:hAnsi="GHEA Grapalat" w:cs="Sylfaen"/>
          <w:color w:val="FF0000"/>
          <w:lang w:val="hy-AM"/>
        </w:rPr>
        <w:lastRenderedPageBreak/>
        <w:t>8. Միջպետական փոխադրողը պետք է նշանակի փոխադրումների կազմակերպման և անվտանգության գծով պատասխանատու անձ (այսուհետ՝ փոխադրումների մենեջեր), որը կարող է լինել նաև կազմակերպության ղեկավարը կամ անհատ ձեռնարկատերը։</w:t>
      </w:r>
    </w:p>
    <w:p w:rsidR="00860B23" w:rsidRPr="00860B23" w:rsidRDefault="00860B23" w:rsidP="00860B23">
      <w:pPr>
        <w:spacing w:line="276" w:lineRule="auto"/>
        <w:ind w:firstLine="720"/>
        <w:jc w:val="both"/>
        <w:rPr>
          <w:rFonts w:ascii="GHEA Grapalat" w:hAnsi="GHEA Grapalat" w:cs="GHEA Grapalat"/>
          <w:color w:val="FF0000"/>
          <w:shd w:val="clear" w:color="auto" w:fill="FFFFFF"/>
          <w:lang w:val="hy-AM"/>
        </w:rPr>
      </w:pPr>
      <w:r w:rsidRPr="00860B23">
        <w:rPr>
          <w:rFonts w:ascii="GHEA Grapalat" w:hAnsi="GHEA Grapalat" w:cs="Sylfaen"/>
          <w:color w:val="FF0000"/>
          <w:lang w:val="hy-AM"/>
        </w:rPr>
        <w:t>9</w:t>
      </w:r>
      <w:r w:rsidRPr="00860B23">
        <w:rPr>
          <w:rFonts w:ascii="Cambria Math" w:hAnsi="Cambria Math" w:cs="Cambria Math"/>
          <w:color w:val="FF0000"/>
          <w:lang w:val="hy-AM"/>
        </w:rPr>
        <w:t>․</w:t>
      </w:r>
      <w:r w:rsidRPr="00860B23">
        <w:rPr>
          <w:rFonts w:ascii="GHEA Grapalat" w:hAnsi="GHEA Grapalat" w:cs="Sylfaen"/>
          <w:color w:val="FF0000"/>
          <w:lang w:val="hy-AM"/>
        </w:rPr>
        <w:t xml:space="preserve"> Փոխադրումների մենեջերը</w:t>
      </w:r>
      <w:r w:rsidRPr="00860B23">
        <w:rPr>
          <w:rFonts w:ascii="GHEA Grapalat" w:hAnsi="GHEA Grapalat" w:cs="GHEA Grapalat"/>
          <w:color w:val="FF0000"/>
          <w:shd w:val="clear" w:color="auto" w:fill="FFFFFF"/>
          <w:lang w:val="hy-AM"/>
        </w:rPr>
        <w:t xml:space="preserve"> պետք է ունենա մասնագիտական որակավորումը հաստատող վկայական, բացառությամբ բեռնափոխադրումներ իրականացնող կազմակերպություններում անընդմեջ 10 տարվա կառավարման ստաժ ունեցող անձանց: Մասնագիտական որակավորմանը ներկայացվող պահանջները, մասնագիտական որակավորման վկայականի նկարագիրը և մասնագիտական որակավորման վկայական տալու կարգը հաստատում է Հայաստանի Հանրապետության կառավարությունը:</w:t>
      </w:r>
    </w:p>
    <w:p w:rsidR="00860B23" w:rsidRPr="00860B23" w:rsidRDefault="00860B23" w:rsidP="00860B23">
      <w:pPr>
        <w:spacing w:line="276" w:lineRule="auto"/>
        <w:ind w:firstLine="720"/>
        <w:jc w:val="both"/>
        <w:rPr>
          <w:rFonts w:ascii="GHEA Grapalat" w:hAnsi="GHEA Grapalat" w:cs="GHEA Grapalat"/>
          <w:color w:val="FF0000"/>
          <w:shd w:val="clear" w:color="auto" w:fill="FFFFFF"/>
          <w:lang w:val="hy-AM"/>
        </w:rPr>
      </w:pPr>
      <w:r w:rsidRPr="00860B23">
        <w:rPr>
          <w:rFonts w:ascii="GHEA Grapalat" w:hAnsi="GHEA Grapalat" w:cs="GHEA Grapalat"/>
          <w:color w:val="FF0000"/>
          <w:shd w:val="clear" w:color="auto" w:fill="FFFFFF"/>
          <w:lang w:val="hy-AM"/>
        </w:rPr>
        <w:t>10</w:t>
      </w:r>
      <w:r w:rsidRPr="00860B23">
        <w:rPr>
          <w:rFonts w:ascii="Cambria Math" w:hAnsi="Cambria Math" w:cs="Cambria Math"/>
          <w:color w:val="FF0000"/>
          <w:shd w:val="clear" w:color="auto" w:fill="FFFFFF"/>
          <w:lang w:val="hy-AM"/>
        </w:rPr>
        <w:t>․</w:t>
      </w:r>
      <w:r w:rsidRPr="00860B23">
        <w:rPr>
          <w:rFonts w:ascii="GHEA Grapalat" w:hAnsi="GHEA Grapalat" w:cs="GHEA Grapalat"/>
          <w:color w:val="FF0000"/>
          <w:shd w:val="clear" w:color="auto" w:fill="FFFFFF"/>
          <w:lang w:val="hy-AM"/>
        </w:rPr>
        <w:t xml:space="preserve"> Փոխադրումների մենեջերը կարող է միաժամանակ կազմակերպել թվով մինչև չորս տարբեր կազմակերպությունների փոխադրումների գործընթացը, եթե  դրանց տրանսպորտային միջոցների ընդհանուր քանակը չի գերազանցում հիսուն միավորը: Փոխադրումների մենեջերի կողմից միայն մեկ կազմակերպության փոխադրումների գործընթացը կազմակերպելու դեպքում տրանսպորտային միջոցների քանակը չի սահմանափակվում։</w:t>
      </w:r>
    </w:p>
    <w:p w:rsidR="00860B23" w:rsidRPr="00860B23" w:rsidRDefault="00860B23" w:rsidP="00860B23">
      <w:pPr>
        <w:spacing w:line="276" w:lineRule="auto"/>
        <w:ind w:firstLine="720"/>
        <w:jc w:val="both"/>
        <w:rPr>
          <w:rFonts w:ascii="GHEA Grapalat" w:hAnsi="GHEA Grapalat" w:cs="GHEA Grapalat"/>
          <w:color w:val="FF0000"/>
          <w:shd w:val="clear" w:color="auto" w:fill="FFFFFF"/>
          <w:lang w:val="hy-AM"/>
        </w:rPr>
      </w:pPr>
      <w:r w:rsidRPr="00860B23">
        <w:rPr>
          <w:rFonts w:ascii="GHEA Grapalat" w:hAnsi="GHEA Grapalat" w:cs="GHEA Grapalat"/>
          <w:color w:val="FF0000"/>
          <w:shd w:val="clear" w:color="auto" w:fill="FFFFFF"/>
          <w:lang w:val="hy-AM"/>
        </w:rPr>
        <w:t>11</w:t>
      </w:r>
      <w:r w:rsidRPr="00860B23">
        <w:rPr>
          <w:rFonts w:ascii="Cambria Math" w:hAnsi="Cambria Math" w:cs="Cambria Math"/>
          <w:color w:val="FF0000"/>
          <w:shd w:val="clear" w:color="auto" w:fill="FFFFFF"/>
          <w:lang w:val="hy-AM"/>
        </w:rPr>
        <w:t>․</w:t>
      </w:r>
      <w:r w:rsidRPr="00860B23">
        <w:rPr>
          <w:rFonts w:ascii="GHEA Grapalat" w:hAnsi="GHEA Grapalat" w:cs="GHEA Grapalat"/>
          <w:color w:val="FF0000"/>
          <w:shd w:val="clear" w:color="auto" w:fill="FFFFFF"/>
          <w:lang w:val="hy-AM"/>
        </w:rPr>
        <w:t xml:space="preserve"> Փոխադրումների մենեջերների մասնագիտական վերապատրաստման գործունեություն կարող են իրականացնել &lt;&lt;Գործունեության իրականացման ծանուցման մասին&gt;&gt; օրենքի պահանջներին համապատասխան լիազոր մարմնից ծանուցման ենթակա գործունեությամբ զբաղվելու իրավունք ստացած  կազմակերպությունները։ </w:t>
      </w:r>
    </w:p>
    <w:p w:rsidR="00860B23" w:rsidRPr="00860B23" w:rsidRDefault="00860B23" w:rsidP="00860B23">
      <w:pPr>
        <w:spacing w:line="276" w:lineRule="auto"/>
        <w:ind w:firstLine="720"/>
        <w:jc w:val="both"/>
        <w:rPr>
          <w:rFonts w:ascii="GHEA Grapalat" w:hAnsi="GHEA Grapalat" w:cs="GHEA Grapalat"/>
          <w:color w:val="FF0000"/>
          <w:shd w:val="clear" w:color="auto" w:fill="FFFFFF"/>
          <w:lang w:val="hy-AM"/>
        </w:rPr>
      </w:pPr>
      <w:r w:rsidRPr="00860B23">
        <w:rPr>
          <w:rFonts w:ascii="GHEA Grapalat" w:hAnsi="GHEA Grapalat" w:cs="GHEA Grapalat"/>
          <w:color w:val="FF0000"/>
          <w:shd w:val="clear" w:color="auto" w:fill="FFFFFF"/>
          <w:lang w:val="hy-AM"/>
        </w:rPr>
        <w:t>12</w:t>
      </w:r>
      <w:r w:rsidRPr="00860B23">
        <w:rPr>
          <w:rFonts w:ascii="Cambria Math" w:hAnsi="Cambria Math" w:cs="Cambria Math"/>
          <w:color w:val="FF0000"/>
          <w:shd w:val="clear" w:color="auto" w:fill="FFFFFF"/>
          <w:lang w:val="hy-AM"/>
        </w:rPr>
        <w:t>․</w:t>
      </w:r>
      <w:r w:rsidRPr="00860B23">
        <w:rPr>
          <w:rFonts w:ascii="GHEA Grapalat" w:hAnsi="GHEA Grapalat" w:cs="GHEA Grapalat"/>
          <w:color w:val="FF0000"/>
          <w:shd w:val="clear" w:color="auto" w:fill="FFFFFF"/>
          <w:lang w:val="hy-AM"/>
        </w:rPr>
        <w:t xml:space="preserve">ՏՆԵԿ անդամ պետություններ միջպետական բեռնափոխադրումներ իրականացնող կազմակերպությունը պետք է &lt;&lt;Իրավաբանական անձանց պետական գրանցման, իրավաբանական անձանց առանձնացված ստորաբաժանումների, հիմնարկների և անհատ ձեռնարկատերերի պետական հաշվառման մասին&gt;&gt; օրենքի պահանջներին համապատասխան հաշվառված լինի պետական միասնական գրանցամատյանում և ունենա գործարար համբավ։ ՏՆԵԿ անդամ պետություններ միջպետական բեռնափոխադրումներ իրականացնող կազմակերպությունների գործարար համբավին ներկայացվող պահանջները սահմանում է Հայաստանի Հանրապետության կառավարությունը։ </w:t>
      </w:r>
    </w:p>
    <w:p w:rsidR="00860B23" w:rsidRPr="00860B23" w:rsidRDefault="00860B23" w:rsidP="00860B23">
      <w:pPr>
        <w:spacing w:line="276" w:lineRule="auto"/>
        <w:ind w:firstLine="720"/>
        <w:jc w:val="both"/>
        <w:rPr>
          <w:rFonts w:ascii="GHEA Grapalat" w:hAnsi="GHEA Grapalat" w:cs="GHEA Grapalat"/>
          <w:color w:val="FF0000"/>
          <w:shd w:val="clear" w:color="auto" w:fill="FFFFFF"/>
          <w:lang w:val="hy-AM"/>
        </w:rPr>
      </w:pPr>
      <w:r w:rsidRPr="00860B23">
        <w:rPr>
          <w:rFonts w:ascii="GHEA Grapalat" w:hAnsi="GHEA Grapalat" w:cs="GHEA Grapalat"/>
          <w:color w:val="FF0000"/>
          <w:shd w:val="clear" w:color="auto" w:fill="FFFFFF"/>
          <w:lang w:val="hy-AM"/>
        </w:rPr>
        <w:t>13</w:t>
      </w:r>
      <w:r w:rsidRPr="00860B23">
        <w:rPr>
          <w:rFonts w:ascii="Cambria Math" w:hAnsi="Cambria Math" w:cs="Cambria Math"/>
          <w:color w:val="FF0000"/>
          <w:shd w:val="clear" w:color="auto" w:fill="FFFFFF"/>
          <w:lang w:val="hy-AM"/>
        </w:rPr>
        <w:t>․</w:t>
      </w:r>
      <w:r w:rsidRPr="00860B23">
        <w:rPr>
          <w:rFonts w:ascii="GHEA Grapalat" w:hAnsi="GHEA Grapalat" w:cs="GHEA Grapalat"/>
          <w:color w:val="FF0000"/>
          <w:shd w:val="clear" w:color="auto" w:fill="FFFFFF"/>
          <w:lang w:val="hy-AM"/>
        </w:rPr>
        <w:t xml:space="preserve">Կազմակերպությունը կորցնում է գործարար համբավը, եթե դատարանի որոշմամբ սնանկ է ճանաչվել, կամ փոխադրումների գործունեությանն առնչվող  խախտումների համար կազմակերպությունը կամ նրա փոխադրումների մենեջերը ենթարկվել է քրեական կամ վարչական պատասխանատվության։ Կազմակերպության գործարար համբավը վերականգնվում է, եթե </w:t>
      </w:r>
      <w:r w:rsidRPr="00860B23">
        <w:rPr>
          <w:rFonts w:ascii="GHEA Grapalat" w:hAnsi="GHEA Grapalat"/>
          <w:color w:val="FF0000"/>
          <w:lang w:val="hy-AM"/>
        </w:rPr>
        <w:t xml:space="preserve">խախտումների </w:t>
      </w:r>
      <w:r w:rsidRPr="00860B23">
        <w:rPr>
          <w:rFonts w:ascii="GHEA Grapalat" w:hAnsi="GHEA Grapalat" w:cs="GHEA Grapalat"/>
          <w:color w:val="FF0000"/>
          <w:shd w:val="clear" w:color="auto" w:fill="FFFFFF"/>
          <w:lang w:val="hy-AM"/>
        </w:rPr>
        <w:t>համար սահմանված վարչական տույժերի կատարումն ավարտված է, կամ օրենսդրությամբ սահմանված կարգով դատվածությունը մարված կամ հանված է։</w:t>
      </w:r>
    </w:p>
    <w:p w:rsidR="00860B23" w:rsidRPr="00860B23" w:rsidRDefault="00860B23" w:rsidP="00860B23">
      <w:pPr>
        <w:spacing w:line="276" w:lineRule="auto"/>
        <w:ind w:firstLine="720"/>
        <w:jc w:val="both"/>
        <w:rPr>
          <w:rFonts w:ascii="GHEA Grapalat" w:hAnsi="GHEA Grapalat" w:cs="GHEA Grapalat"/>
          <w:color w:val="FF0000"/>
          <w:shd w:val="clear" w:color="auto" w:fill="FFFFFF"/>
          <w:lang w:val="hy-AM"/>
        </w:rPr>
      </w:pPr>
      <w:r w:rsidRPr="00860B23">
        <w:rPr>
          <w:rFonts w:ascii="GHEA Grapalat" w:hAnsi="GHEA Grapalat" w:cs="GHEA Grapalat"/>
          <w:color w:val="FF0000"/>
          <w:shd w:val="clear" w:color="auto" w:fill="FFFFFF"/>
          <w:lang w:val="hy-AM"/>
        </w:rPr>
        <w:t>14</w:t>
      </w:r>
      <w:r w:rsidRPr="00860B23">
        <w:rPr>
          <w:rFonts w:ascii="Cambria Math" w:hAnsi="Cambria Math" w:cs="Cambria Math"/>
          <w:color w:val="FF0000"/>
          <w:shd w:val="clear" w:color="auto" w:fill="FFFFFF"/>
          <w:lang w:val="hy-AM"/>
        </w:rPr>
        <w:t>․</w:t>
      </w:r>
      <w:r w:rsidRPr="00860B23">
        <w:rPr>
          <w:rFonts w:ascii="GHEA Grapalat" w:hAnsi="GHEA Grapalat" w:cs="GHEA Grapalat"/>
          <w:color w:val="FF0000"/>
          <w:shd w:val="clear" w:color="auto" w:fill="FFFFFF"/>
          <w:lang w:val="hy-AM"/>
        </w:rPr>
        <w:t xml:space="preserve"> Գործարար համբավի կորստին հանգեցնող փոխադրումների գործունեությանն առնչվող խախտումների ցանկը հաստատում է Հայաստանի Հանրապետության կառավարությունը։ </w:t>
      </w:r>
    </w:p>
    <w:p w:rsidR="00860B23" w:rsidRPr="00860B23" w:rsidRDefault="00860B23" w:rsidP="00860B23">
      <w:pPr>
        <w:spacing w:line="276" w:lineRule="auto"/>
        <w:ind w:firstLine="720"/>
        <w:jc w:val="both"/>
        <w:rPr>
          <w:rFonts w:ascii="GHEA Grapalat" w:hAnsi="GHEA Grapalat" w:cs="GHEA Grapalat"/>
          <w:color w:val="FF0000"/>
          <w:shd w:val="clear" w:color="auto" w:fill="FFFFFF"/>
          <w:lang w:val="hy-AM"/>
        </w:rPr>
      </w:pPr>
      <w:r w:rsidRPr="00860B23">
        <w:rPr>
          <w:rFonts w:ascii="GHEA Grapalat" w:hAnsi="GHEA Grapalat" w:cs="GHEA Grapalat"/>
          <w:color w:val="FF0000"/>
          <w:shd w:val="clear" w:color="auto" w:fill="FFFFFF"/>
          <w:lang w:val="hy-AM"/>
        </w:rPr>
        <w:t>15</w:t>
      </w:r>
      <w:r w:rsidRPr="00860B23">
        <w:rPr>
          <w:rFonts w:ascii="Cambria Math" w:hAnsi="Cambria Math" w:cs="Cambria Math"/>
          <w:color w:val="FF0000"/>
          <w:shd w:val="clear" w:color="auto" w:fill="FFFFFF"/>
          <w:lang w:val="hy-AM"/>
        </w:rPr>
        <w:t>․</w:t>
      </w:r>
      <w:r w:rsidRPr="00860B23">
        <w:rPr>
          <w:rFonts w:ascii="GHEA Grapalat" w:hAnsi="GHEA Grapalat" w:cs="GHEA Grapalat"/>
          <w:color w:val="FF0000"/>
          <w:shd w:val="clear" w:color="auto" w:fill="FFFFFF"/>
          <w:lang w:val="hy-AM"/>
        </w:rPr>
        <w:t xml:space="preserve"> Սույն հոդվածի 4-րդ մասով սահմանված գործարար համբավի կորստի, ֆինանսական վիճակի և փոխադրումների մենեջերի համար սահմանված պահանջների խախտման դեպքում միջպետական փոխադրումներ իրականացնելու թույլտվություններ ստանալու կազմակերպության դիմումները մերժվում են, իսկ կազմակերպությանը տրամադրված ՏՆԵԿ թույլտվությունները </w:t>
      </w:r>
      <w:r w:rsidRPr="00860B23">
        <w:rPr>
          <w:rFonts w:ascii="GHEA Grapalat" w:hAnsi="GHEA Grapalat" w:cs="GHEA Grapalat"/>
          <w:color w:val="FF0000"/>
          <w:shd w:val="clear" w:color="auto" w:fill="FFFFFF"/>
          <w:lang w:val="hy-AM"/>
        </w:rPr>
        <w:lastRenderedPageBreak/>
        <w:t xml:space="preserve">կասեցվում են լիազոր մարմնի կողմից, մինչև կազմակերպության կողմից գործարար համբավի կորստին հանգեցնող խախտումների վերացումը: </w:t>
      </w:r>
    </w:p>
    <w:p w:rsidR="00860B23" w:rsidRPr="00860B23" w:rsidRDefault="00860B23" w:rsidP="00860B23">
      <w:pPr>
        <w:spacing w:line="276" w:lineRule="auto"/>
        <w:ind w:firstLine="720"/>
        <w:jc w:val="both"/>
        <w:rPr>
          <w:rFonts w:ascii="GHEA Grapalat" w:hAnsi="GHEA Grapalat" w:cs="GHEA Grapalat"/>
          <w:color w:val="FF0000"/>
          <w:shd w:val="clear" w:color="auto" w:fill="FFFFFF"/>
          <w:lang w:val="hy-AM"/>
        </w:rPr>
      </w:pPr>
      <w:r w:rsidRPr="00860B23">
        <w:rPr>
          <w:rFonts w:ascii="GHEA Grapalat" w:hAnsi="GHEA Grapalat" w:cs="GHEA Grapalat"/>
          <w:color w:val="FF0000"/>
          <w:shd w:val="clear" w:color="auto" w:fill="FFFFFF"/>
          <w:lang w:val="hy-AM"/>
        </w:rPr>
        <w:t>16</w:t>
      </w:r>
      <w:r w:rsidRPr="00860B23">
        <w:rPr>
          <w:rFonts w:ascii="Cambria Math" w:hAnsi="Cambria Math" w:cs="Cambria Math"/>
          <w:color w:val="FF0000"/>
          <w:shd w:val="clear" w:color="auto" w:fill="FFFFFF"/>
          <w:lang w:val="hy-AM"/>
        </w:rPr>
        <w:t>․</w:t>
      </w:r>
      <w:r w:rsidRPr="00860B23">
        <w:rPr>
          <w:rFonts w:ascii="GHEA Grapalat" w:hAnsi="GHEA Grapalat" w:cs="GHEA Grapalat"/>
          <w:color w:val="FF0000"/>
          <w:shd w:val="clear" w:color="auto" w:fill="FFFFFF"/>
          <w:lang w:val="hy-AM"/>
        </w:rPr>
        <w:t xml:space="preserve"> Որակի Խարտիայով սահմանված փոխադրումների մենեջերի, այդ թվում՝ նրա փոփոխության վերաբերյալ տեղեկատվությունը լիազոր մարմնին միջպետական բեռնափոխադրումներ իրականացնող կազմակերպությունը ներկայացնում է նրա հետ աշխատանքային պայմանագիրը կնքելուց հետո տաս աշխատանքային օրվա ընթացքում։</w:t>
      </w:r>
    </w:p>
    <w:p w:rsidR="00860B23" w:rsidRPr="00860B23" w:rsidRDefault="00860B23" w:rsidP="00860B23">
      <w:pPr>
        <w:spacing w:line="276" w:lineRule="auto"/>
        <w:ind w:firstLine="720"/>
        <w:jc w:val="both"/>
        <w:rPr>
          <w:rFonts w:ascii="GHEA Grapalat" w:hAnsi="GHEA Grapalat" w:cs="GHEA Grapalat"/>
          <w:color w:val="FF0000"/>
          <w:shd w:val="clear" w:color="auto" w:fill="FFFFFF"/>
          <w:lang w:val="hy-AM"/>
        </w:rPr>
      </w:pPr>
      <w:r w:rsidRPr="00860B23">
        <w:rPr>
          <w:rFonts w:ascii="GHEA Grapalat" w:hAnsi="GHEA Grapalat" w:cs="GHEA Grapalat"/>
          <w:color w:val="FF0000"/>
          <w:shd w:val="clear" w:color="auto" w:fill="FFFFFF"/>
          <w:lang w:val="hy-AM"/>
        </w:rPr>
        <w:t>17</w:t>
      </w:r>
      <w:r w:rsidRPr="00860B23">
        <w:rPr>
          <w:rFonts w:ascii="Cambria Math" w:hAnsi="Cambria Math" w:cs="Cambria Math"/>
          <w:color w:val="FF0000"/>
          <w:shd w:val="clear" w:color="auto" w:fill="FFFFFF"/>
          <w:lang w:val="hy-AM"/>
        </w:rPr>
        <w:t>․</w:t>
      </w:r>
      <w:r w:rsidRPr="00860B23">
        <w:rPr>
          <w:rFonts w:ascii="GHEA Grapalat" w:hAnsi="GHEA Grapalat" w:cs="GHEA Grapalat"/>
          <w:color w:val="FF0000"/>
          <w:shd w:val="clear" w:color="auto" w:fill="FFFFFF"/>
          <w:lang w:val="hy-AM"/>
        </w:rPr>
        <w:t>Որակի Խարտիայուվ նախատեսված ֆինանսական վիճակին համապատասխանության վերաբերյալ տեղեկատվությունը կազմակերպությունը լիազոր մարմնին ներկայացնում է վերջին հաշվետու տարվա տարեկան հաշվեկշռի ձևաչափով յուրաքանչյուր տարվա մինչև հունվարի 30-ը։ Կազմակերպության ֆինանսական դրությունը գնահատելիս կարող են հաշվի առնվել նաև կազմակերպության համար հասանելի այլ ֆինանսական միջոցները, այդ թվում՝ բանկային երաշխիքը, կազմակերպության ակտիվները, շրջանառու կապիտալը, ինչպես նաև գործունեության պատասխանատվության ապահովագրությունը։</w:t>
      </w:r>
    </w:p>
    <w:p w:rsidR="001D64D5" w:rsidRPr="00860B23" w:rsidRDefault="00860B23" w:rsidP="00860B23">
      <w:pPr>
        <w:spacing w:line="276" w:lineRule="auto"/>
        <w:ind w:firstLine="720"/>
        <w:jc w:val="both"/>
        <w:rPr>
          <w:rFonts w:ascii="GHEA Grapalat" w:hAnsi="GHEA Grapalat"/>
          <w:iCs/>
          <w:color w:val="FF0000"/>
          <w:sz w:val="24"/>
          <w:szCs w:val="24"/>
          <w:shd w:val="clear" w:color="auto" w:fill="FFFFFF"/>
          <w:lang w:val="hy-AM"/>
        </w:rPr>
      </w:pPr>
      <w:r w:rsidRPr="00860B23">
        <w:rPr>
          <w:rFonts w:ascii="GHEA Grapalat" w:hAnsi="GHEA Grapalat" w:cs="GHEA Grapalat"/>
          <w:color w:val="FF0000"/>
          <w:shd w:val="clear" w:color="auto" w:fill="FFFFFF"/>
          <w:lang w:val="hy-AM"/>
        </w:rPr>
        <w:t>18</w:t>
      </w:r>
      <w:r w:rsidRPr="00860B23">
        <w:rPr>
          <w:rFonts w:ascii="Cambria Math" w:hAnsi="Cambria Math" w:cs="Cambria Math"/>
          <w:color w:val="FF0000"/>
          <w:shd w:val="clear" w:color="auto" w:fill="FFFFFF"/>
          <w:lang w:val="hy-AM"/>
        </w:rPr>
        <w:t>․</w:t>
      </w:r>
      <w:r w:rsidRPr="00860B23">
        <w:rPr>
          <w:rFonts w:ascii="GHEA Grapalat" w:hAnsi="GHEA Grapalat" w:cs="GHEA Grapalat"/>
          <w:color w:val="FF0000"/>
          <w:shd w:val="clear" w:color="auto" w:fill="FFFFFF"/>
          <w:lang w:val="hy-AM"/>
        </w:rPr>
        <w:t xml:space="preserve"> Սույն հոդվածի 9-րդ մասում սահմանված մասնագիտական որակավորման քննությունների ընդունման և մասնագիտական որակավորման վկայականներ տալու գործընթացը կազմակերպում է լիազոր մարմինը։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875"/>
      </w:tblGrid>
      <w:tr w:rsidR="001D64D5" w:rsidRPr="00FE1ED3" w:rsidTr="001D64D5">
        <w:trPr>
          <w:tblCellSpacing w:w="0" w:type="dxa"/>
        </w:trPr>
        <w:tc>
          <w:tcPr>
            <w:tcW w:w="2025" w:type="dxa"/>
            <w:shd w:val="clear" w:color="auto" w:fill="FFFFFF"/>
            <w:vAlign w:val="center"/>
            <w:hideMark/>
          </w:tcPr>
          <w:p w:rsidR="001D64D5" w:rsidRPr="00FE1ED3" w:rsidRDefault="001D64D5" w:rsidP="00FE1ED3">
            <w:pPr>
              <w:spacing w:before="100" w:beforeAutospacing="1" w:after="100" w:afterAutospacing="1" w:line="276" w:lineRule="auto"/>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b/>
                <w:bCs/>
                <w:color w:val="000000"/>
                <w:sz w:val="24"/>
                <w:szCs w:val="24"/>
              </w:rPr>
              <w:t>Հոդված 28.</w:t>
            </w:r>
          </w:p>
        </w:tc>
        <w:tc>
          <w:tcPr>
            <w:tcW w:w="0" w:type="auto"/>
            <w:shd w:val="clear" w:color="auto" w:fill="FFFFFF"/>
            <w:vAlign w:val="center"/>
            <w:hideMark/>
          </w:tcPr>
          <w:p w:rsidR="001D64D5" w:rsidRPr="00FE1ED3" w:rsidRDefault="001D64D5" w:rsidP="00FE1ED3">
            <w:pPr>
              <w:spacing w:after="0" w:line="276" w:lineRule="auto"/>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b/>
                <w:bCs/>
                <w:color w:val="000000"/>
                <w:sz w:val="24"/>
                <w:szCs w:val="24"/>
              </w:rPr>
              <w:t>Ավտովարորդներին ներկայացվող պահանջները</w:t>
            </w:r>
          </w:p>
        </w:tc>
      </w:tr>
    </w:tbl>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Calibri" w:eastAsia="Times New Roman" w:hAnsi="Calibri" w:cs="Calibri"/>
          <w:color w:val="000000"/>
          <w:sz w:val="24"/>
          <w:szCs w:val="24"/>
        </w:rPr>
        <w:t> </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1. Ավտովարորդը պետք է ունենա «Ճանապարհային երթևեկության անվտանգության ապահովման մասին» Հայաստանի Հանրապետության օրենքով սահմանված` համապատասխան ավտոտրանսպորտային միջոցը վարելու անհրաժեշտ որակավորում:</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2. Ընդհանուր օգտագործման ավտոմոբիլային տրանսպորտով փոխադրումներ իրականացնելու դեպքում ավտովարորդները, բացի որակավորման ընդհանուր պահանջներից, պետք է ունենան`</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ա) կցորդով կամ կիսակցորդով փոխադրումների համար` բեռնատար ավտոմոբիլի կամ թամբային քարշակի բազային դասի ավտոմոբիլի</w:t>
      </w:r>
      <w:r w:rsidRPr="00FE1ED3">
        <w:rPr>
          <w:rFonts w:ascii="Calibri" w:eastAsia="Times New Roman" w:hAnsi="Calibri" w:cs="Calibri"/>
          <w:color w:val="000000"/>
          <w:sz w:val="24"/>
          <w:szCs w:val="24"/>
        </w:rPr>
        <w:t> </w:t>
      </w:r>
      <w:r w:rsidRPr="00FE1ED3">
        <w:rPr>
          <w:rFonts w:ascii="GHEA Grapalat" w:eastAsia="Times New Roman" w:hAnsi="GHEA Grapalat" w:cs="Times New Roman"/>
          <w:color w:val="000000"/>
          <w:sz w:val="24"/>
          <w:szCs w:val="24"/>
        </w:rPr>
        <w:t xml:space="preserve">2 </w:t>
      </w:r>
      <w:r w:rsidRPr="00FE1ED3">
        <w:rPr>
          <w:rFonts w:ascii="GHEA Grapalat" w:eastAsia="Times New Roman" w:hAnsi="GHEA Grapalat" w:cs="Arial Unicode"/>
          <w:color w:val="000000"/>
          <w:sz w:val="24"/>
          <w:szCs w:val="24"/>
        </w:rPr>
        <w:t>տարիների</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իսկ</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լեռնային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երթուղիների</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համա</w:t>
      </w:r>
      <w:r w:rsidRPr="00FE1ED3">
        <w:rPr>
          <w:rFonts w:ascii="GHEA Grapalat" w:eastAsia="Times New Roman" w:hAnsi="GHEA Grapalat" w:cs="Times New Roman"/>
          <w:color w:val="000000"/>
          <w:sz w:val="24"/>
          <w:szCs w:val="24"/>
        </w:rPr>
        <w:t>ր`</w:t>
      </w:r>
      <w:r w:rsidRPr="00FE1ED3">
        <w:rPr>
          <w:rFonts w:ascii="Calibri" w:eastAsia="Times New Roman" w:hAnsi="Calibri" w:cs="Calibri"/>
          <w:color w:val="000000"/>
          <w:sz w:val="24"/>
          <w:szCs w:val="24"/>
        </w:rPr>
        <w:t> </w:t>
      </w:r>
      <w:r w:rsidRPr="00FE1ED3">
        <w:rPr>
          <w:rFonts w:ascii="GHEA Grapalat" w:eastAsia="Times New Roman" w:hAnsi="GHEA Grapalat" w:cs="Times New Roman"/>
          <w:color w:val="000000"/>
          <w:sz w:val="24"/>
          <w:szCs w:val="24"/>
        </w:rPr>
        <w:t xml:space="preserve">3 </w:t>
      </w:r>
      <w:r w:rsidRPr="00FE1ED3">
        <w:rPr>
          <w:rFonts w:ascii="GHEA Grapalat" w:eastAsia="Times New Roman" w:hAnsi="GHEA Grapalat" w:cs="Arial Unicode"/>
          <w:color w:val="000000"/>
          <w:sz w:val="24"/>
          <w:szCs w:val="24"/>
        </w:rPr>
        <w:t>տարիների</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անընդմեջ</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վարման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աշխատանքային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փորձ</w:t>
      </w:r>
      <w:r w:rsidRPr="00FE1ED3">
        <w:rPr>
          <w:rFonts w:ascii="GHEA Grapalat" w:eastAsia="Times New Roman" w:hAnsi="GHEA Grapalat" w:cs="Times New Roman"/>
          <w:color w:val="000000"/>
          <w:sz w:val="24"/>
          <w:szCs w:val="24"/>
        </w:rPr>
        <w:t>.</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բ) մարդատար-տաքսի ավտոմոբիլներով փոխադրումների համար` B կարգի ավտոտրանսպորտային միջոցի վարման առնվազն մեկ տարվա փորձ.</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գ) միկրոավտոբուսային կանոնավոր փոխադրումների համար՝ D կարգի ավտոտրանսպորտային միջոցի վարման</w:t>
      </w:r>
      <w:r w:rsidRPr="00FE1ED3">
        <w:rPr>
          <w:rFonts w:ascii="Calibri" w:eastAsia="Times New Roman" w:hAnsi="Calibri" w:cs="Calibri"/>
          <w:color w:val="000000"/>
          <w:sz w:val="24"/>
          <w:szCs w:val="24"/>
        </w:rPr>
        <w:t> </w:t>
      </w:r>
      <w:r w:rsidRPr="00FE1ED3">
        <w:rPr>
          <w:rFonts w:ascii="GHEA Grapalat" w:eastAsia="Times New Roman" w:hAnsi="GHEA Grapalat" w:cs="Arial Unicode"/>
          <w:color w:val="000000"/>
          <w:sz w:val="24"/>
          <w:szCs w:val="24"/>
        </w:rPr>
        <w:t>մեկ</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տարվա</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կամ</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մարդատար</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տաքսի</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ավտոմոբիլներով</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փոխադրումների</w:t>
      </w:r>
      <w:r w:rsidRPr="00FE1ED3">
        <w:rPr>
          <w:rFonts w:ascii="Calibri" w:eastAsia="Times New Roman" w:hAnsi="Calibri" w:cs="Calibri"/>
          <w:color w:val="000000"/>
          <w:sz w:val="24"/>
          <w:szCs w:val="24"/>
        </w:rPr>
        <w:t> </w:t>
      </w:r>
      <w:r w:rsidRPr="00FE1ED3">
        <w:rPr>
          <w:rFonts w:ascii="GHEA Grapalat" w:eastAsia="Times New Roman" w:hAnsi="GHEA Grapalat" w:cs="Times New Roman"/>
          <w:color w:val="000000"/>
          <w:sz w:val="24"/>
          <w:szCs w:val="24"/>
        </w:rPr>
        <w:t xml:space="preserve">2 </w:t>
      </w:r>
      <w:r w:rsidRPr="00FE1ED3">
        <w:rPr>
          <w:rFonts w:ascii="GHEA Grapalat" w:eastAsia="Times New Roman" w:hAnsi="GHEA Grapalat" w:cs="Arial Unicode"/>
          <w:color w:val="000000"/>
          <w:sz w:val="24"/>
          <w:szCs w:val="24"/>
        </w:rPr>
        <w:t>տարվա</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աշխատանքային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փորձ</w:t>
      </w:r>
      <w:r w:rsidRPr="00FE1ED3">
        <w:rPr>
          <w:rFonts w:ascii="GHEA Grapalat" w:eastAsia="Times New Roman" w:hAnsi="GHEA Grapalat" w:cs="Times New Roman"/>
          <w:color w:val="000000"/>
          <w:sz w:val="24"/>
          <w:szCs w:val="24"/>
        </w:rPr>
        <w:t>.</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դ) ավտոբուսային փոխադրումների համար` միկրոավտոբուսային փոխադրումների իրականացման երկու տարվա աշխատանքային փորձ.</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ե) լեռնային ավտոբուսային փոխադրումների համար` ավտոբուսային փոխադրումների իրականացման</w:t>
      </w:r>
      <w:r w:rsidRPr="00FE1ED3">
        <w:rPr>
          <w:rFonts w:ascii="Calibri" w:eastAsia="Times New Roman" w:hAnsi="Calibri" w:cs="Calibri"/>
          <w:color w:val="000000"/>
          <w:sz w:val="24"/>
          <w:szCs w:val="24"/>
        </w:rPr>
        <w:t> </w:t>
      </w:r>
      <w:r w:rsidRPr="00FE1ED3">
        <w:rPr>
          <w:rFonts w:ascii="GHEA Grapalat" w:eastAsia="Times New Roman" w:hAnsi="GHEA Grapalat" w:cs="Arial Unicode"/>
          <w:color w:val="000000"/>
          <w:sz w:val="24"/>
          <w:szCs w:val="24"/>
        </w:rPr>
        <w:t>երկու</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տարվա</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աշխատանքային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փորձ</w:t>
      </w:r>
      <w:r w:rsidRPr="00FE1ED3">
        <w:rPr>
          <w:rFonts w:ascii="GHEA Grapalat" w:eastAsia="Times New Roman" w:hAnsi="GHEA Grapalat" w:cs="Times New Roman"/>
          <w:color w:val="000000"/>
          <w:sz w:val="24"/>
          <w:szCs w:val="24"/>
        </w:rPr>
        <w:t>.</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lastRenderedPageBreak/>
        <w:t>զ) միջքաղաքային, միջպետական և լեռնային երթուղիներով մինչև 16 տարեկան երեխաների խմբի փոխադրումների համար`</w:t>
      </w:r>
      <w:r w:rsidRPr="00FE1ED3">
        <w:rPr>
          <w:rFonts w:ascii="Calibri" w:eastAsia="Times New Roman" w:hAnsi="Calibri" w:cs="Calibri"/>
          <w:color w:val="000000"/>
          <w:sz w:val="24"/>
          <w:szCs w:val="24"/>
        </w:rPr>
        <w:t> </w:t>
      </w:r>
      <w:r w:rsidRPr="00FE1ED3">
        <w:rPr>
          <w:rFonts w:ascii="GHEA Grapalat" w:eastAsia="Times New Roman" w:hAnsi="GHEA Grapalat" w:cs="Arial Unicode"/>
          <w:color w:val="000000"/>
          <w:sz w:val="24"/>
          <w:szCs w:val="24"/>
        </w:rPr>
        <w:t>երեք</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տարվա</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նշված</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երթուղիներով</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փոխադրումների</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իրականացման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անընդմեջ</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աշխատանքային</w:t>
      </w:r>
      <w:r w:rsidRPr="00FE1ED3">
        <w:rPr>
          <w:rFonts w:ascii="GHEA Grapalat" w:eastAsia="Times New Roman" w:hAnsi="GHEA Grapalat" w:cs="Times New Roman"/>
          <w:color w:val="000000"/>
          <w:sz w:val="24"/>
          <w:szCs w:val="24"/>
        </w:rPr>
        <w:t xml:space="preserve"> </w:t>
      </w:r>
      <w:r w:rsidRPr="00FE1ED3">
        <w:rPr>
          <w:rFonts w:ascii="GHEA Grapalat" w:eastAsia="Times New Roman" w:hAnsi="GHEA Grapalat" w:cs="Arial Unicode"/>
          <w:color w:val="000000"/>
          <w:sz w:val="24"/>
          <w:szCs w:val="24"/>
        </w:rPr>
        <w:t>փորձ</w:t>
      </w:r>
      <w:r w:rsidRPr="00FE1ED3">
        <w:rPr>
          <w:rFonts w:ascii="GHEA Grapalat" w:eastAsia="Times New Roman" w:hAnsi="GHEA Grapalat" w:cs="Times New Roman"/>
          <w:color w:val="000000"/>
          <w:sz w:val="24"/>
          <w:szCs w:val="24"/>
        </w:rPr>
        <w:t>:</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Գործող լեռնային երթուղուց ավտովարորդին այլ երթուղու սպասարկմանը տեղափոխելու դեպքում պետք է անցկացվի երկու օր տևողությամբ փորձաշրջան, իսկ լեռնային երթուղում ավտոբուսի մակնիշի փոփոխության դեպքում` չորս օր տևողությամբ:</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2.1. Կառավարությունը կարող է սահմանել ընդհանուր օգտագործման ավտոմոբիլային տրանսպորտով փոխադրումներ իրականացնելու դեպքում ավտովարորդների էթիկայի կանոններ:</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3. Օրվա ընթացքում ավտովարորդի կողմից ավտոմոբիլի վարման առավելագույն տևողությունը, ներառյալ` արտաժամ աշխատանքը, չպետք է գերազանցի 9 ժամը, շաբաթվա ընթացքում` 48 ժամը: Ավտովարորդների ամենօրյա անդադար հանգստի ժամանակը չպետք է պակաս լինի 10 ժամից, իսկ իրավասու մարմինների թույլտվությամբ` շաբաթվա 2 օրը 8 ժամից ոչ պակաս տևողությամբ: Առանց ընդմիջման` 4 ժամից ավելի տևողությամբ, ընդհանուր օգտագործման ավտոտրանսպորտային միջոցի վարելն արգելվում է:</w:t>
      </w:r>
    </w:p>
    <w:p w:rsidR="00860B23" w:rsidRPr="00860B23" w:rsidRDefault="00536BC0" w:rsidP="00860B23">
      <w:pPr>
        <w:spacing w:line="276" w:lineRule="auto"/>
        <w:ind w:firstLine="720"/>
        <w:jc w:val="both"/>
        <w:rPr>
          <w:rFonts w:ascii="GHEA Grapalat" w:hAnsi="GHEA Grapalat" w:cs="GHEA Grapalat"/>
          <w:color w:val="FF0000"/>
          <w:sz w:val="24"/>
          <w:shd w:val="clear" w:color="auto" w:fill="FFFFFF"/>
          <w:lang w:val="hy-AM"/>
        </w:rPr>
      </w:pPr>
      <w:r w:rsidRPr="00FE1ED3">
        <w:rPr>
          <w:rFonts w:ascii="GHEA Grapalat" w:hAnsi="GHEA Grapalat" w:cs="GHEA Grapalat"/>
          <w:color w:val="FF0000"/>
          <w:sz w:val="24"/>
          <w:shd w:val="clear" w:color="auto" w:fill="FFFFFF"/>
          <w:lang w:val="hy-AM"/>
        </w:rPr>
        <w:t xml:space="preserve">4. </w:t>
      </w:r>
      <w:r w:rsidR="00860B23" w:rsidRPr="00860B23">
        <w:rPr>
          <w:rFonts w:ascii="GHEA Grapalat" w:hAnsi="GHEA Grapalat" w:cs="GHEA Grapalat"/>
          <w:color w:val="FF0000"/>
          <w:sz w:val="24"/>
          <w:shd w:val="clear" w:color="auto" w:fill="FFFFFF"/>
          <w:lang w:val="hy-AM"/>
        </w:rPr>
        <w:t>Ընդհանուր օգտագործման ավտոմոբիլային տրանսպորտով միջպետական փոխադրումներ իրականացնող «C», «D», «CE», «DE», «C1E» և «D1E» կարգ ունեցող վարորդները պետք է ունենան մասնագիտական որակավորման վկայական (ՄՈՎ): ՄՈՎ ստանալու համար վարորդները պետք է անցնեն նախնական մասնագիտական վերապատրաստում և հանձնեն մասնագիտական որակավորման քննություն։ ՄՈՎ ունեցող վարորդներն առնվազն հինգ տարին մեկ պարբերականությամբ պետք է անցնեն մասնագիտական վերապատրաստման դասընթաց, որի վերաբերյալ պետք է նշում կատարվի ՄՈՎ-ի վրա: Մասնագիտական որակավորման քննությունն ընդունում և վարորդի ՄՈՎ-ը տրամադրում է լիազոր մարմինը: Միջպետական փոխադրումներ իրականացնող վարորդների մասնագիտական վերապատրաստմանը ներկայացվող պահանջները, մասնագիտական որակավորման քննությունների հանձման կարգը և մասնագիտական որակավորման վկայականին ներկայացվող պահանջները սահմանում է Հայաստանի Հանրապետության կառավարությունը:</w:t>
      </w:r>
    </w:p>
    <w:p w:rsidR="00536BC0" w:rsidRPr="00FE1ED3" w:rsidRDefault="00536BC0" w:rsidP="00FE1ED3">
      <w:pPr>
        <w:spacing w:line="276" w:lineRule="auto"/>
        <w:ind w:firstLine="720"/>
        <w:jc w:val="both"/>
        <w:rPr>
          <w:rFonts w:ascii="GHEA Grapalat" w:hAnsi="GHEA Grapalat" w:cs="GHEA Grapalat"/>
          <w:color w:val="FF0000"/>
          <w:sz w:val="24"/>
          <w:shd w:val="clear" w:color="auto" w:fill="FFFFFF"/>
          <w:lang w:val="hy-AM"/>
        </w:rPr>
      </w:pPr>
      <w:r w:rsidRPr="00FE1ED3">
        <w:rPr>
          <w:rFonts w:ascii="GHEA Grapalat" w:hAnsi="GHEA Grapalat" w:cs="GHEA Grapalat"/>
          <w:color w:val="FF0000"/>
          <w:sz w:val="24"/>
          <w:shd w:val="clear" w:color="auto" w:fill="FFFFFF"/>
          <w:lang w:val="hy-AM"/>
        </w:rPr>
        <w:t>5</w:t>
      </w:r>
      <w:r w:rsidRPr="00860B23">
        <w:rPr>
          <w:rFonts w:ascii="Cambria Math" w:hAnsi="Cambria Math" w:cs="Cambria Math"/>
          <w:color w:val="FF0000"/>
          <w:sz w:val="24"/>
          <w:shd w:val="clear" w:color="auto" w:fill="FFFFFF"/>
          <w:lang w:val="hy-AM"/>
        </w:rPr>
        <w:t>․</w:t>
      </w:r>
      <w:r w:rsidRPr="00FE1ED3">
        <w:rPr>
          <w:rFonts w:ascii="GHEA Grapalat" w:hAnsi="GHEA Grapalat" w:cs="GHEA Grapalat"/>
          <w:color w:val="FF0000"/>
          <w:sz w:val="24"/>
          <w:shd w:val="clear" w:color="auto" w:fill="FFFFFF"/>
          <w:lang w:val="hy-AM"/>
        </w:rPr>
        <w:t xml:space="preserve"> Ընդհանուր օգտագործման ավտոմոբիլային տրանսպորտով միջպետական փոխադրումներ իրականացնող </w:t>
      </w:r>
      <w:r w:rsidRPr="00FE1ED3">
        <w:rPr>
          <w:rFonts w:ascii="GHEA Grapalat" w:hAnsi="GHEA Grapalat"/>
          <w:iCs/>
          <w:color w:val="FF0000"/>
          <w:sz w:val="24"/>
          <w:shd w:val="clear" w:color="auto" w:fill="FFFFFF"/>
          <w:lang w:val="hy-AM"/>
        </w:rPr>
        <w:t xml:space="preserve">«C», «D», «CE», «DE», «C1E» և «D1E» </w:t>
      </w:r>
      <w:r w:rsidRPr="00FE1ED3">
        <w:rPr>
          <w:rFonts w:ascii="GHEA Grapalat" w:hAnsi="GHEA Grapalat" w:cs="GHEA Grapalat"/>
          <w:color w:val="FF0000"/>
          <w:sz w:val="24"/>
          <w:shd w:val="clear" w:color="auto" w:fill="FFFFFF"/>
          <w:lang w:val="hy-AM"/>
        </w:rPr>
        <w:t xml:space="preserve">կարգ ունեցող վարորդների մասնագիտական վերապատրաստման գործունեություն կարող են իրականացնել &lt;&lt;Գործունեության իրականացման ծանուցման մասին&gt;&gt; օրենքի պահանջներին համապատասխան լիազոր մարմնից ծանուցման ենթակա գործունեությամբ զբաղվելու իրավունք ստացած  կազմակերպությունները։ </w:t>
      </w:r>
    </w:p>
    <w:p w:rsidR="00536BC0" w:rsidRPr="00FE1ED3" w:rsidRDefault="00536BC0" w:rsidP="00FE1ED3">
      <w:pPr>
        <w:spacing w:line="276" w:lineRule="auto"/>
        <w:ind w:firstLine="720"/>
        <w:jc w:val="both"/>
        <w:rPr>
          <w:rFonts w:ascii="GHEA Grapalat" w:hAnsi="GHEA Grapalat" w:cs="GHEA Grapalat"/>
          <w:color w:val="FF0000"/>
          <w:sz w:val="24"/>
          <w:shd w:val="clear" w:color="auto" w:fill="FFFFFF"/>
          <w:lang w:val="hy-AM"/>
        </w:rPr>
      </w:pPr>
      <w:r w:rsidRPr="00FE1ED3">
        <w:rPr>
          <w:rFonts w:ascii="GHEA Grapalat" w:hAnsi="GHEA Grapalat" w:cs="GHEA Grapalat"/>
          <w:color w:val="FF0000"/>
          <w:sz w:val="24"/>
          <w:shd w:val="clear" w:color="auto" w:fill="FFFFFF"/>
          <w:lang w:val="hy-AM"/>
        </w:rPr>
        <w:lastRenderedPageBreak/>
        <w:t>6</w:t>
      </w:r>
      <w:r w:rsidRPr="00FE1ED3">
        <w:rPr>
          <w:rFonts w:ascii="Cambria Math" w:hAnsi="Cambria Math" w:cs="Cambria Math"/>
          <w:color w:val="FF0000"/>
          <w:sz w:val="24"/>
          <w:shd w:val="clear" w:color="auto" w:fill="FFFFFF"/>
          <w:lang w:val="hy-AM"/>
        </w:rPr>
        <w:t>․</w:t>
      </w:r>
      <w:r w:rsidRPr="00FE1ED3">
        <w:rPr>
          <w:rFonts w:ascii="GHEA Grapalat" w:hAnsi="GHEA Grapalat" w:cs="GHEA Grapalat"/>
          <w:color w:val="FF0000"/>
          <w:sz w:val="24"/>
          <w:shd w:val="clear" w:color="auto" w:fill="FFFFFF"/>
          <w:lang w:val="hy-AM"/>
        </w:rPr>
        <w:t xml:space="preserve"> Սույն օրենքի 28-րդ հոդվածի 4-րդ մասով նախատեսված  վերապատրաստման առաջին դասընթացը վարորդը պետք է անցնի ոչ շուտ, քան ՄՈՎ-ը ստանալուց հինգ տարի հետո:</w:t>
      </w:r>
    </w:p>
    <w:p w:rsidR="001D64D5" w:rsidRPr="00FE1ED3" w:rsidRDefault="001D64D5" w:rsidP="00FE1ED3">
      <w:pPr>
        <w:spacing w:line="276" w:lineRule="auto"/>
        <w:ind w:firstLine="720"/>
        <w:jc w:val="both"/>
        <w:rPr>
          <w:rFonts w:ascii="GHEA Grapalat" w:hAnsi="GHEA Grapalat" w:cs="GHEA Grapalat"/>
          <w:color w:val="FF0000"/>
          <w:sz w:val="24"/>
          <w:szCs w:val="24"/>
          <w:shd w:val="clear" w:color="auto" w:fill="FFFFFF"/>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875"/>
      </w:tblGrid>
      <w:tr w:rsidR="001D64D5" w:rsidRPr="00FE1ED3" w:rsidTr="001D64D5">
        <w:trPr>
          <w:tblCellSpacing w:w="0" w:type="dxa"/>
        </w:trPr>
        <w:tc>
          <w:tcPr>
            <w:tcW w:w="2025" w:type="dxa"/>
            <w:shd w:val="clear" w:color="auto" w:fill="FFFFFF"/>
            <w:vAlign w:val="center"/>
            <w:hideMark/>
          </w:tcPr>
          <w:p w:rsidR="001D64D5" w:rsidRPr="00FE1ED3" w:rsidRDefault="001D64D5" w:rsidP="00FE1ED3">
            <w:pPr>
              <w:spacing w:before="100" w:beforeAutospacing="1" w:after="100" w:afterAutospacing="1" w:line="276" w:lineRule="auto"/>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b/>
                <w:bCs/>
                <w:color w:val="000000"/>
                <w:sz w:val="24"/>
                <w:szCs w:val="24"/>
              </w:rPr>
              <w:t>Հոդված 29.</w:t>
            </w:r>
          </w:p>
        </w:tc>
        <w:tc>
          <w:tcPr>
            <w:tcW w:w="0" w:type="auto"/>
            <w:shd w:val="clear" w:color="auto" w:fill="FFFFFF"/>
            <w:vAlign w:val="center"/>
            <w:hideMark/>
          </w:tcPr>
          <w:p w:rsidR="001D64D5" w:rsidRPr="00FE1ED3" w:rsidRDefault="001D64D5" w:rsidP="00FE1ED3">
            <w:pPr>
              <w:spacing w:after="0" w:line="276" w:lineRule="auto"/>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b/>
                <w:bCs/>
                <w:color w:val="000000"/>
                <w:sz w:val="24"/>
                <w:szCs w:val="24"/>
              </w:rPr>
              <w:t>Անցումային դրույթներ</w:t>
            </w:r>
          </w:p>
        </w:tc>
      </w:tr>
    </w:tbl>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Calibri" w:eastAsia="Times New Roman" w:hAnsi="Calibri" w:cs="Calibri"/>
          <w:color w:val="000000"/>
          <w:sz w:val="24"/>
          <w:szCs w:val="24"/>
        </w:rPr>
        <w:t> </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1. Սույն օրենքի 17-րդ հոդվածի երկրորդ մասն ուժի մեջ է մտնում օրենքի ուժի մեջ մտնելու պահից 6 ամիս հետո:</w:t>
      </w:r>
    </w:p>
    <w:p w:rsidR="001D64D5" w:rsidRPr="00FE1ED3" w:rsidRDefault="001D64D5" w:rsidP="00FE1ED3">
      <w:pPr>
        <w:shd w:val="clear" w:color="auto" w:fill="FFFFFF"/>
        <w:spacing w:after="0" w:line="276" w:lineRule="auto"/>
        <w:ind w:firstLine="375"/>
        <w:jc w:val="both"/>
        <w:rPr>
          <w:rFonts w:ascii="GHEA Grapalat" w:eastAsia="Times New Roman" w:hAnsi="GHEA Grapalat" w:cs="Times New Roman"/>
          <w:color w:val="000000"/>
          <w:sz w:val="24"/>
          <w:szCs w:val="24"/>
        </w:rPr>
      </w:pPr>
      <w:r w:rsidRPr="00FE1ED3">
        <w:rPr>
          <w:rFonts w:ascii="GHEA Grapalat" w:eastAsia="Times New Roman" w:hAnsi="GHEA Grapalat" w:cs="Times New Roman"/>
          <w:color w:val="000000"/>
          <w:sz w:val="24"/>
          <w:szCs w:val="24"/>
        </w:rPr>
        <w:t>2. Սույն օրենքն ուժի մեջ է մտնում պաշտոնական հրապարակմանը հաջորդող տասներորդ օրվանից:</w:t>
      </w:r>
    </w:p>
    <w:p w:rsidR="001D64D5" w:rsidRDefault="001D64D5" w:rsidP="00FE1ED3">
      <w:pPr>
        <w:spacing w:line="276" w:lineRule="auto"/>
        <w:ind w:firstLine="720"/>
        <w:jc w:val="both"/>
        <w:rPr>
          <w:rFonts w:ascii="GHEA Grapalat" w:hAnsi="GHEA Grapalat" w:cs="GHEA Grapalat"/>
          <w:color w:val="FF0000"/>
          <w:sz w:val="24"/>
          <w:szCs w:val="24"/>
          <w:shd w:val="clear" w:color="auto" w:fill="FFFFFF"/>
          <w:lang w:val="hy-AM"/>
        </w:rPr>
      </w:pPr>
    </w:p>
    <w:p w:rsidR="002A3EE5" w:rsidRDefault="002A3EE5" w:rsidP="00FE1ED3">
      <w:pPr>
        <w:spacing w:line="276" w:lineRule="auto"/>
        <w:ind w:firstLine="720"/>
        <w:jc w:val="both"/>
        <w:rPr>
          <w:rFonts w:ascii="GHEA Grapalat" w:hAnsi="GHEA Grapalat" w:cs="GHEA Grapalat"/>
          <w:color w:val="FF0000"/>
          <w:sz w:val="24"/>
          <w:szCs w:val="24"/>
          <w:shd w:val="clear" w:color="auto" w:fill="FFFFFF"/>
          <w:lang w:val="hy-AM"/>
        </w:rPr>
      </w:pPr>
    </w:p>
    <w:p w:rsidR="002A3EE5" w:rsidRDefault="002A3EE5" w:rsidP="00FE1ED3">
      <w:pPr>
        <w:spacing w:line="276" w:lineRule="auto"/>
        <w:ind w:firstLine="720"/>
        <w:jc w:val="both"/>
        <w:rPr>
          <w:rFonts w:ascii="GHEA Grapalat" w:hAnsi="GHEA Grapalat" w:cs="GHEA Grapalat"/>
          <w:color w:val="FF0000"/>
          <w:sz w:val="24"/>
          <w:szCs w:val="24"/>
          <w:shd w:val="clear" w:color="auto" w:fill="FFFFFF"/>
          <w:lang w:val="hy-AM"/>
        </w:rPr>
      </w:pPr>
    </w:p>
    <w:p w:rsidR="002A3EE5" w:rsidRDefault="002A3EE5" w:rsidP="00FE1ED3">
      <w:pPr>
        <w:spacing w:line="276" w:lineRule="auto"/>
        <w:ind w:firstLine="720"/>
        <w:jc w:val="both"/>
        <w:rPr>
          <w:rFonts w:ascii="GHEA Grapalat" w:hAnsi="GHEA Grapalat" w:cs="GHEA Grapalat"/>
          <w:color w:val="FF0000"/>
          <w:sz w:val="24"/>
          <w:szCs w:val="24"/>
          <w:shd w:val="clear" w:color="auto" w:fill="FFFFFF"/>
          <w:lang w:val="hy-AM"/>
        </w:rPr>
      </w:pPr>
    </w:p>
    <w:p w:rsidR="002A3EE5" w:rsidRPr="00FE1ED3" w:rsidRDefault="002A3EE5" w:rsidP="00FE1ED3">
      <w:pPr>
        <w:spacing w:line="276" w:lineRule="auto"/>
        <w:ind w:firstLine="720"/>
        <w:jc w:val="both"/>
        <w:rPr>
          <w:rFonts w:ascii="GHEA Grapalat" w:hAnsi="GHEA Grapalat" w:cs="GHEA Grapalat"/>
          <w:color w:val="FF0000"/>
          <w:sz w:val="24"/>
          <w:szCs w:val="24"/>
          <w:shd w:val="clear" w:color="auto" w:fill="FFFFFF"/>
          <w:lang w:val="hy-AM"/>
        </w:rPr>
      </w:pPr>
    </w:p>
    <w:p w:rsidR="00667C09" w:rsidRPr="00FE1ED3" w:rsidRDefault="00667C09" w:rsidP="00FE1ED3">
      <w:pPr>
        <w:spacing w:line="276" w:lineRule="auto"/>
        <w:ind w:firstLine="720"/>
        <w:jc w:val="both"/>
        <w:rPr>
          <w:rStyle w:val="Strong"/>
          <w:rFonts w:ascii="GHEA Grapalat" w:hAnsi="GHEA Grapalat"/>
          <w:color w:val="000000"/>
          <w:sz w:val="21"/>
          <w:szCs w:val="21"/>
          <w:shd w:val="clear" w:color="auto" w:fill="FFFFFF"/>
          <w:lang w:val="hy-AM"/>
        </w:rPr>
      </w:pPr>
      <w:r w:rsidRPr="00FE1ED3">
        <w:rPr>
          <w:rStyle w:val="Strong"/>
          <w:rFonts w:ascii="GHEA Grapalat" w:hAnsi="GHEA Grapalat"/>
          <w:color w:val="000000"/>
          <w:sz w:val="21"/>
          <w:szCs w:val="21"/>
          <w:shd w:val="clear" w:color="auto" w:fill="FFFFFF"/>
          <w:lang w:val="hy-AM"/>
        </w:rPr>
        <w:t>ՊԵՏԱԿԱՆ</w:t>
      </w:r>
      <w:r w:rsidRPr="00FE1ED3">
        <w:rPr>
          <w:rStyle w:val="Strong"/>
          <w:rFonts w:ascii="Calibri" w:hAnsi="Calibri" w:cs="Calibri"/>
          <w:color w:val="000000"/>
          <w:sz w:val="21"/>
          <w:szCs w:val="21"/>
          <w:shd w:val="clear" w:color="auto" w:fill="FFFFFF"/>
          <w:lang w:val="hy-AM"/>
        </w:rPr>
        <w:t> </w:t>
      </w:r>
      <w:r w:rsidRPr="00FE1ED3">
        <w:rPr>
          <w:rStyle w:val="Strong"/>
          <w:rFonts w:ascii="GHEA Grapalat" w:hAnsi="GHEA Grapalat"/>
          <w:color w:val="000000"/>
          <w:sz w:val="21"/>
          <w:szCs w:val="21"/>
          <w:shd w:val="clear" w:color="auto" w:fill="FFFFFF"/>
          <w:lang w:val="hy-AM"/>
        </w:rPr>
        <w:t>ՏՈՒՐՔԻ ՄԱՍԻՆ</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875"/>
      </w:tblGrid>
      <w:tr w:rsidR="00667C09" w:rsidRPr="00FE1ED3" w:rsidTr="00667C09">
        <w:trPr>
          <w:tblCellSpacing w:w="0" w:type="dxa"/>
        </w:trPr>
        <w:tc>
          <w:tcPr>
            <w:tcW w:w="2025" w:type="dxa"/>
            <w:shd w:val="clear" w:color="auto" w:fill="FFFFFF"/>
            <w:hideMark/>
          </w:tcPr>
          <w:p w:rsidR="00667C09" w:rsidRPr="00FE1ED3" w:rsidRDefault="00667C09" w:rsidP="00FE1ED3">
            <w:pPr>
              <w:spacing w:after="0" w:line="240" w:lineRule="auto"/>
              <w:jc w:val="both"/>
              <w:rPr>
                <w:rFonts w:ascii="GHEA Grapalat" w:eastAsia="Times New Roman" w:hAnsi="GHEA Grapalat" w:cs="Times New Roman"/>
                <w:b/>
                <w:bCs/>
                <w:color w:val="000000"/>
                <w:sz w:val="21"/>
                <w:szCs w:val="21"/>
              </w:rPr>
            </w:pPr>
            <w:r w:rsidRPr="00FE1ED3">
              <w:rPr>
                <w:rFonts w:ascii="GHEA Grapalat" w:eastAsia="Times New Roman" w:hAnsi="GHEA Grapalat" w:cs="Times New Roman"/>
                <w:b/>
                <w:bCs/>
                <w:color w:val="000000"/>
                <w:sz w:val="21"/>
                <w:szCs w:val="21"/>
              </w:rPr>
              <w:t>Հոդված 20.</w:t>
            </w:r>
          </w:p>
        </w:tc>
        <w:tc>
          <w:tcPr>
            <w:tcW w:w="0" w:type="auto"/>
            <w:shd w:val="clear" w:color="auto" w:fill="FFFFFF"/>
            <w:vAlign w:val="center"/>
            <w:hideMark/>
          </w:tcPr>
          <w:p w:rsidR="00667C09" w:rsidRPr="00FE1ED3" w:rsidRDefault="00667C09" w:rsidP="00FE1ED3">
            <w:pPr>
              <w:spacing w:after="0" w:line="240" w:lineRule="auto"/>
              <w:jc w:val="both"/>
              <w:rPr>
                <w:rFonts w:ascii="GHEA Grapalat" w:eastAsia="Times New Roman" w:hAnsi="GHEA Grapalat" w:cs="Times New Roman"/>
                <w:b/>
                <w:bCs/>
                <w:color w:val="000000"/>
                <w:sz w:val="21"/>
                <w:szCs w:val="21"/>
              </w:rPr>
            </w:pPr>
            <w:r w:rsidRPr="00FE1ED3">
              <w:rPr>
                <w:rFonts w:ascii="GHEA Grapalat" w:eastAsia="Times New Roman" w:hAnsi="GHEA Grapalat" w:cs="Times New Roman"/>
                <w:b/>
                <w:bCs/>
                <w:color w:val="000000"/>
                <w:sz w:val="21"/>
                <w:szCs w:val="21"/>
              </w:rPr>
              <w:t>Այլ ծառայությունների կամ գործողությունների համար պետական տուրքի դրույքաչափերը</w:t>
            </w:r>
          </w:p>
        </w:tc>
      </w:tr>
    </w:tbl>
    <w:p w:rsidR="00667C09" w:rsidRPr="00FE1ED3" w:rsidRDefault="00667C09" w:rsidP="00FE1ED3">
      <w:pPr>
        <w:spacing w:line="276" w:lineRule="auto"/>
        <w:ind w:firstLine="720"/>
        <w:jc w:val="both"/>
        <w:rPr>
          <w:rFonts w:ascii="GHEA Grapalat" w:hAnsi="GHEA Grapalat" w:cs="GHEA Grapalat"/>
          <w:color w:val="FF0000"/>
          <w:sz w:val="24"/>
          <w:szCs w:val="24"/>
          <w:shd w:val="clear" w:color="auto" w:fill="FFFFFF"/>
        </w:rPr>
      </w:pPr>
    </w:p>
    <w:tbl>
      <w:tblPr>
        <w:tblW w:w="4954" w:type="pct"/>
        <w:tblCellSpacing w:w="0" w:type="dxa"/>
        <w:tblInd w:w="-73" w:type="dxa"/>
        <w:tblCellMar>
          <w:top w:w="75" w:type="dxa"/>
          <w:left w:w="75" w:type="dxa"/>
          <w:bottom w:w="75" w:type="dxa"/>
          <w:right w:w="75" w:type="dxa"/>
        </w:tblCellMar>
        <w:tblLook w:val="00A0" w:firstRow="1" w:lastRow="0" w:firstColumn="1" w:lastColumn="0" w:noHBand="0" w:noVBand="0"/>
      </w:tblPr>
      <w:tblGrid>
        <w:gridCol w:w="6531"/>
        <w:gridCol w:w="3278"/>
      </w:tblGrid>
      <w:tr w:rsidR="00651AE6" w:rsidRPr="002A3EE5" w:rsidTr="00122334">
        <w:trPr>
          <w:trHeight w:val="825"/>
          <w:tblCellSpacing w:w="0" w:type="dxa"/>
        </w:trPr>
        <w:tc>
          <w:tcPr>
            <w:tcW w:w="3329" w:type="pct"/>
            <w:hideMark/>
          </w:tcPr>
          <w:p w:rsidR="00651AE6" w:rsidRPr="00651AE6" w:rsidRDefault="00651AE6" w:rsidP="00651AE6">
            <w:pPr>
              <w:spacing w:line="276" w:lineRule="auto"/>
              <w:rPr>
                <w:rFonts w:ascii="GHEA Grapalat" w:hAnsi="GHEA Grapalat" w:cs="GHEA Grapalat"/>
                <w:color w:val="FF0000"/>
                <w:lang w:val="hy-AM"/>
              </w:rPr>
            </w:pPr>
            <w:bookmarkStart w:id="0" w:name="_GoBack" w:colFirst="0" w:colLast="1"/>
            <w:r w:rsidRPr="00651AE6">
              <w:rPr>
                <w:rFonts w:ascii="GHEA Grapalat" w:hAnsi="GHEA Grapalat" w:cs="GHEA Grapalat"/>
                <w:color w:val="FF0000"/>
                <w:lang w:val="hy-AM"/>
              </w:rPr>
              <w:t xml:space="preserve">«59. Փոխադրումների մենեջերի </w:t>
            </w:r>
            <w:r w:rsidRPr="00651AE6">
              <w:rPr>
                <w:rFonts w:ascii="GHEA Grapalat" w:hAnsi="GHEA Grapalat" w:cs="GHEA Grapalat"/>
                <w:color w:val="FF0000"/>
                <w:shd w:val="clear" w:color="auto" w:fill="FFFFFF"/>
                <w:lang w:val="hy-AM"/>
              </w:rPr>
              <w:t>մասնագիտական որակավորման քննություն ընդունելու և մասնագիտական որակավորման վկայական տալու համար՝</w:t>
            </w:r>
          </w:p>
        </w:tc>
        <w:tc>
          <w:tcPr>
            <w:tcW w:w="1671" w:type="pct"/>
            <w:vAlign w:val="bottom"/>
            <w:hideMark/>
          </w:tcPr>
          <w:p w:rsidR="00651AE6" w:rsidRPr="00651AE6" w:rsidRDefault="00651AE6" w:rsidP="00651AE6">
            <w:pPr>
              <w:spacing w:line="276" w:lineRule="auto"/>
              <w:rPr>
                <w:rFonts w:ascii="GHEA Grapalat" w:hAnsi="GHEA Grapalat" w:cs="GHEA Grapalat"/>
                <w:color w:val="FF0000"/>
                <w:lang w:val="hy-AM"/>
              </w:rPr>
            </w:pPr>
            <w:r w:rsidRPr="00651AE6">
              <w:rPr>
                <w:rFonts w:ascii="GHEA Grapalat" w:hAnsi="GHEA Grapalat" w:cs="GHEA Grapalat"/>
                <w:color w:val="FF0000"/>
                <w:lang w:val="hy-AM"/>
              </w:rPr>
              <w:t xml:space="preserve">բազային տուրքի </w:t>
            </w:r>
          </w:p>
          <w:p w:rsidR="00651AE6" w:rsidRPr="00651AE6" w:rsidRDefault="00651AE6" w:rsidP="00651AE6">
            <w:pPr>
              <w:spacing w:line="276" w:lineRule="auto"/>
              <w:rPr>
                <w:rFonts w:ascii="GHEA Grapalat" w:hAnsi="GHEA Grapalat" w:cs="GHEA Grapalat"/>
                <w:color w:val="FF0000"/>
              </w:rPr>
            </w:pPr>
            <w:r w:rsidRPr="00651AE6">
              <w:rPr>
                <w:rFonts w:ascii="GHEA Grapalat" w:hAnsi="GHEA Grapalat" w:cs="GHEA Grapalat"/>
                <w:color w:val="FF0000"/>
                <w:lang w:val="hy-AM"/>
              </w:rPr>
              <w:t>20-ապատիկի չափով</w:t>
            </w:r>
          </w:p>
        </w:tc>
      </w:tr>
      <w:tr w:rsidR="00651AE6" w:rsidRPr="002A3EE5" w:rsidTr="00122334">
        <w:trPr>
          <w:trHeight w:val="825"/>
          <w:tblCellSpacing w:w="0" w:type="dxa"/>
        </w:trPr>
        <w:tc>
          <w:tcPr>
            <w:tcW w:w="3329" w:type="pct"/>
          </w:tcPr>
          <w:p w:rsidR="00651AE6" w:rsidRPr="00651AE6" w:rsidRDefault="00651AE6" w:rsidP="00651AE6">
            <w:pPr>
              <w:spacing w:line="276" w:lineRule="auto"/>
              <w:rPr>
                <w:rFonts w:ascii="GHEA Grapalat" w:hAnsi="GHEA Grapalat" w:cs="GHEA Grapalat"/>
                <w:color w:val="FF0000"/>
              </w:rPr>
            </w:pPr>
            <w:r w:rsidRPr="00651AE6">
              <w:rPr>
                <w:rFonts w:ascii="GHEA Grapalat" w:hAnsi="GHEA Grapalat" w:cs="GHEA Grapalat"/>
                <w:color w:val="FF0000"/>
                <w:shd w:val="clear" w:color="auto" w:fill="FFFFFF"/>
                <w:lang w:val="hy-AM"/>
              </w:rPr>
              <w:t>60</w:t>
            </w:r>
            <w:r w:rsidRPr="00651AE6">
              <w:rPr>
                <w:rFonts w:ascii="Cambria Math" w:hAnsi="Cambria Math" w:cs="Cambria Math"/>
                <w:color w:val="FF0000"/>
                <w:shd w:val="clear" w:color="auto" w:fill="FFFFFF"/>
                <w:lang w:val="hy-AM"/>
              </w:rPr>
              <w:t>․</w:t>
            </w:r>
            <w:r w:rsidRPr="00651AE6">
              <w:rPr>
                <w:rFonts w:ascii="GHEA Grapalat" w:hAnsi="GHEA Grapalat" w:cs="GHEA Grapalat"/>
                <w:color w:val="FF0000"/>
                <w:shd w:val="clear" w:color="auto" w:fill="FFFFFF"/>
                <w:lang w:val="hy-AM"/>
              </w:rPr>
              <w:t xml:space="preserve"> «C», «D», «CE», «DE», «C1E» և «D1E» կարգ ունեցող վարորդների մասնագիտական որակավորման քննություն ընդունելու և մասնագիտական որակավորման վկայական տալու համար`</w:t>
            </w:r>
          </w:p>
        </w:tc>
        <w:tc>
          <w:tcPr>
            <w:tcW w:w="1671" w:type="pct"/>
            <w:vAlign w:val="bottom"/>
          </w:tcPr>
          <w:p w:rsidR="00651AE6" w:rsidRPr="00651AE6" w:rsidRDefault="00651AE6" w:rsidP="00651AE6">
            <w:pPr>
              <w:spacing w:line="276" w:lineRule="auto"/>
              <w:rPr>
                <w:rFonts w:ascii="GHEA Grapalat" w:hAnsi="GHEA Grapalat" w:cs="GHEA Grapalat"/>
                <w:color w:val="FF0000"/>
              </w:rPr>
            </w:pPr>
            <w:r w:rsidRPr="00651AE6">
              <w:rPr>
                <w:rFonts w:ascii="GHEA Grapalat" w:hAnsi="GHEA Grapalat" w:cs="GHEA Grapalat"/>
                <w:color w:val="FF0000"/>
              </w:rPr>
              <w:t xml:space="preserve">բազային տուրքի </w:t>
            </w:r>
          </w:p>
          <w:p w:rsidR="00651AE6" w:rsidRPr="00651AE6" w:rsidRDefault="00651AE6" w:rsidP="00651AE6">
            <w:pPr>
              <w:spacing w:line="276" w:lineRule="auto"/>
              <w:rPr>
                <w:rFonts w:ascii="GHEA Grapalat" w:hAnsi="GHEA Grapalat" w:cs="GHEA Grapalat"/>
                <w:color w:val="FF0000"/>
              </w:rPr>
            </w:pPr>
            <w:r w:rsidRPr="00651AE6">
              <w:rPr>
                <w:rFonts w:ascii="GHEA Grapalat" w:hAnsi="GHEA Grapalat" w:cs="GHEA Grapalat"/>
                <w:color w:val="FF0000"/>
                <w:lang w:val="hy-AM"/>
              </w:rPr>
              <w:t>20</w:t>
            </w:r>
            <w:r w:rsidRPr="00651AE6">
              <w:rPr>
                <w:rFonts w:ascii="GHEA Grapalat" w:hAnsi="GHEA Grapalat" w:cs="GHEA Grapalat"/>
                <w:color w:val="FF0000"/>
              </w:rPr>
              <w:t>-ապատիկի չափով:»:</w:t>
            </w:r>
          </w:p>
          <w:p w:rsidR="00651AE6" w:rsidRPr="00651AE6" w:rsidRDefault="00651AE6" w:rsidP="00651AE6">
            <w:pPr>
              <w:spacing w:line="276" w:lineRule="auto"/>
              <w:rPr>
                <w:rFonts w:ascii="GHEA Grapalat" w:hAnsi="GHEA Grapalat" w:cs="GHEA Grapalat"/>
                <w:color w:val="FF0000"/>
              </w:rPr>
            </w:pPr>
          </w:p>
        </w:tc>
      </w:tr>
      <w:tr w:rsidR="00651AE6" w:rsidRPr="002A3EE5" w:rsidTr="00122334">
        <w:trPr>
          <w:trHeight w:val="825"/>
          <w:tblCellSpacing w:w="0" w:type="dxa"/>
        </w:trPr>
        <w:tc>
          <w:tcPr>
            <w:tcW w:w="3329" w:type="pct"/>
          </w:tcPr>
          <w:p w:rsidR="00651AE6" w:rsidRPr="00651AE6" w:rsidRDefault="00651AE6" w:rsidP="00651AE6">
            <w:pPr>
              <w:spacing w:line="276" w:lineRule="auto"/>
              <w:rPr>
                <w:rFonts w:ascii="GHEA Grapalat" w:hAnsi="GHEA Grapalat" w:cs="GHEA Grapalat"/>
                <w:color w:val="FF0000"/>
                <w:shd w:val="clear" w:color="auto" w:fill="FFFFFF"/>
                <w:lang w:val="hy-AM"/>
              </w:rPr>
            </w:pPr>
            <w:r w:rsidRPr="00651AE6">
              <w:rPr>
                <w:rFonts w:ascii="GHEA Grapalat" w:hAnsi="GHEA Grapalat" w:cs="GHEA Grapalat"/>
                <w:color w:val="FF0000"/>
                <w:shd w:val="clear" w:color="auto" w:fill="FFFFFF"/>
                <w:lang w:val="hy-AM"/>
              </w:rPr>
              <w:t>61</w:t>
            </w:r>
            <w:r w:rsidRPr="00651AE6">
              <w:rPr>
                <w:rFonts w:ascii="Cambria Math" w:hAnsi="Cambria Math" w:cs="Cambria Math"/>
                <w:color w:val="FF0000"/>
                <w:shd w:val="clear" w:color="auto" w:fill="FFFFFF"/>
                <w:lang w:val="hy-AM"/>
              </w:rPr>
              <w:t>․</w:t>
            </w:r>
            <w:r w:rsidRPr="00651AE6">
              <w:rPr>
                <w:rFonts w:ascii="GHEA Grapalat" w:hAnsi="GHEA Grapalat" w:cs="GHEA Grapalat"/>
                <w:color w:val="FF0000"/>
                <w:shd w:val="clear" w:color="auto" w:fill="FFFFFF"/>
                <w:lang w:val="hy-AM"/>
              </w:rPr>
              <w:t xml:space="preserve"> Փոխադ</w:t>
            </w:r>
            <w:r w:rsidRPr="00651AE6">
              <w:rPr>
                <w:rFonts w:ascii="GHEA Grapalat" w:hAnsi="GHEA Grapalat" w:cs="GHEA Grapalat"/>
                <w:color w:val="FF0000"/>
                <w:shd w:val="clear" w:color="auto" w:fill="FFFFFF"/>
                <w:lang w:val="hy-AM"/>
              </w:rPr>
              <w:softHyphen/>
              <w:t>րում</w:t>
            </w:r>
            <w:r w:rsidRPr="00651AE6">
              <w:rPr>
                <w:rFonts w:ascii="GHEA Grapalat" w:hAnsi="GHEA Grapalat" w:cs="GHEA Grapalat"/>
                <w:color w:val="FF0000"/>
                <w:shd w:val="clear" w:color="auto" w:fill="FFFFFF"/>
                <w:lang w:val="hy-AM"/>
              </w:rPr>
              <w:softHyphen/>
              <w:t>ների մենեջերների մասնագիտական վերապատրաստման ծառա</w:t>
            </w:r>
            <w:r w:rsidRPr="00651AE6">
              <w:rPr>
                <w:rFonts w:ascii="GHEA Grapalat" w:hAnsi="GHEA Grapalat" w:cs="GHEA Grapalat"/>
                <w:color w:val="FF0000"/>
                <w:shd w:val="clear" w:color="auto" w:fill="FFFFFF"/>
                <w:lang w:val="hy-AM"/>
              </w:rPr>
              <w:softHyphen/>
              <w:t>յության մատու</w:t>
            </w:r>
            <w:r w:rsidRPr="00651AE6">
              <w:rPr>
                <w:rFonts w:ascii="GHEA Grapalat" w:hAnsi="GHEA Grapalat" w:cs="GHEA Grapalat"/>
                <w:color w:val="FF0000"/>
                <w:shd w:val="clear" w:color="auto" w:fill="FFFFFF"/>
                <w:lang w:val="hy-AM"/>
              </w:rPr>
              <w:softHyphen/>
              <w:t>ցման համար՝ տարեկան</w:t>
            </w:r>
          </w:p>
        </w:tc>
        <w:tc>
          <w:tcPr>
            <w:tcW w:w="1671" w:type="pct"/>
            <w:vAlign w:val="bottom"/>
          </w:tcPr>
          <w:p w:rsidR="00651AE6" w:rsidRPr="00651AE6" w:rsidRDefault="00651AE6" w:rsidP="00651AE6">
            <w:pPr>
              <w:spacing w:line="276" w:lineRule="auto"/>
              <w:rPr>
                <w:rFonts w:ascii="GHEA Grapalat" w:hAnsi="GHEA Grapalat" w:cs="GHEA Grapalat"/>
                <w:color w:val="FF0000"/>
              </w:rPr>
            </w:pPr>
            <w:r w:rsidRPr="00651AE6">
              <w:rPr>
                <w:rFonts w:ascii="GHEA Grapalat" w:hAnsi="GHEA Grapalat" w:cs="GHEA Grapalat"/>
                <w:color w:val="FF0000"/>
              </w:rPr>
              <w:t xml:space="preserve">բազային տուրքի </w:t>
            </w:r>
          </w:p>
          <w:p w:rsidR="00651AE6" w:rsidRPr="00651AE6" w:rsidRDefault="00651AE6" w:rsidP="00651AE6">
            <w:pPr>
              <w:spacing w:line="276" w:lineRule="auto"/>
              <w:rPr>
                <w:rFonts w:ascii="GHEA Grapalat" w:hAnsi="GHEA Grapalat" w:cs="GHEA Grapalat"/>
                <w:color w:val="FF0000"/>
              </w:rPr>
            </w:pPr>
            <w:r w:rsidRPr="00651AE6">
              <w:rPr>
                <w:rFonts w:ascii="GHEA Grapalat" w:hAnsi="GHEA Grapalat" w:cs="GHEA Grapalat"/>
                <w:color w:val="FF0000"/>
                <w:lang w:val="hy-AM"/>
              </w:rPr>
              <w:t>100</w:t>
            </w:r>
            <w:r w:rsidRPr="00651AE6">
              <w:rPr>
                <w:rFonts w:ascii="GHEA Grapalat" w:hAnsi="GHEA Grapalat" w:cs="GHEA Grapalat"/>
                <w:color w:val="FF0000"/>
              </w:rPr>
              <w:t>-ապատիկի չափով:»:</w:t>
            </w:r>
          </w:p>
          <w:p w:rsidR="00651AE6" w:rsidRPr="00651AE6" w:rsidRDefault="00651AE6" w:rsidP="00651AE6">
            <w:pPr>
              <w:spacing w:line="276" w:lineRule="auto"/>
              <w:rPr>
                <w:rFonts w:ascii="GHEA Grapalat" w:hAnsi="GHEA Grapalat" w:cs="GHEA Grapalat"/>
                <w:color w:val="FF0000"/>
              </w:rPr>
            </w:pPr>
          </w:p>
        </w:tc>
      </w:tr>
      <w:tr w:rsidR="00651AE6" w:rsidRPr="002A3EE5" w:rsidTr="00122334">
        <w:trPr>
          <w:trHeight w:val="825"/>
          <w:tblCellSpacing w:w="0" w:type="dxa"/>
        </w:trPr>
        <w:tc>
          <w:tcPr>
            <w:tcW w:w="3329" w:type="pct"/>
          </w:tcPr>
          <w:p w:rsidR="00651AE6" w:rsidRPr="00651AE6" w:rsidRDefault="00651AE6" w:rsidP="00651AE6">
            <w:pPr>
              <w:spacing w:line="276" w:lineRule="auto"/>
              <w:rPr>
                <w:rFonts w:ascii="GHEA Grapalat" w:hAnsi="GHEA Grapalat" w:cs="GHEA Grapalat"/>
                <w:color w:val="FF0000"/>
                <w:shd w:val="clear" w:color="auto" w:fill="FFFFFF"/>
                <w:lang w:val="hy-AM"/>
              </w:rPr>
            </w:pPr>
            <w:r w:rsidRPr="00651AE6">
              <w:rPr>
                <w:rFonts w:ascii="GHEA Grapalat" w:hAnsi="GHEA Grapalat" w:cs="GHEA Grapalat"/>
                <w:color w:val="FF0000"/>
                <w:shd w:val="clear" w:color="auto" w:fill="FFFFFF"/>
                <w:lang w:val="hy-AM"/>
              </w:rPr>
              <w:t>62</w:t>
            </w:r>
            <w:r w:rsidRPr="00651AE6">
              <w:rPr>
                <w:rFonts w:ascii="Cambria Math" w:hAnsi="Cambria Math" w:cs="Cambria Math"/>
                <w:color w:val="FF0000"/>
                <w:shd w:val="clear" w:color="auto" w:fill="FFFFFF"/>
                <w:lang w:val="hy-AM"/>
              </w:rPr>
              <w:t>․</w:t>
            </w:r>
            <w:r w:rsidRPr="00651AE6">
              <w:rPr>
                <w:rFonts w:ascii="GHEA Grapalat" w:hAnsi="GHEA Grapalat" w:cs="GHEA Grapalat"/>
                <w:color w:val="FF0000"/>
                <w:shd w:val="clear" w:color="auto" w:fill="FFFFFF"/>
                <w:lang w:val="hy-AM"/>
              </w:rPr>
              <w:t xml:space="preserve"> Ընդհանուր օգտագործման ավտոմոբիլային տրանսպորտով միջպե</w:t>
            </w:r>
            <w:r w:rsidRPr="00651AE6">
              <w:rPr>
                <w:rFonts w:ascii="GHEA Grapalat" w:hAnsi="GHEA Grapalat" w:cs="GHEA Grapalat"/>
                <w:color w:val="FF0000"/>
                <w:shd w:val="clear" w:color="auto" w:fill="FFFFFF"/>
                <w:lang w:val="hy-AM"/>
              </w:rPr>
              <w:softHyphen/>
              <w:t>տա</w:t>
            </w:r>
            <w:r w:rsidRPr="00651AE6">
              <w:rPr>
                <w:rFonts w:ascii="GHEA Grapalat" w:hAnsi="GHEA Grapalat" w:cs="GHEA Grapalat"/>
                <w:color w:val="FF0000"/>
                <w:shd w:val="clear" w:color="auto" w:fill="FFFFFF"/>
                <w:lang w:val="hy-AM"/>
              </w:rPr>
              <w:softHyphen/>
              <w:t xml:space="preserve">կան փոխադրումներ իրականացնող </w:t>
            </w:r>
            <w:r w:rsidRPr="00651AE6">
              <w:rPr>
                <w:rFonts w:ascii="GHEA Grapalat" w:hAnsi="GHEA Grapalat" w:cs="GHEA Grapalat"/>
                <w:color w:val="FF0000"/>
                <w:shd w:val="clear" w:color="auto" w:fill="FFFFFF"/>
                <w:lang w:val="hy-AM"/>
              </w:rPr>
              <w:lastRenderedPageBreak/>
              <w:t>վարորդների մասնագիտական վերապատրաստման ծառա</w:t>
            </w:r>
            <w:r w:rsidRPr="00651AE6">
              <w:rPr>
                <w:rFonts w:ascii="GHEA Grapalat" w:hAnsi="GHEA Grapalat" w:cs="GHEA Grapalat"/>
                <w:color w:val="FF0000"/>
                <w:shd w:val="clear" w:color="auto" w:fill="FFFFFF"/>
                <w:lang w:val="hy-AM"/>
              </w:rPr>
              <w:softHyphen/>
              <w:t>յության մատու</w:t>
            </w:r>
            <w:r w:rsidRPr="00651AE6">
              <w:rPr>
                <w:rFonts w:ascii="GHEA Grapalat" w:hAnsi="GHEA Grapalat" w:cs="GHEA Grapalat"/>
                <w:color w:val="FF0000"/>
                <w:shd w:val="clear" w:color="auto" w:fill="FFFFFF"/>
                <w:lang w:val="hy-AM"/>
              </w:rPr>
              <w:softHyphen/>
              <w:t>ցման համար՝ տարեկան</w:t>
            </w:r>
          </w:p>
        </w:tc>
        <w:tc>
          <w:tcPr>
            <w:tcW w:w="1671" w:type="pct"/>
            <w:vAlign w:val="bottom"/>
          </w:tcPr>
          <w:p w:rsidR="00651AE6" w:rsidRPr="00651AE6" w:rsidRDefault="00651AE6" w:rsidP="00651AE6">
            <w:pPr>
              <w:spacing w:line="276" w:lineRule="auto"/>
              <w:rPr>
                <w:rFonts w:ascii="GHEA Grapalat" w:hAnsi="GHEA Grapalat" w:cs="GHEA Grapalat"/>
                <w:color w:val="FF0000"/>
              </w:rPr>
            </w:pPr>
            <w:r w:rsidRPr="00651AE6">
              <w:rPr>
                <w:rFonts w:ascii="GHEA Grapalat" w:hAnsi="GHEA Grapalat" w:cs="GHEA Grapalat"/>
                <w:color w:val="FF0000"/>
              </w:rPr>
              <w:lastRenderedPageBreak/>
              <w:t xml:space="preserve">բազային տուրքի </w:t>
            </w:r>
          </w:p>
          <w:p w:rsidR="00651AE6" w:rsidRPr="00651AE6" w:rsidRDefault="00651AE6" w:rsidP="00651AE6">
            <w:pPr>
              <w:spacing w:line="276" w:lineRule="auto"/>
              <w:rPr>
                <w:rFonts w:ascii="GHEA Grapalat" w:hAnsi="GHEA Grapalat" w:cs="GHEA Grapalat"/>
                <w:color w:val="FF0000"/>
              </w:rPr>
            </w:pPr>
            <w:r w:rsidRPr="00651AE6">
              <w:rPr>
                <w:rFonts w:ascii="GHEA Grapalat" w:hAnsi="GHEA Grapalat" w:cs="GHEA Grapalat"/>
                <w:color w:val="FF0000"/>
                <w:lang w:val="hy-AM"/>
              </w:rPr>
              <w:t>100</w:t>
            </w:r>
            <w:r w:rsidRPr="00651AE6">
              <w:rPr>
                <w:rFonts w:ascii="GHEA Grapalat" w:hAnsi="GHEA Grapalat" w:cs="GHEA Grapalat"/>
                <w:color w:val="FF0000"/>
              </w:rPr>
              <w:t>-ապատիկի չափով:»:</w:t>
            </w:r>
          </w:p>
          <w:p w:rsidR="00651AE6" w:rsidRPr="00651AE6" w:rsidRDefault="00651AE6" w:rsidP="00651AE6">
            <w:pPr>
              <w:spacing w:line="276" w:lineRule="auto"/>
              <w:rPr>
                <w:rFonts w:ascii="GHEA Grapalat" w:hAnsi="GHEA Grapalat" w:cs="GHEA Grapalat"/>
                <w:color w:val="FF0000"/>
              </w:rPr>
            </w:pPr>
          </w:p>
        </w:tc>
      </w:tr>
      <w:bookmarkEnd w:id="0"/>
    </w:tbl>
    <w:p w:rsidR="00667C09" w:rsidRPr="00FE1ED3" w:rsidRDefault="00667C09" w:rsidP="00FE1ED3">
      <w:pPr>
        <w:spacing w:line="276" w:lineRule="auto"/>
        <w:ind w:firstLine="720"/>
        <w:jc w:val="both"/>
        <w:rPr>
          <w:rFonts w:ascii="GHEA Grapalat" w:hAnsi="GHEA Grapalat" w:cs="GHEA Grapalat"/>
          <w:color w:val="FF0000"/>
          <w:sz w:val="24"/>
          <w:szCs w:val="24"/>
          <w:shd w:val="clear" w:color="auto" w:fill="FFFFFF"/>
        </w:rPr>
      </w:pPr>
    </w:p>
    <w:p w:rsidR="00667C09" w:rsidRPr="00FE1ED3" w:rsidRDefault="00667C09" w:rsidP="00FE1ED3">
      <w:pPr>
        <w:pStyle w:val="NormalWeb"/>
        <w:shd w:val="clear" w:color="auto" w:fill="FFFFFF"/>
        <w:spacing w:before="0" w:beforeAutospacing="0" w:after="0" w:afterAutospacing="0"/>
        <w:jc w:val="both"/>
        <w:rPr>
          <w:rFonts w:ascii="GHEA Grapalat" w:hAnsi="GHEA Grapalat"/>
          <w:color w:val="000000"/>
          <w:sz w:val="21"/>
          <w:szCs w:val="21"/>
        </w:rPr>
      </w:pPr>
      <w:r w:rsidRPr="00FE1ED3">
        <w:rPr>
          <w:rStyle w:val="Strong"/>
          <w:rFonts w:ascii="GHEA Grapalat" w:hAnsi="GHEA Grapalat"/>
          <w:color w:val="000000"/>
          <w:sz w:val="27"/>
          <w:szCs w:val="27"/>
        </w:rPr>
        <w:t>ՎԱՐՉԱԿԱՆ ԻՐԱՎԱԽԱԽՏՈՒՄՆԵՐԻ ՎԵՐԱԲԵՐՅԱԼ ՀԱՅԱՍՏԱՆԻ</w:t>
      </w:r>
    </w:p>
    <w:p w:rsidR="00667C09" w:rsidRPr="00FE1ED3" w:rsidRDefault="00667C09" w:rsidP="00FE1ED3">
      <w:pPr>
        <w:pStyle w:val="NormalWeb"/>
        <w:shd w:val="clear" w:color="auto" w:fill="FFFFFF"/>
        <w:spacing w:before="0" w:beforeAutospacing="0" w:after="0" w:afterAutospacing="0"/>
        <w:jc w:val="both"/>
        <w:rPr>
          <w:rFonts w:ascii="GHEA Grapalat" w:hAnsi="GHEA Grapalat"/>
          <w:color w:val="000000"/>
          <w:sz w:val="21"/>
          <w:szCs w:val="21"/>
        </w:rPr>
      </w:pPr>
      <w:r w:rsidRPr="00FE1ED3">
        <w:rPr>
          <w:rStyle w:val="Strong"/>
          <w:rFonts w:ascii="GHEA Grapalat" w:hAnsi="GHEA Grapalat"/>
          <w:color w:val="000000"/>
          <w:sz w:val="27"/>
          <w:szCs w:val="27"/>
        </w:rPr>
        <w:t>ՀԱՆՐԱՊԵՏՈՒԹՅԱՆ</w:t>
      </w:r>
    </w:p>
    <w:p w:rsidR="00667C09" w:rsidRPr="00FE1ED3" w:rsidRDefault="00667C09" w:rsidP="00FE1ED3">
      <w:pPr>
        <w:pStyle w:val="NormalWeb"/>
        <w:shd w:val="clear" w:color="auto" w:fill="FFFFFF"/>
        <w:spacing w:before="0" w:beforeAutospacing="0" w:after="0" w:afterAutospacing="0"/>
        <w:jc w:val="both"/>
        <w:rPr>
          <w:rFonts w:ascii="GHEA Grapalat" w:hAnsi="GHEA Grapalat"/>
          <w:color w:val="000000"/>
          <w:sz w:val="21"/>
          <w:szCs w:val="21"/>
        </w:rPr>
      </w:pPr>
      <w:r w:rsidRPr="00FE1ED3">
        <w:rPr>
          <w:rFonts w:ascii="Calibri" w:hAnsi="Calibri" w:cs="Calibri"/>
          <w:color w:val="000000"/>
          <w:sz w:val="21"/>
          <w:szCs w:val="21"/>
        </w:rPr>
        <w:t> </w:t>
      </w:r>
    </w:p>
    <w:p w:rsidR="00667C09" w:rsidRPr="00FE1ED3" w:rsidRDefault="00667C09" w:rsidP="00FE1ED3">
      <w:pPr>
        <w:pStyle w:val="NormalWeb"/>
        <w:shd w:val="clear" w:color="auto" w:fill="FFFFFF"/>
        <w:spacing w:before="0" w:beforeAutospacing="0" w:after="0" w:afterAutospacing="0"/>
        <w:jc w:val="both"/>
        <w:rPr>
          <w:rFonts w:ascii="GHEA Grapalat" w:hAnsi="GHEA Grapalat"/>
          <w:color w:val="000000"/>
          <w:sz w:val="21"/>
          <w:szCs w:val="21"/>
        </w:rPr>
      </w:pPr>
      <w:r w:rsidRPr="00FE1ED3">
        <w:rPr>
          <w:rStyle w:val="Strong"/>
          <w:rFonts w:ascii="GHEA Grapalat" w:hAnsi="GHEA Grapalat"/>
          <w:color w:val="000000"/>
          <w:sz w:val="36"/>
          <w:szCs w:val="36"/>
        </w:rPr>
        <w:t>Օ Ր Ե Ն Ս Գ Ի Ր Ք</w:t>
      </w:r>
    </w:p>
    <w:p w:rsidR="00191C3C" w:rsidRPr="00FE1ED3" w:rsidRDefault="00191C3C" w:rsidP="00FE1ED3">
      <w:pPr>
        <w:spacing w:line="276" w:lineRule="auto"/>
        <w:ind w:firstLine="720"/>
        <w:jc w:val="both"/>
        <w:rPr>
          <w:rFonts w:ascii="GHEA Grapalat" w:hAnsi="GHEA Grapalat" w:cs="GHEA Grapalat"/>
          <w:color w:val="FF0000"/>
          <w:sz w:val="24"/>
          <w:szCs w:val="24"/>
          <w:shd w:val="clear" w:color="auto" w:fill="FFFFFF"/>
        </w:rPr>
      </w:pPr>
    </w:p>
    <w:p w:rsidR="00D34EDF" w:rsidRPr="00FE1ED3" w:rsidRDefault="00D34EDF" w:rsidP="00FE1ED3">
      <w:pPr>
        <w:ind w:firstLine="540"/>
        <w:jc w:val="both"/>
        <w:rPr>
          <w:rFonts w:ascii="GHEA Grapalat" w:hAnsi="GHEA Grapalat" w:cs="GHEA Grapalat"/>
          <w:bCs/>
          <w:color w:val="FF0000"/>
          <w:lang w:val="hy-AM"/>
        </w:rPr>
      </w:pPr>
    </w:p>
    <w:tbl>
      <w:tblPr>
        <w:tblW w:w="4991" w:type="pct"/>
        <w:tblCellSpacing w:w="7" w:type="dxa"/>
        <w:shd w:val="clear" w:color="auto" w:fill="FFFFFF"/>
        <w:tblCellMar>
          <w:left w:w="0" w:type="dxa"/>
          <w:right w:w="0" w:type="dxa"/>
        </w:tblCellMar>
        <w:tblLook w:val="04A0" w:firstRow="1" w:lastRow="0" w:firstColumn="1" w:lastColumn="0" w:noHBand="0" w:noVBand="1"/>
      </w:tblPr>
      <w:tblGrid>
        <w:gridCol w:w="2046"/>
        <w:gridCol w:w="7836"/>
      </w:tblGrid>
      <w:tr w:rsidR="000D5340" w:rsidRPr="000D5340" w:rsidTr="000D5340">
        <w:trPr>
          <w:tblCellSpacing w:w="7" w:type="dxa"/>
        </w:trPr>
        <w:tc>
          <w:tcPr>
            <w:tcW w:w="2025" w:type="dxa"/>
            <w:shd w:val="clear" w:color="auto" w:fill="FFFFFF"/>
            <w:hideMark/>
          </w:tcPr>
          <w:p w:rsidR="000D5340" w:rsidRPr="000D5340" w:rsidRDefault="000D5340" w:rsidP="00FE1ED3">
            <w:pPr>
              <w:spacing w:after="0" w:line="240" w:lineRule="auto"/>
              <w:jc w:val="both"/>
              <w:rPr>
                <w:rFonts w:ascii="GHEA Grapalat" w:eastAsia="Times New Roman" w:hAnsi="GHEA Grapalat" w:cs="Times New Roman"/>
                <w:color w:val="000000"/>
                <w:sz w:val="21"/>
                <w:szCs w:val="21"/>
              </w:rPr>
            </w:pPr>
            <w:r w:rsidRPr="00FE1ED3">
              <w:rPr>
                <w:rFonts w:ascii="GHEA Grapalat" w:eastAsia="Times New Roman" w:hAnsi="GHEA Grapalat" w:cs="Times New Roman"/>
                <w:b/>
                <w:bCs/>
                <w:color w:val="000000"/>
                <w:sz w:val="21"/>
                <w:szCs w:val="21"/>
              </w:rPr>
              <w:t>Հոդված 137.8.</w:t>
            </w:r>
          </w:p>
        </w:tc>
        <w:tc>
          <w:tcPr>
            <w:tcW w:w="0" w:type="auto"/>
            <w:shd w:val="clear" w:color="auto" w:fill="FFFFFF"/>
            <w:hideMark/>
          </w:tcPr>
          <w:p w:rsidR="000D5340" w:rsidRPr="000D5340" w:rsidRDefault="000D5340" w:rsidP="00FE1ED3">
            <w:pPr>
              <w:spacing w:after="0" w:line="240" w:lineRule="auto"/>
              <w:jc w:val="both"/>
              <w:rPr>
                <w:rFonts w:ascii="GHEA Grapalat" w:eastAsia="Times New Roman" w:hAnsi="GHEA Grapalat" w:cs="Times New Roman"/>
                <w:color w:val="000000"/>
                <w:sz w:val="21"/>
                <w:szCs w:val="21"/>
              </w:rPr>
            </w:pPr>
            <w:r w:rsidRPr="00FE1ED3">
              <w:rPr>
                <w:rFonts w:ascii="GHEA Grapalat" w:eastAsia="Times New Roman" w:hAnsi="GHEA Grapalat" w:cs="Times New Roman"/>
                <w:b/>
                <w:bCs/>
                <w:color w:val="000000"/>
                <w:sz w:val="21"/>
                <w:szCs w:val="21"/>
              </w:rPr>
              <w:t>Ավտոմոբիլային տրանսպորտով բեռնափոխադրումների կազմակերպման պահանջները խախտելը</w:t>
            </w:r>
          </w:p>
        </w:tc>
      </w:tr>
    </w:tbl>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Calibri" w:eastAsia="Times New Roman" w:hAnsi="Calibri" w:cs="Calibri"/>
          <w:color w:val="000000"/>
          <w:sz w:val="21"/>
          <w:szCs w:val="21"/>
        </w:rPr>
        <w:t> </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1. Հայաստանի Հանրապետությունում թվային տախոգրաֆով չկահավորված ավտոտրանսպորտային միջոցներով միջպետական բեռնափոխադրումներ իրականացնելը՝</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առաջացնում է տուգանքի նշանակում` սահմանված նվազագույն աշխատավարձի հարյուրապատիկի չափով:</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2. Առանց թվային տախոգրաֆի քարտի կամ ժամկետանց թվային տախոգրաֆի քարտով կամ թվային տախոգրաֆի քարտը տախոգրաֆում չտեղադրված վիճակում, կամ թվային տախոգրաֆի անսարքության կամ թվային տախոգրաֆն անջատած վիճակում Հայաստանի Հանրապետությունում միջպետական բեռնափոխադրումներ իրականացնելը`</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առաջացնում է տուգանքի նշանակում` սահմանված նվազագույն աշխատավարձի հիսնապատիկի չափով:</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3</w:t>
      </w:r>
      <w:r w:rsidRPr="000D5340">
        <w:rPr>
          <w:rFonts w:ascii="Cambria Math" w:eastAsia="Times New Roman" w:hAnsi="Cambria Math" w:cs="Cambria Math"/>
          <w:color w:val="000000"/>
          <w:sz w:val="21"/>
          <w:szCs w:val="21"/>
        </w:rPr>
        <w:t>․</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Միջպետական</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բեռնափոխադրումներ</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իրականացնող</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կազմակերպության</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կամ</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անհատ</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ձեռնարկատիրոջ</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կողմից</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տրանսպորտի</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բնագավառում</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վերահսկողություն</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իրականացնող</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տեսչական</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մարմնին</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տրանսպորտային</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միջոցների</w:t>
      </w:r>
      <w:r w:rsidRPr="000D5340">
        <w:rPr>
          <w:rFonts w:ascii="GHEA Grapalat" w:eastAsia="Times New Roman" w:hAnsi="GHEA Grapalat" w:cs="Times New Roman"/>
          <w:color w:val="000000"/>
          <w:sz w:val="21"/>
          <w:szCs w:val="21"/>
        </w:rPr>
        <w:t xml:space="preserve"> </w:t>
      </w:r>
      <w:r w:rsidRPr="000D5340">
        <w:rPr>
          <w:rFonts w:ascii="GHEA Grapalat" w:eastAsia="Times New Roman" w:hAnsi="GHEA Grapalat" w:cs="Arial"/>
          <w:color w:val="000000"/>
          <w:sz w:val="21"/>
          <w:szCs w:val="21"/>
        </w:rPr>
        <w:t>թվա</w:t>
      </w:r>
      <w:r w:rsidRPr="000D5340">
        <w:rPr>
          <w:rFonts w:ascii="GHEA Grapalat" w:eastAsia="Times New Roman" w:hAnsi="GHEA Grapalat" w:cs="Times New Roman"/>
          <w:color w:val="000000"/>
          <w:sz w:val="21"/>
          <w:szCs w:val="21"/>
        </w:rPr>
        <w:t>յին տախոգրաֆների արձանագրած տվյալների վերաբերյալ անհրաժեշտ տեղեկատվություն չտրամադրելը կամ միջպետական փոխադրումներ իրականացնող ավտոտրանսպորտային միջոցի անձնակազմի կողմից ավտոտրանսպորտային միջոցը վարելու և հանգստի ժամանակահատվածների օրենսդրությամբ սահմանված պահանջները խախտելը կամ թվային տախոգրաֆի արձանագրած ավտովարորդի քարտի վրա գրանցված տվյալները կեղծելը կամ թվային տախոգրաֆի շահագործման պահանջները խախտելը՝</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առաջացնում է տուգանքի նշանակում՝ սահմանված նվազագույն աշխատավարձի հարյուրապատիկի չափով:</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4. Հայաստանի Հանրապետությունում առանց արհեստանոցի քարտի թվային տախոգրաֆի ստուգաչափում իրականացնելը`</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առաջացնում է տուգանքի նշանակում` սահմանված նվազագույն աշխատավարձի հարյուրապատիկի չափով:</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5.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6. Սույն հոդվածով նախատեսված արարքները վարչական տույժի նշանակման օրվանից մեկ տարվա ընթացքում կրկին կատարելը՝</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առաջացնում է տուգանքի նշանակում՝ տվյալ արարքի համար սույն հոդվածով սահմանված տուգանքի կրկնապատիկի չափով:</w:t>
      </w:r>
    </w:p>
    <w:p w:rsidR="000D5340" w:rsidRPr="000D5340" w:rsidRDefault="000D5340" w:rsidP="00FE1ED3">
      <w:pPr>
        <w:shd w:val="clear" w:color="auto" w:fill="FFFFFF"/>
        <w:spacing w:after="0" w:line="240" w:lineRule="auto"/>
        <w:ind w:firstLine="375"/>
        <w:jc w:val="both"/>
        <w:rPr>
          <w:rFonts w:ascii="GHEA Grapalat" w:eastAsia="Times New Roman" w:hAnsi="GHEA Grapalat" w:cs="Times New Roman"/>
          <w:color w:val="000000"/>
          <w:sz w:val="21"/>
          <w:szCs w:val="21"/>
        </w:rPr>
      </w:pPr>
      <w:r w:rsidRPr="000D5340">
        <w:rPr>
          <w:rFonts w:ascii="GHEA Grapalat" w:eastAsia="Times New Roman" w:hAnsi="GHEA Grapalat" w:cs="Times New Roman"/>
          <w:color w:val="000000"/>
          <w:sz w:val="21"/>
          <w:szCs w:val="21"/>
        </w:rPr>
        <w:t xml:space="preserve">7. Սույն հոդվածի 2-րդ մասով նախատեսված արարքները կատարելու դեպքում անձն ազատվում է վարչական պատասխանատվությունից թվային տախոգրաֆի քարտի կորստի կամ դրա գողության կամ </w:t>
      </w:r>
      <w:r w:rsidRPr="000D5340">
        <w:rPr>
          <w:rFonts w:ascii="GHEA Grapalat" w:eastAsia="Times New Roman" w:hAnsi="GHEA Grapalat" w:cs="Times New Roman"/>
          <w:color w:val="000000"/>
          <w:sz w:val="21"/>
          <w:szCs w:val="21"/>
        </w:rPr>
        <w:lastRenderedPageBreak/>
        <w:t>դրա վնասվելու կամ դրա անվավերության համար, եթե, «Միջազգային ավտոճանապարհային փոխադրումներ կատարող տրանսպորտային միջոցների անձնակազմի աշխատանքի մասին» համաձայնագրի պահանջներին համապատասխան, լիազոր մարմին է ներկայացնում հիմնավորված դիմում:</w:t>
      </w:r>
    </w:p>
    <w:p w:rsidR="002A3EE5" w:rsidRPr="002A3EE5" w:rsidRDefault="002A3EE5" w:rsidP="002A3EE5">
      <w:pPr>
        <w:ind w:firstLine="540"/>
        <w:jc w:val="both"/>
        <w:rPr>
          <w:rFonts w:ascii="GHEA Grapalat" w:hAnsi="GHEA Grapalat" w:cs="GHEA Grapalat"/>
          <w:color w:val="FF0000"/>
          <w:lang w:val="hy-AM"/>
        </w:rPr>
      </w:pPr>
      <w:r w:rsidRPr="002A3EE5">
        <w:rPr>
          <w:rFonts w:ascii="GHEA Grapalat" w:hAnsi="GHEA Grapalat" w:cs="GHEA Grapalat"/>
          <w:color w:val="FF0000"/>
          <w:lang w:val="hy-AM"/>
        </w:rPr>
        <w:t>8</w:t>
      </w:r>
      <w:r w:rsidRPr="002A3EE5">
        <w:rPr>
          <w:rFonts w:ascii="Cambria Math" w:hAnsi="Cambria Math" w:cs="Cambria Math"/>
          <w:color w:val="FF0000"/>
          <w:lang w:val="hy-AM"/>
        </w:rPr>
        <w:t>․</w:t>
      </w:r>
      <w:r w:rsidRPr="002A3EE5">
        <w:rPr>
          <w:rFonts w:ascii="GHEA Grapalat" w:hAnsi="GHEA Grapalat" w:cs="GHEA Grapalat"/>
          <w:color w:val="FF0000"/>
          <w:lang w:val="hy-AM"/>
        </w:rPr>
        <w:t>Միջպետական բեռնափոխադրումներ իրականացնող կազմակերպության կո</w:t>
      </w:r>
      <w:r w:rsidR="00860B23">
        <w:rPr>
          <w:rFonts w:ascii="GHEA Grapalat" w:hAnsi="GHEA Grapalat" w:cs="GHEA Grapalat"/>
          <w:color w:val="FF0000"/>
          <w:lang w:val="hy-AM"/>
        </w:rPr>
        <w:t>ղմ</w:t>
      </w:r>
      <w:r w:rsidRPr="002A3EE5">
        <w:rPr>
          <w:rFonts w:ascii="GHEA Grapalat" w:hAnsi="GHEA Grapalat" w:cs="GHEA Grapalat"/>
          <w:color w:val="FF0000"/>
          <w:lang w:val="hy-AM"/>
        </w:rPr>
        <w:t>ից Որակի Խարտիայով սահմանված փոխադրումների մենեջերի, այդ թվում՝ նրա փոփոխության և կազմակերպության ֆինանսական վիճակի վերաբերյալ տեղեկատվությունը լիազոր մարմնին չներկայացնելը՝</w:t>
      </w:r>
    </w:p>
    <w:p w:rsidR="002A3EE5" w:rsidRPr="002A3EE5" w:rsidRDefault="002A3EE5" w:rsidP="002A3EE5">
      <w:pPr>
        <w:ind w:firstLine="540"/>
        <w:jc w:val="both"/>
        <w:rPr>
          <w:rFonts w:ascii="GHEA Grapalat" w:hAnsi="GHEA Grapalat" w:cs="GHEA Grapalat"/>
          <w:bCs/>
          <w:color w:val="FF0000"/>
          <w:lang w:val="hy-AM"/>
        </w:rPr>
      </w:pPr>
      <w:r w:rsidRPr="002A3EE5">
        <w:rPr>
          <w:rFonts w:ascii="GHEA Grapalat" w:hAnsi="GHEA Grapalat" w:cs="GHEA Grapalat"/>
          <w:bCs/>
          <w:color w:val="FF0000"/>
          <w:lang w:val="hy-AM"/>
        </w:rPr>
        <w:t>առաջացնում է տուգանքի նշանակում` սահմանված նվազագույն աշխատավարձի հիսնապատիկի չափով:</w:t>
      </w:r>
    </w:p>
    <w:p w:rsidR="002A3EE5" w:rsidRPr="002A3EE5" w:rsidRDefault="002A3EE5" w:rsidP="002A3EE5">
      <w:pPr>
        <w:ind w:firstLine="540"/>
        <w:jc w:val="both"/>
        <w:rPr>
          <w:rFonts w:ascii="GHEA Grapalat" w:hAnsi="GHEA Grapalat" w:cs="GHEA Grapalat"/>
          <w:color w:val="FF0000"/>
          <w:lang w:val="hy-AM"/>
        </w:rPr>
      </w:pPr>
      <w:r w:rsidRPr="002A3EE5">
        <w:rPr>
          <w:rFonts w:ascii="GHEA Grapalat" w:hAnsi="GHEA Grapalat" w:cs="GHEA Grapalat"/>
          <w:color w:val="FF0000"/>
          <w:lang w:val="hy-AM"/>
        </w:rPr>
        <w:t>9</w:t>
      </w:r>
      <w:r w:rsidRPr="002A3EE5">
        <w:rPr>
          <w:rFonts w:ascii="Cambria Math" w:hAnsi="Cambria Math" w:cs="Cambria Math"/>
          <w:color w:val="FF0000"/>
          <w:lang w:val="hy-AM"/>
        </w:rPr>
        <w:t>․</w:t>
      </w:r>
      <w:r w:rsidRPr="002A3EE5">
        <w:rPr>
          <w:rFonts w:ascii="GHEA Grapalat" w:hAnsi="GHEA Grapalat" w:cs="GHEA Grapalat"/>
          <w:color w:val="FF0000"/>
          <w:lang w:val="hy-AM"/>
        </w:rPr>
        <w:t xml:space="preserve"> Թույլատրելի առավելագույն 3,5 տոննա քաշը գերազանցող բեռնատար ավտոտրանսպորտային միջոցներով դեպի Տրանսպորտի Նախարարների Եվրոպական Կոնֆերանսի (ՏՆԵԿ) անդամ պետություններ միջպետական բեռնափոխադրումներ (բացառությամբ ոչ առևտրային փոխադրումների) իրականացնող կազմակերպությունների կողմից Միջազգային ավտոճանապարհային բեռնափոխադրումների Որակի Խարտիայով նախատեսված  փոխադրումների մենեջերի համար սահմանված պահանջները խախտելը</w:t>
      </w:r>
    </w:p>
    <w:p w:rsidR="002A3EE5" w:rsidRPr="002A3EE5" w:rsidRDefault="002A3EE5" w:rsidP="002A3EE5">
      <w:pPr>
        <w:ind w:firstLine="540"/>
        <w:jc w:val="both"/>
        <w:rPr>
          <w:rFonts w:ascii="GHEA Grapalat" w:hAnsi="GHEA Grapalat" w:cs="GHEA Grapalat"/>
          <w:color w:val="FF0000"/>
          <w:lang w:val="hy-AM"/>
        </w:rPr>
      </w:pPr>
      <w:r w:rsidRPr="002A3EE5">
        <w:rPr>
          <w:rFonts w:ascii="GHEA Grapalat" w:hAnsi="GHEA Grapalat" w:cs="GHEA Grapalat"/>
          <w:color w:val="FF0000"/>
          <w:lang w:val="hy-AM"/>
        </w:rPr>
        <w:t>առաջացնում է տուգանքի նշանակում` սահմանված նվազագույն աշխատավարձի հիսնապատիկի չափով։</w:t>
      </w:r>
    </w:p>
    <w:p w:rsidR="002A3EE5" w:rsidRPr="002A3EE5" w:rsidRDefault="002A3EE5" w:rsidP="002A3EE5">
      <w:pPr>
        <w:ind w:firstLine="540"/>
        <w:jc w:val="both"/>
        <w:rPr>
          <w:rFonts w:ascii="GHEA Grapalat" w:hAnsi="GHEA Grapalat" w:cs="GHEA Grapalat"/>
          <w:color w:val="FF0000"/>
          <w:lang w:val="hy-AM"/>
        </w:rPr>
      </w:pPr>
      <w:r w:rsidRPr="002A3EE5">
        <w:rPr>
          <w:rFonts w:ascii="GHEA Grapalat" w:hAnsi="GHEA Grapalat" w:cs="GHEA Grapalat"/>
          <w:color w:val="FF0000"/>
          <w:lang w:val="hy-AM"/>
        </w:rPr>
        <w:t>10</w:t>
      </w:r>
      <w:r w:rsidRPr="002A3EE5">
        <w:rPr>
          <w:rFonts w:ascii="Cambria Math" w:hAnsi="Cambria Math" w:cs="Cambria Math"/>
          <w:color w:val="FF0000"/>
          <w:lang w:val="hy-AM"/>
        </w:rPr>
        <w:t>․</w:t>
      </w:r>
      <w:r w:rsidRPr="002A3EE5">
        <w:rPr>
          <w:rFonts w:ascii="GHEA Grapalat" w:hAnsi="GHEA Grapalat" w:cs="GHEA Grapalat"/>
          <w:color w:val="FF0000"/>
          <w:lang w:val="hy-AM"/>
        </w:rPr>
        <w:t xml:space="preserve"> Փոխադրումների գործունեությանն առնչվող Հայաստանի Հանրապետության օրենսդրությամբ սահմանված պահանջները խախտելը</w:t>
      </w:r>
    </w:p>
    <w:p w:rsidR="002A3EE5" w:rsidRPr="002A3EE5" w:rsidRDefault="002A3EE5" w:rsidP="002A3EE5">
      <w:pPr>
        <w:ind w:firstLine="540"/>
        <w:jc w:val="both"/>
        <w:rPr>
          <w:rFonts w:ascii="GHEA Grapalat" w:hAnsi="GHEA Grapalat" w:cs="GHEA Grapalat"/>
          <w:color w:val="FF0000"/>
          <w:lang w:val="hy-AM"/>
        </w:rPr>
      </w:pPr>
      <w:r w:rsidRPr="002A3EE5">
        <w:rPr>
          <w:rFonts w:ascii="GHEA Grapalat" w:hAnsi="GHEA Grapalat" w:cs="GHEA Grapalat"/>
          <w:color w:val="FF0000"/>
          <w:lang w:val="hy-AM"/>
        </w:rPr>
        <w:t xml:space="preserve"> առաջացնում է տուգանքի նշանակում` կազմակերպության նկատմամբ նվազագույն աշխատավարձի հարյուրապատիկի չափով, իսկ փոխադրումների մենեջերի նկատմամբ՝ սահմանված նվազագույն աշխատավարձի հիսնապատիկի չափով:</w:t>
      </w:r>
    </w:p>
    <w:p w:rsidR="00FE1ED3" w:rsidRPr="00FE1ED3" w:rsidRDefault="00FE1ED3" w:rsidP="00FE1ED3">
      <w:pPr>
        <w:ind w:firstLine="540"/>
        <w:jc w:val="both"/>
        <w:rPr>
          <w:rFonts w:ascii="GHEA Grapalat" w:hAnsi="GHEA Grapalat" w:cs="GHEA Grapalat"/>
          <w:color w:val="FF0000"/>
          <w:lang w:val="hy-AM"/>
        </w:rPr>
      </w:pPr>
    </w:p>
    <w:p w:rsidR="00FE1ED3" w:rsidRPr="00FE1ED3" w:rsidRDefault="00FE1ED3" w:rsidP="00FE1ED3">
      <w:pPr>
        <w:ind w:firstLine="540"/>
        <w:jc w:val="both"/>
        <w:rPr>
          <w:rFonts w:ascii="GHEA Grapalat" w:hAnsi="GHEA Grapalat" w:cs="GHEA Grapalat"/>
          <w:color w:val="FF0000"/>
          <w:lang w:val="hy-AM"/>
        </w:rPr>
      </w:pPr>
    </w:p>
    <w:p w:rsidR="00D34EDF" w:rsidRPr="00FE1ED3" w:rsidRDefault="00D34EDF" w:rsidP="00FE1ED3">
      <w:pPr>
        <w:ind w:firstLine="540"/>
        <w:jc w:val="both"/>
        <w:rPr>
          <w:rFonts w:ascii="GHEA Grapalat" w:hAnsi="GHEA Grapalat" w:cs="GHEA Grapalat"/>
          <w:bCs/>
          <w:color w:val="000000" w:themeColor="text1"/>
          <w:lang w:val="hy-AM"/>
        </w:rPr>
      </w:pPr>
    </w:p>
    <w:p w:rsidR="004B2897" w:rsidRPr="004B2897" w:rsidRDefault="004B2897" w:rsidP="004B2897">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4B2897">
        <w:rPr>
          <w:rFonts w:ascii="Arial Unicode" w:eastAsia="Times New Roman" w:hAnsi="Arial Unicode" w:cs="Times New Roman"/>
          <w:b/>
          <w:bCs/>
          <w:color w:val="000000"/>
          <w:sz w:val="27"/>
          <w:szCs w:val="27"/>
          <w:lang w:val="hy-AM"/>
        </w:rPr>
        <w:t>ՀԱՅԱՍՏԱՆԻ ՀԱՆՐԱՊԵՏՈՒԹՅԱՆ</w:t>
      </w:r>
    </w:p>
    <w:p w:rsidR="004B2897" w:rsidRPr="004B2897" w:rsidRDefault="004B2897" w:rsidP="004B2897">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4B2897">
        <w:rPr>
          <w:rFonts w:ascii="Arial Unicode" w:eastAsia="Times New Roman" w:hAnsi="Arial Unicode" w:cs="Times New Roman"/>
          <w:color w:val="000000"/>
          <w:sz w:val="21"/>
          <w:szCs w:val="21"/>
          <w:lang w:val="hy-AM"/>
        </w:rPr>
        <w:t> </w:t>
      </w:r>
    </w:p>
    <w:p w:rsidR="004B2897" w:rsidRPr="004B2897" w:rsidRDefault="004B2897" w:rsidP="004B2897">
      <w:pPr>
        <w:shd w:val="clear" w:color="auto" w:fill="FFFFFF"/>
        <w:spacing w:after="0" w:line="240" w:lineRule="auto"/>
        <w:jc w:val="center"/>
        <w:rPr>
          <w:rFonts w:ascii="Arial Unicode" w:eastAsia="Times New Roman" w:hAnsi="Arial Unicode" w:cs="Times New Roman"/>
          <w:b/>
          <w:bCs/>
          <w:color w:val="000000"/>
          <w:sz w:val="21"/>
          <w:szCs w:val="21"/>
          <w:lang w:val="hy-AM"/>
        </w:rPr>
      </w:pPr>
      <w:r w:rsidRPr="004B2897">
        <w:rPr>
          <w:rFonts w:ascii="Arial Unicode" w:eastAsia="Times New Roman" w:hAnsi="Arial Unicode" w:cs="Times New Roman"/>
          <w:b/>
          <w:bCs/>
          <w:color w:val="000000"/>
          <w:sz w:val="36"/>
          <w:szCs w:val="36"/>
          <w:lang w:val="hy-AM"/>
        </w:rPr>
        <w:t>Օ Ր Ե Ն Ք Ը</w:t>
      </w:r>
    </w:p>
    <w:p w:rsidR="004B2897" w:rsidRPr="004B2897" w:rsidRDefault="004B2897" w:rsidP="004B2897">
      <w:pPr>
        <w:shd w:val="clear" w:color="auto" w:fill="FFFFFF"/>
        <w:spacing w:after="0" w:line="240" w:lineRule="auto"/>
        <w:ind w:firstLine="375"/>
        <w:jc w:val="right"/>
        <w:rPr>
          <w:rFonts w:ascii="Arial Unicode" w:eastAsia="Times New Roman" w:hAnsi="Arial Unicode" w:cs="Times New Roman"/>
          <w:color w:val="000000"/>
          <w:sz w:val="21"/>
          <w:szCs w:val="21"/>
          <w:lang w:val="hy-AM"/>
        </w:rPr>
      </w:pPr>
      <w:r w:rsidRPr="004B2897">
        <w:rPr>
          <w:rFonts w:ascii="Arial Unicode" w:eastAsia="Times New Roman" w:hAnsi="Arial Unicode" w:cs="Times New Roman"/>
          <w:color w:val="000000"/>
          <w:sz w:val="21"/>
          <w:szCs w:val="21"/>
          <w:lang w:val="hy-AM"/>
        </w:rPr>
        <w:t> </w:t>
      </w:r>
    </w:p>
    <w:p w:rsidR="004B2897" w:rsidRPr="004B2897" w:rsidRDefault="004B2897" w:rsidP="004B2897">
      <w:pPr>
        <w:shd w:val="clear" w:color="auto" w:fill="FFFFFF"/>
        <w:spacing w:after="0" w:line="240" w:lineRule="auto"/>
        <w:ind w:firstLine="375"/>
        <w:jc w:val="right"/>
        <w:rPr>
          <w:rFonts w:ascii="Arial Unicode" w:eastAsia="Times New Roman" w:hAnsi="Arial Unicode" w:cs="Times New Roman"/>
          <w:color w:val="000000"/>
          <w:sz w:val="21"/>
          <w:szCs w:val="21"/>
          <w:lang w:val="hy-AM"/>
        </w:rPr>
      </w:pPr>
      <w:r w:rsidRPr="004B2897">
        <w:rPr>
          <w:rFonts w:ascii="Arial Unicode" w:eastAsia="Times New Roman" w:hAnsi="Arial Unicode" w:cs="Times New Roman"/>
          <w:color w:val="000000"/>
          <w:sz w:val="21"/>
          <w:szCs w:val="21"/>
          <w:lang w:val="hy-AM"/>
        </w:rPr>
        <w:t>Ընդունված է 2015 թվականի նոյեմբերի 13-ին</w:t>
      </w:r>
    </w:p>
    <w:p w:rsidR="004B2897" w:rsidRPr="004B2897" w:rsidRDefault="004B2897" w:rsidP="004B2897">
      <w:pPr>
        <w:shd w:val="clear" w:color="auto" w:fill="FFFFFF"/>
        <w:spacing w:after="0" w:line="240" w:lineRule="auto"/>
        <w:ind w:firstLine="375"/>
        <w:jc w:val="right"/>
        <w:rPr>
          <w:rFonts w:ascii="Arial Unicode" w:eastAsia="Times New Roman" w:hAnsi="Arial Unicode" w:cs="Times New Roman"/>
          <w:color w:val="000000"/>
          <w:sz w:val="21"/>
          <w:szCs w:val="21"/>
          <w:lang w:val="hy-AM"/>
        </w:rPr>
      </w:pPr>
      <w:r w:rsidRPr="004B2897">
        <w:rPr>
          <w:rFonts w:ascii="Arial Unicode" w:eastAsia="Times New Roman" w:hAnsi="Arial Unicode" w:cs="Times New Roman"/>
          <w:color w:val="000000"/>
          <w:sz w:val="21"/>
          <w:szCs w:val="21"/>
          <w:lang w:val="hy-AM"/>
        </w:rPr>
        <w:t> </w:t>
      </w:r>
    </w:p>
    <w:p w:rsidR="004B2897" w:rsidRPr="004B2897" w:rsidRDefault="004B2897" w:rsidP="004B2897">
      <w:pPr>
        <w:shd w:val="clear" w:color="auto" w:fill="FFFFFF"/>
        <w:spacing w:after="0" w:line="240" w:lineRule="auto"/>
        <w:ind w:firstLine="375"/>
        <w:jc w:val="center"/>
        <w:rPr>
          <w:rFonts w:ascii="Arial Unicode" w:eastAsia="Times New Roman" w:hAnsi="Arial Unicode" w:cs="Times New Roman"/>
          <w:color w:val="000000"/>
          <w:sz w:val="21"/>
          <w:szCs w:val="21"/>
          <w:lang w:val="hy-AM"/>
        </w:rPr>
      </w:pPr>
      <w:r w:rsidRPr="004B2897">
        <w:rPr>
          <w:rFonts w:ascii="Arial Unicode" w:eastAsia="Times New Roman" w:hAnsi="Arial Unicode" w:cs="Times New Roman"/>
          <w:b/>
          <w:bCs/>
          <w:color w:val="000000"/>
          <w:sz w:val="21"/>
          <w:szCs w:val="21"/>
          <w:lang w:val="hy-AM"/>
        </w:rPr>
        <w:t>ԳՈՐԾՈՒՆԵՈՒԹՅԱՆ ԻՐԱԿԱՆԱՑՄԱՆ ԾԱՆՈՒՑՄԱՆ ՄԱՍԻՆ</w:t>
      </w:r>
    </w:p>
    <w:p w:rsidR="009D0B0D" w:rsidRDefault="009D0B0D" w:rsidP="00FE1ED3">
      <w:pPr>
        <w:spacing w:line="276" w:lineRule="auto"/>
        <w:jc w:val="both"/>
        <w:rPr>
          <w:rFonts w:ascii="GHEA Grapalat" w:hAnsi="GHEA Grapalat"/>
          <w:color w:val="FF0000"/>
          <w:sz w:val="24"/>
          <w:szCs w:val="24"/>
          <w:lang w:val="hy-AM"/>
        </w:rPr>
      </w:pPr>
    </w:p>
    <w:p w:rsidR="004B2897" w:rsidRDefault="004B2897" w:rsidP="00FE1ED3">
      <w:pPr>
        <w:spacing w:line="276" w:lineRule="auto"/>
        <w:jc w:val="both"/>
        <w:rPr>
          <w:rFonts w:ascii="GHEA Grapalat" w:hAnsi="GHEA Grapalat"/>
          <w:color w:val="FF0000"/>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854"/>
      </w:tblGrid>
      <w:tr w:rsidR="004B2897" w:rsidRPr="004B2897" w:rsidTr="004B2897">
        <w:trPr>
          <w:tblCellSpacing w:w="7" w:type="dxa"/>
        </w:trPr>
        <w:tc>
          <w:tcPr>
            <w:tcW w:w="2025" w:type="dxa"/>
            <w:shd w:val="clear" w:color="auto" w:fill="FFFFFF"/>
            <w:hideMark/>
          </w:tcPr>
          <w:p w:rsidR="004B2897" w:rsidRPr="004B2897" w:rsidRDefault="004B2897" w:rsidP="004B2897">
            <w:pPr>
              <w:spacing w:after="0"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b/>
                <w:bCs/>
                <w:color w:val="000000"/>
                <w:sz w:val="21"/>
                <w:szCs w:val="21"/>
              </w:rPr>
              <w:t>Հոդված 22.</w:t>
            </w:r>
          </w:p>
        </w:tc>
        <w:tc>
          <w:tcPr>
            <w:tcW w:w="0" w:type="auto"/>
            <w:shd w:val="clear" w:color="auto" w:fill="FFFFFF"/>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b/>
                <w:bCs/>
                <w:color w:val="000000"/>
                <w:sz w:val="21"/>
                <w:szCs w:val="21"/>
              </w:rPr>
              <w:t>Ծանուցման ենթակա գործունեության տեսակների ցանկը</w:t>
            </w:r>
          </w:p>
        </w:tc>
      </w:tr>
    </w:tbl>
    <w:p w:rsidR="004B2897" w:rsidRPr="004B2897" w:rsidRDefault="004B2897" w:rsidP="004B2897">
      <w:pPr>
        <w:shd w:val="clear" w:color="auto" w:fill="FFFFFF"/>
        <w:spacing w:after="0" w:line="240" w:lineRule="auto"/>
        <w:ind w:firstLine="375"/>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p w:rsidR="004B2897" w:rsidRPr="004B2897" w:rsidRDefault="004B2897" w:rsidP="004B2897">
      <w:pPr>
        <w:shd w:val="clear" w:color="auto" w:fill="FFFFFF"/>
        <w:spacing w:after="0" w:line="240" w:lineRule="auto"/>
        <w:ind w:firstLine="375"/>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1. Գործունեությունը համարվում է ծանուցման ենթակա, եթե այն ընդգրկված է սույն հոդվածի աղյուսակում:</w:t>
      </w:r>
    </w:p>
    <w:p w:rsidR="004B2897" w:rsidRPr="004B2897" w:rsidRDefault="004B2897" w:rsidP="004B2897">
      <w:pPr>
        <w:shd w:val="clear" w:color="auto" w:fill="FFFFFF"/>
        <w:spacing w:after="0" w:line="240" w:lineRule="auto"/>
        <w:ind w:firstLine="375"/>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2. Ծանուցման ենթակա գործունեության տեսակների աղյուսակը՝</w:t>
      </w:r>
    </w:p>
    <w:p w:rsidR="004B2897" w:rsidRPr="004B2897" w:rsidRDefault="004B2897" w:rsidP="004B2897">
      <w:pPr>
        <w:shd w:val="clear" w:color="auto" w:fill="FFFFFF"/>
        <w:spacing w:after="0" w:line="240" w:lineRule="auto"/>
        <w:ind w:firstLine="375"/>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1"/>
        <w:gridCol w:w="5887"/>
        <w:gridCol w:w="1213"/>
        <w:gridCol w:w="685"/>
        <w:gridCol w:w="1584"/>
      </w:tblGrid>
      <w:tr w:rsidR="004B2897" w:rsidRPr="004B2897" w:rsidTr="004B2897">
        <w:trPr>
          <w:tblCellSpacing w:w="0" w:type="dxa"/>
          <w:jc w:val="center"/>
        </w:trPr>
        <w:tc>
          <w:tcPr>
            <w:tcW w:w="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b/>
                <w:bCs/>
                <w:color w:val="000000"/>
                <w:sz w:val="21"/>
                <w:szCs w:val="21"/>
              </w:rPr>
              <w:lastRenderedPageBreak/>
              <w:t>Հ/հ</w:t>
            </w:r>
          </w:p>
        </w:tc>
        <w:tc>
          <w:tcPr>
            <w:tcW w:w="58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b/>
                <w:bCs/>
                <w:color w:val="000000"/>
                <w:sz w:val="21"/>
                <w:szCs w:val="21"/>
              </w:rPr>
              <w:t>Ծանուցման ենթակա</w:t>
            </w:r>
            <w:r w:rsidRPr="004B2897">
              <w:rPr>
                <w:rFonts w:ascii="Arial Unicode" w:eastAsia="Times New Roman" w:hAnsi="Arial Unicode" w:cs="Times New Roman"/>
                <w:b/>
                <w:bCs/>
                <w:color w:val="000000"/>
                <w:sz w:val="21"/>
                <w:szCs w:val="21"/>
              </w:rPr>
              <w:br/>
              <w:t>գործունեության</w:t>
            </w:r>
            <w:r w:rsidRPr="004B2897">
              <w:rPr>
                <w:rFonts w:ascii="Arial Unicode" w:eastAsia="Times New Roman" w:hAnsi="Arial Unicode" w:cs="Times New Roman"/>
                <w:b/>
                <w:bCs/>
                <w:color w:val="000000"/>
                <w:sz w:val="21"/>
                <w:szCs w:val="21"/>
              </w:rPr>
              <w:br/>
              <w:t>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b/>
                <w:bCs/>
                <w:color w:val="000000"/>
                <w:sz w:val="21"/>
                <w:szCs w:val="21"/>
              </w:rPr>
              <w:t>Ծանուցում ներկայաց-րած անձանց հաշվառող մարմինը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b/>
                <w:bCs/>
                <w:color w:val="000000"/>
                <w:sz w:val="21"/>
                <w:szCs w:val="21"/>
              </w:rPr>
              <w:t>Ոլորտ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b/>
                <w:bCs/>
                <w:color w:val="000000"/>
                <w:sz w:val="21"/>
                <w:szCs w:val="21"/>
              </w:rPr>
              <w:t>Վայրի պահանջ</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5</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b/>
                <w:bCs/>
                <w:color w:val="000000"/>
                <w:sz w:val="21"/>
                <w:szCs w:val="21"/>
              </w:rPr>
              <w:t>4. ԳՈՐԾՈՒՆԵՈՒԹՅԱՆ ԱՅԼ ԲՆԱԳԱՎԱՌՆԵՐ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Թորած ալկոհոլային խմիչքների (բացառությամբ «Արտաքին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թրմօղիների արտադրության և իրացման, 220870 ծածկագրին դասվող լիկյորների և 220890 ծածկագրին դասվող մինչև 9 տոկոս սպիրտ պարունակող այլ սպիրտային խմիչքների, 2208 ծածկագրին դասվող` միայն մեղրից, պտուղներից և հատապտուղներից թորված 40 տոկոս և ավելի սպիրտ պարունակող ալկոհոլային խմիչքների, ինչպես նաև խաղողի օղիների և խաղողի օղու թորվածքների արտադրության) և խմորման նյութերից էթիլային սպիրտի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Վ</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թրմօղիների արտադրություն և մինչև 100 հազար լիտր (100-տոկոսանոց սպիրտի հաշվարկով) արտադրանքի իրացում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Վ (միայն արտադրության մասով)</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 արտադրողների կողմից 100 հազար լիտրը (100-տոկոսանոց սպիրտի հաշվարկով) իրացնելուց հետո այլ խմբաքանակների իրացում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թրմօղիների արտադրություն՝ առանց իրացման իրավունքի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after="0"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after="0"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Վ</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«Արտաքին տնտեսական գործունեության ապրանքային անվանացանկ» (ԱՏԳ ԱԱ) դասակարգչի 220870 ծածկագրին դասվող լիկյորների և 220890 ծածկագրին դասվող մինչև 9 տոկոս սպիրտ պարունակող այլ սպիրտային խմիչքների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Վ</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«Արտաքին տնտեսական գործունեության ապրանքային անվանացանկ» (ԱՏԳ ԱԱ) դասակարգչի 2208 ծածկագրին դասվող` միայն մեղրից, պտուղներից և հատապտուղներից (բացառությամբ խաղողի) թորված 40 տոկոս և ավելի սպիրտ պարունակող ալկոհոլային խմիչքների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Վ</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Խաղողի օղիների և խաղողի օղու թորվածքների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Վ</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Գինու, խնձորի և պտղահատապտղային այլ գինիների և մեղրից ստացված այլ ալկոհոլային խմիչքների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Գարեջրի արտադրություն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Թանկարժեք մետաղներից պատրաստված իրերի հարգորոշում և հարգադրոշմում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Վ</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Առևտրի իրականացման վայրի կազմակերպում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Վ</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«Արտաքին տնտեսական գործունեության ապրանքային անվանացանկ» (ԱՏԳ ԱԱ) դասակարգչի 2208 ծածկագրին դասվող օղու ներմուծում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թրմօղիների մինչև 100 հազար լիտր (100-տոկոսանոց սպիրտի հաշվարկով) արտադրանքի ԵԱՏՄ անդամ չհամարվող պետություններից «Բացթողնում` ներքին սպառման համար», «Վերամշակում` մաքսային տարածքում» և «Վերամշակում` ներքին սպառման համար» մաքսային ընթացակարգերով ներմուծում, ինչպես նաև ԵԱՏՄ անդամ պետություններից ներմուծում, այդ թվում` վերամշակման նպատակով ներմուծում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 ներմուծողների կողմից 100 հազար լիտրը (100-տոկոսանոց սպիրտի հաշվարկով) ներմուծելուց հետո այլ խմբաքանակների ԵԱՏՄ անդամ չհամարվող պետություններից «Բացթողնում` ներքին սպառման համար», «Վերամշակում` մաքսային տարածքում» և «Վերամշակում` ներքին սպառման համար» մաքսային ընթացակարգերով ներմուծում, ինչպես նաև ԵԱՏՄ անդամ պետություններից ներմուծում, այդ թվում` վերամշակման նպատակով ներմուծում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Արտաքին տնտեսական գործունեության ապրանքային անվանացանկ (ԱՏԳ ԱԱ) դասակարգչի 710210000, 710221000, 710231000 ծածկագրերին դասվող բնական` մշակված կամ չմշակված, բայց չշրջանակված կամ չամրացված ալմաստների առք և վաճառք, ներմուծում, արտահանում, փոխադրում».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10.</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b/>
                <w:bCs/>
                <w:i/>
                <w:iCs/>
                <w:color w:val="000000"/>
                <w:sz w:val="21"/>
                <w:szCs w:val="21"/>
              </w:rPr>
              <w:t>(կետն ուժը կորցրել է 03.06.19 ՀՕ-60-Ն)</w:t>
            </w:r>
          </w:p>
        </w:tc>
      </w:tr>
      <w:tr w:rsidR="004B2897"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Սահմանափակ պատասխանատվությամբ ընկերությունների բաժնեմասերի հավատարմագրային կառավարում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before="100" w:beforeAutospacing="1" w:after="100" w:afterAutospacing="1" w:line="240" w:lineRule="auto"/>
              <w:jc w:val="center"/>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ԿՄ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2897" w:rsidRPr="004B2897" w:rsidRDefault="004B2897" w:rsidP="004B2897">
            <w:pPr>
              <w:spacing w:after="0" w:line="240" w:lineRule="auto"/>
              <w:rPr>
                <w:rFonts w:ascii="Arial Unicode" w:eastAsia="Times New Roman" w:hAnsi="Arial Unicode" w:cs="Times New Roman"/>
                <w:color w:val="000000"/>
                <w:sz w:val="21"/>
                <w:szCs w:val="21"/>
              </w:rPr>
            </w:pPr>
            <w:r w:rsidRPr="004B2897">
              <w:rPr>
                <w:rFonts w:ascii="Arial Unicode" w:eastAsia="Times New Roman" w:hAnsi="Arial Unicode" w:cs="Times New Roman"/>
                <w:color w:val="000000"/>
                <w:sz w:val="21"/>
                <w:szCs w:val="21"/>
              </w:rPr>
              <w:t> </w:t>
            </w:r>
          </w:p>
        </w:tc>
      </w:tr>
      <w:tr w:rsidR="001520EA"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20EA" w:rsidRPr="004B2897" w:rsidRDefault="001520EA" w:rsidP="001520EA">
            <w:pPr>
              <w:spacing w:before="100" w:beforeAutospacing="1" w:after="100" w:afterAutospacing="1" w:line="276" w:lineRule="auto"/>
              <w:jc w:val="center"/>
              <w:rPr>
                <w:rFonts w:ascii="GHEA Grapalat" w:hAnsi="GHEA Grapalat"/>
                <w:color w:val="FF0000"/>
                <w:lang w:val="ru-RU"/>
              </w:rPr>
            </w:pPr>
            <w:r w:rsidRPr="004B2897">
              <w:rPr>
                <w:rFonts w:ascii="GHEA Grapalat" w:hAnsi="GHEA Grapalat"/>
                <w:color w:val="FF0000"/>
                <w:lang w:val="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20EA" w:rsidRPr="001520EA" w:rsidRDefault="001520EA" w:rsidP="001520EA">
            <w:pPr>
              <w:spacing w:before="100" w:beforeAutospacing="1" w:after="100" w:afterAutospacing="1"/>
              <w:rPr>
                <w:rFonts w:ascii="GHEA Grapalat" w:hAnsi="GHEA Grapalat"/>
                <w:color w:val="FF0000"/>
                <w:lang w:val="hy-AM"/>
              </w:rPr>
            </w:pPr>
            <w:r w:rsidRPr="001520EA">
              <w:rPr>
                <w:rFonts w:ascii="GHEA Grapalat" w:hAnsi="GHEA Grapalat" w:cs="GHEA Grapalat"/>
                <w:color w:val="FF0000"/>
                <w:shd w:val="clear" w:color="auto" w:fill="FFFFFF"/>
                <w:lang w:val="hy-AM"/>
              </w:rPr>
              <w:t>Փոխադրումների մենեջերների մասնագիտական վերապատրաստման ծառայության մատուցում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20EA" w:rsidRPr="004B2897" w:rsidRDefault="001520EA" w:rsidP="001520EA">
            <w:pPr>
              <w:spacing w:before="100" w:beforeAutospacing="1" w:after="100" w:afterAutospacing="1" w:line="276" w:lineRule="auto"/>
              <w:jc w:val="center"/>
              <w:rPr>
                <w:rFonts w:ascii="GHEA Grapalat" w:hAnsi="GHEA Grapalat"/>
                <w:color w:val="FF0000"/>
                <w:lang w:val="hy-AM"/>
              </w:rPr>
            </w:pPr>
            <w:r w:rsidRPr="004B2897">
              <w:rPr>
                <w:rFonts w:ascii="GHEA Grapalat" w:hAnsi="GHEA Grapalat"/>
                <w:color w:val="FF0000"/>
                <w:lang w:val="ru-RU"/>
              </w:rPr>
              <w:t>Կ</w:t>
            </w:r>
            <w:r w:rsidRPr="004B2897">
              <w:rPr>
                <w:rFonts w:ascii="GHEA Grapalat" w:hAnsi="GHEA Grapalat"/>
                <w:color w:val="FF0000"/>
                <w:lang w:val="hy-AM"/>
              </w:rPr>
              <w:t>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20EA" w:rsidRPr="004B2897" w:rsidRDefault="001520EA" w:rsidP="001520EA">
            <w:pPr>
              <w:spacing w:before="100" w:beforeAutospacing="1" w:after="100" w:afterAutospacing="1" w:line="276" w:lineRule="auto"/>
              <w:jc w:val="center"/>
              <w:rPr>
                <w:rFonts w:ascii="GHEA Grapalat" w:hAnsi="GHEA Grapalat"/>
                <w:color w:val="FF0000"/>
                <w:lang w:val="ru-RU"/>
              </w:rPr>
            </w:pPr>
            <w:r w:rsidRPr="004B2897">
              <w:rPr>
                <w:rFonts w:ascii="GHEA Grapalat" w:hAnsi="GHEA Grapalat"/>
                <w:color w:val="FF0000"/>
                <w:lang w:val="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520EA" w:rsidRPr="004B2897" w:rsidRDefault="001520EA" w:rsidP="001520EA">
            <w:pPr>
              <w:spacing w:before="100" w:beforeAutospacing="1" w:after="100" w:afterAutospacing="1" w:line="276" w:lineRule="auto"/>
              <w:jc w:val="center"/>
              <w:rPr>
                <w:rFonts w:ascii="GHEA Grapalat" w:hAnsi="GHEA Grapalat"/>
                <w:color w:val="FF0000"/>
                <w:lang w:val="ru-RU"/>
              </w:rPr>
            </w:pPr>
            <w:r w:rsidRPr="004B2897">
              <w:rPr>
                <w:rFonts w:ascii="GHEA Grapalat" w:hAnsi="GHEA Grapalat"/>
                <w:color w:val="FF0000"/>
                <w:lang w:val="ru-RU"/>
              </w:rPr>
              <w:t>-</w:t>
            </w:r>
          </w:p>
        </w:tc>
      </w:tr>
      <w:tr w:rsidR="001520EA" w:rsidRPr="004B2897" w:rsidTr="004B289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520EA" w:rsidRPr="001520EA" w:rsidRDefault="001520EA" w:rsidP="001520EA">
            <w:pPr>
              <w:spacing w:before="100" w:beforeAutospacing="1" w:after="100" w:afterAutospacing="1" w:line="276" w:lineRule="auto"/>
              <w:jc w:val="center"/>
              <w:rPr>
                <w:rFonts w:ascii="GHEA Grapalat" w:hAnsi="GHEA Grapalat"/>
                <w:color w:val="FF0000"/>
              </w:rPr>
            </w:pPr>
            <w:r>
              <w:rPr>
                <w:rFonts w:ascii="GHEA Grapalat" w:hAnsi="GHEA Grapalat"/>
                <w:color w:val="FF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520EA" w:rsidRPr="001520EA" w:rsidRDefault="001520EA" w:rsidP="001520EA">
            <w:pPr>
              <w:spacing w:before="100" w:beforeAutospacing="1" w:after="100" w:afterAutospacing="1"/>
              <w:rPr>
                <w:rFonts w:ascii="GHEA Grapalat" w:hAnsi="GHEA Grapalat" w:cs="GHEA Grapalat"/>
                <w:color w:val="FF0000"/>
                <w:shd w:val="clear" w:color="auto" w:fill="FFFFFF"/>
                <w:lang w:val="hy-AM"/>
              </w:rPr>
            </w:pPr>
            <w:r w:rsidRPr="001520EA">
              <w:rPr>
                <w:rFonts w:ascii="GHEA Grapalat" w:hAnsi="GHEA Grapalat" w:cs="GHEA Grapalat"/>
                <w:color w:val="FF0000"/>
                <w:shd w:val="clear" w:color="auto" w:fill="FFFFFF"/>
                <w:lang w:val="hy-AM"/>
              </w:rPr>
              <w:t>Ընդհանուր օգտագործման ավտոմոբիլային տրանսպորտով միջպետական փոխադրումներ իրականացնող վարորդների մասնագիտական վերապատրաստման ծառայության մատուցում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520EA" w:rsidRPr="004B2897" w:rsidRDefault="001520EA" w:rsidP="001520EA">
            <w:pPr>
              <w:spacing w:before="100" w:beforeAutospacing="1" w:after="100" w:afterAutospacing="1" w:line="276" w:lineRule="auto"/>
              <w:jc w:val="center"/>
              <w:rPr>
                <w:rFonts w:ascii="GHEA Grapalat" w:hAnsi="GHEA Grapalat"/>
                <w:color w:val="FF0000"/>
                <w:lang w:val="hy-AM"/>
              </w:rPr>
            </w:pPr>
            <w:r w:rsidRPr="004B2897">
              <w:rPr>
                <w:rFonts w:ascii="GHEA Grapalat" w:hAnsi="GHEA Grapalat"/>
                <w:color w:val="FF0000"/>
                <w:lang w:val="ru-RU"/>
              </w:rPr>
              <w:t>Կ</w:t>
            </w:r>
            <w:r w:rsidRPr="004B2897">
              <w:rPr>
                <w:rFonts w:ascii="GHEA Grapalat" w:hAnsi="GHEA Grapalat"/>
                <w:color w:val="FF0000"/>
                <w:lang w:val="hy-AM"/>
              </w:rPr>
              <w:t>Մ</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520EA" w:rsidRPr="004B2897" w:rsidRDefault="001520EA" w:rsidP="001520EA">
            <w:pPr>
              <w:spacing w:before="100" w:beforeAutospacing="1" w:after="100" w:afterAutospacing="1" w:line="276" w:lineRule="auto"/>
              <w:jc w:val="center"/>
              <w:rPr>
                <w:rFonts w:ascii="GHEA Grapalat" w:hAnsi="GHEA Grapalat"/>
                <w:color w:val="FF0000"/>
                <w:lang w:val="ru-RU"/>
              </w:rPr>
            </w:pPr>
            <w:r w:rsidRPr="004B2897">
              <w:rPr>
                <w:rFonts w:ascii="GHEA Grapalat" w:hAnsi="GHEA Grapalat"/>
                <w:color w:val="FF0000"/>
                <w:lang w:val="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520EA" w:rsidRPr="004B2897" w:rsidRDefault="001520EA" w:rsidP="001520EA">
            <w:pPr>
              <w:spacing w:before="100" w:beforeAutospacing="1" w:after="100" w:afterAutospacing="1" w:line="276" w:lineRule="auto"/>
              <w:jc w:val="center"/>
              <w:rPr>
                <w:rFonts w:ascii="GHEA Grapalat" w:hAnsi="GHEA Grapalat"/>
                <w:color w:val="FF0000"/>
                <w:lang w:val="ru-RU"/>
              </w:rPr>
            </w:pPr>
            <w:r w:rsidRPr="004B2897">
              <w:rPr>
                <w:rFonts w:ascii="GHEA Grapalat" w:hAnsi="GHEA Grapalat"/>
                <w:color w:val="FF0000"/>
                <w:lang w:val="ru-RU"/>
              </w:rPr>
              <w:t>-</w:t>
            </w:r>
          </w:p>
        </w:tc>
      </w:tr>
    </w:tbl>
    <w:p w:rsidR="004B2897" w:rsidRPr="00FE1ED3" w:rsidRDefault="004B2897" w:rsidP="00FE1ED3">
      <w:pPr>
        <w:spacing w:line="276" w:lineRule="auto"/>
        <w:jc w:val="both"/>
        <w:rPr>
          <w:rFonts w:ascii="GHEA Grapalat" w:hAnsi="GHEA Grapalat"/>
          <w:color w:val="FF0000"/>
          <w:sz w:val="24"/>
          <w:szCs w:val="24"/>
          <w:lang w:val="hy-AM"/>
        </w:rPr>
      </w:pPr>
    </w:p>
    <w:sectPr w:rsidR="004B2897" w:rsidRPr="00FE1ED3" w:rsidSect="001656CE">
      <w:pgSz w:w="12240" w:h="15840"/>
      <w:pgMar w:top="63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001"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D5"/>
    <w:rsid w:val="000D5340"/>
    <w:rsid w:val="000E4058"/>
    <w:rsid w:val="001520EA"/>
    <w:rsid w:val="001656CE"/>
    <w:rsid w:val="00191C3C"/>
    <w:rsid w:val="001D64D5"/>
    <w:rsid w:val="002A3EE5"/>
    <w:rsid w:val="004B2897"/>
    <w:rsid w:val="00536BC0"/>
    <w:rsid w:val="00651AE6"/>
    <w:rsid w:val="00667C09"/>
    <w:rsid w:val="00860B23"/>
    <w:rsid w:val="009D0B0D"/>
    <w:rsid w:val="00BA11BA"/>
    <w:rsid w:val="00D34EDF"/>
    <w:rsid w:val="00F977AA"/>
    <w:rsid w:val="00FE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2714"/>
  <w15:chartTrackingRefBased/>
  <w15:docId w15:val="{86287A2D-AC22-448C-B2F8-E2942468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4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64D5"/>
    <w:rPr>
      <w:b/>
      <w:bCs/>
    </w:rPr>
  </w:style>
  <w:style w:type="character" w:customStyle="1" w:styleId="apple-converted-space">
    <w:name w:val="apple-converted-space"/>
    <w:basedOn w:val="DefaultParagraphFont"/>
    <w:rsid w:val="00667C09"/>
  </w:style>
  <w:style w:type="character" w:styleId="Emphasis">
    <w:name w:val="Emphasis"/>
    <w:basedOn w:val="DefaultParagraphFont"/>
    <w:uiPriority w:val="20"/>
    <w:qFormat/>
    <w:rsid w:val="004B2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08">
      <w:bodyDiv w:val="1"/>
      <w:marLeft w:val="0"/>
      <w:marRight w:val="0"/>
      <w:marTop w:val="0"/>
      <w:marBottom w:val="0"/>
      <w:divBdr>
        <w:top w:val="none" w:sz="0" w:space="0" w:color="auto"/>
        <w:left w:val="none" w:sz="0" w:space="0" w:color="auto"/>
        <w:bottom w:val="none" w:sz="0" w:space="0" w:color="auto"/>
        <w:right w:val="none" w:sz="0" w:space="0" w:color="auto"/>
      </w:divBdr>
    </w:div>
    <w:div w:id="71239736">
      <w:bodyDiv w:val="1"/>
      <w:marLeft w:val="0"/>
      <w:marRight w:val="0"/>
      <w:marTop w:val="0"/>
      <w:marBottom w:val="0"/>
      <w:divBdr>
        <w:top w:val="none" w:sz="0" w:space="0" w:color="auto"/>
        <w:left w:val="none" w:sz="0" w:space="0" w:color="auto"/>
        <w:bottom w:val="none" w:sz="0" w:space="0" w:color="auto"/>
        <w:right w:val="none" w:sz="0" w:space="0" w:color="auto"/>
      </w:divBdr>
    </w:div>
    <w:div w:id="113404365">
      <w:bodyDiv w:val="1"/>
      <w:marLeft w:val="0"/>
      <w:marRight w:val="0"/>
      <w:marTop w:val="0"/>
      <w:marBottom w:val="0"/>
      <w:divBdr>
        <w:top w:val="none" w:sz="0" w:space="0" w:color="auto"/>
        <w:left w:val="none" w:sz="0" w:space="0" w:color="auto"/>
        <w:bottom w:val="none" w:sz="0" w:space="0" w:color="auto"/>
        <w:right w:val="none" w:sz="0" w:space="0" w:color="auto"/>
      </w:divBdr>
    </w:div>
    <w:div w:id="302463754">
      <w:bodyDiv w:val="1"/>
      <w:marLeft w:val="0"/>
      <w:marRight w:val="0"/>
      <w:marTop w:val="0"/>
      <w:marBottom w:val="0"/>
      <w:divBdr>
        <w:top w:val="none" w:sz="0" w:space="0" w:color="auto"/>
        <w:left w:val="none" w:sz="0" w:space="0" w:color="auto"/>
        <w:bottom w:val="none" w:sz="0" w:space="0" w:color="auto"/>
        <w:right w:val="none" w:sz="0" w:space="0" w:color="auto"/>
      </w:divBdr>
    </w:div>
    <w:div w:id="369651988">
      <w:bodyDiv w:val="1"/>
      <w:marLeft w:val="0"/>
      <w:marRight w:val="0"/>
      <w:marTop w:val="0"/>
      <w:marBottom w:val="0"/>
      <w:divBdr>
        <w:top w:val="none" w:sz="0" w:space="0" w:color="auto"/>
        <w:left w:val="none" w:sz="0" w:space="0" w:color="auto"/>
        <w:bottom w:val="none" w:sz="0" w:space="0" w:color="auto"/>
        <w:right w:val="none" w:sz="0" w:space="0" w:color="auto"/>
      </w:divBdr>
    </w:div>
    <w:div w:id="670986286">
      <w:bodyDiv w:val="1"/>
      <w:marLeft w:val="0"/>
      <w:marRight w:val="0"/>
      <w:marTop w:val="0"/>
      <w:marBottom w:val="0"/>
      <w:divBdr>
        <w:top w:val="none" w:sz="0" w:space="0" w:color="auto"/>
        <w:left w:val="none" w:sz="0" w:space="0" w:color="auto"/>
        <w:bottom w:val="none" w:sz="0" w:space="0" w:color="auto"/>
        <w:right w:val="none" w:sz="0" w:space="0" w:color="auto"/>
      </w:divBdr>
    </w:div>
    <w:div w:id="687487185">
      <w:bodyDiv w:val="1"/>
      <w:marLeft w:val="0"/>
      <w:marRight w:val="0"/>
      <w:marTop w:val="0"/>
      <w:marBottom w:val="0"/>
      <w:divBdr>
        <w:top w:val="none" w:sz="0" w:space="0" w:color="auto"/>
        <w:left w:val="none" w:sz="0" w:space="0" w:color="auto"/>
        <w:bottom w:val="none" w:sz="0" w:space="0" w:color="auto"/>
        <w:right w:val="none" w:sz="0" w:space="0" w:color="auto"/>
      </w:divBdr>
    </w:div>
    <w:div w:id="732236902">
      <w:bodyDiv w:val="1"/>
      <w:marLeft w:val="0"/>
      <w:marRight w:val="0"/>
      <w:marTop w:val="0"/>
      <w:marBottom w:val="0"/>
      <w:divBdr>
        <w:top w:val="none" w:sz="0" w:space="0" w:color="auto"/>
        <w:left w:val="none" w:sz="0" w:space="0" w:color="auto"/>
        <w:bottom w:val="none" w:sz="0" w:space="0" w:color="auto"/>
        <w:right w:val="none" w:sz="0" w:space="0" w:color="auto"/>
      </w:divBdr>
    </w:div>
    <w:div w:id="972175403">
      <w:bodyDiv w:val="1"/>
      <w:marLeft w:val="0"/>
      <w:marRight w:val="0"/>
      <w:marTop w:val="0"/>
      <w:marBottom w:val="0"/>
      <w:divBdr>
        <w:top w:val="none" w:sz="0" w:space="0" w:color="auto"/>
        <w:left w:val="none" w:sz="0" w:space="0" w:color="auto"/>
        <w:bottom w:val="none" w:sz="0" w:space="0" w:color="auto"/>
        <w:right w:val="none" w:sz="0" w:space="0" w:color="auto"/>
      </w:divBdr>
    </w:div>
    <w:div w:id="1083722450">
      <w:bodyDiv w:val="1"/>
      <w:marLeft w:val="0"/>
      <w:marRight w:val="0"/>
      <w:marTop w:val="0"/>
      <w:marBottom w:val="0"/>
      <w:divBdr>
        <w:top w:val="none" w:sz="0" w:space="0" w:color="auto"/>
        <w:left w:val="none" w:sz="0" w:space="0" w:color="auto"/>
        <w:bottom w:val="none" w:sz="0" w:space="0" w:color="auto"/>
        <w:right w:val="none" w:sz="0" w:space="0" w:color="auto"/>
      </w:divBdr>
    </w:div>
    <w:div w:id="1247377268">
      <w:bodyDiv w:val="1"/>
      <w:marLeft w:val="0"/>
      <w:marRight w:val="0"/>
      <w:marTop w:val="0"/>
      <w:marBottom w:val="0"/>
      <w:divBdr>
        <w:top w:val="none" w:sz="0" w:space="0" w:color="auto"/>
        <w:left w:val="none" w:sz="0" w:space="0" w:color="auto"/>
        <w:bottom w:val="none" w:sz="0" w:space="0" w:color="auto"/>
        <w:right w:val="none" w:sz="0" w:space="0" w:color="auto"/>
      </w:divBdr>
    </w:div>
    <w:div w:id="1452745176">
      <w:bodyDiv w:val="1"/>
      <w:marLeft w:val="0"/>
      <w:marRight w:val="0"/>
      <w:marTop w:val="0"/>
      <w:marBottom w:val="0"/>
      <w:divBdr>
        <w:top w:val="none" w:sz="0" w:space="0" w:color="auto"/>
        <w:left w:val="none" w:sz="0" w:space="0" w:color="auto"/>
        <w:bottom w:val="none" w:sz="0" w:space="0" w:color="auto"/>
        <w:right w:val="none" w:sz="0" w:space="0" w:color="auto"/>
      </w:divBdr>
    </w:div>
    <w:div w:id="1687637848">
      <w:bodyDiv w:val="1"/>
      <w:marLeft w:val="0"/>
      <w:marRight w:val="0"/>
      <w:marTop w:val="0"/>
      <w:marBottom w:val="0"/>
      <w:divBdr>
        <w:top w:val="none" w:sz="0" w:space="0" w:color="auto"/>
        <w:left w:val="none" w:sz="0" w:space="0" w:color="auto"/>
        <w:bottom w:val="none" w:sz="0" w:space="0" w:color="auto"/>
        <w:right w:val="none" w:sz="0" w:space="0" w:color="auto"/>
      </w:divBdr>
    </w:div>
    <w:div w:id="1827014555">
      <w:bodyDiv w:val="1"/>
      <w:marLeft w:val="0"/>
      <w:marRight w:val="0"/>
      <w:marTop w:val="0"/>
      <w:marBottom w:val="0"/>
      <w:divBdr>
        <w:top w:val="none" w:sz="0" w:space="0" w:color="auto"/>
        <w:left w:val="none" w:sz="0" w:space="0" w:color="auto"/>
        <w:bottom w:val="none" w:sz="0" w:space="0" w:color="auto"/>
        <w:right w:val="none" w:sz="0" w:space="0" w:color="auto"/>
      </w:divBdr>
    </w:div>
    <w:div w:id="2022002395">
      <w:bodyDiv w:val="1"/>
      <w:marLeft w:val="0"/>
      <w:marRight w:val="0"/>
      <w:marTop w:val="0"/>
      <w:marBottom w:val="0"/>
      <w:divBdr>
        <w:top w:val="none" w:sz="0" w:space="0" w:color="auto"/>
        <w:left w:val="none" w:sz="0" w:space="0" w:color="auto"/>
        <w:bottom w:val="none" w:sz="0" w:space="0" w:color="auto"/>
        <w:right w:val="none" w:sz="0" w:space="0" w:color="auto"/>
      </w:divBdr>
    </w:div>
    <w:div w:id="21075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himarhamakarg@outlook.com</dc:creator>
  <cp:keywords/>
  <dc:description/>
  <cp:lastModifiedBy>Ruzanna Ayvazyan</cp:lastModifiedBy>
  <cp:revision>16</cp:revision>
  <dcterms:created xsi:type="dcterms:W3CDTF">2021-03-18T08:31:00Z</dcterms:created>
  <dcterms:modified xsi:type="dcterms:W3CDTF">2023-05-25T05:56:00Z</dcterms:modified>
</cp:coreProperties>
</file>