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0F8A1" w14:textId="77777777" w:rsidR="00613369" w:rsidRPr="00A012A1" w:rsidRDefault="00613369" w:rsidP="00613369">
      <w:pPr>
        <w:tabs>
          <w:tab w:val="left" w:pos="270"/>
          <w:tab w:val="left" w:pos="9270"/>
        </w:tabs>
        <w:spacing w:after="0" w:line="240" w:lineRule="auto"/>
        <w:ind w:firstLine="284"/>
        <w:jc w:val="right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A012A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ՆԱԽԱԳԻԾ</w:t>
      </w:r>
    </w:p>
    <w:p w14:paraId="329F274F" w14:textId="77777777" w:rsidR="00613369" w:rsidRPr="00613369" w:rsidRDefault="00613369" w:rsidP="00613369">
      <w:pPr>
        <w:tabs>
          <w:tab w:val="left" w:pos="270"/>
          <w:tab w:val="left" w:pos="9270"/>
        </w:tabs>
        <w:spacing w:after="0" w:line="360" w:lineRule="auto"/>
        <w:ind w:right="-90" w:firstLine="284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</w:p>
    <w:p w14:paraId="1EB3CE0E" w14:textId="77777777" w:rsidR="008913B8" w:rsidRPr="008913B8" w:rsidRDefault="008913B8" w:rsidP="008913B8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8913B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72F4A615" w14:textId="77777777" w:rsidR="008913B8" w:rsidRPr="008913B8" w:rsidRDefault="008913B8" w:rsidP="008913B8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8913B8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2E9459E8" w14:textId="77777777" w:rsidR="008913B8" w:rsidRPr="008913B8" w:rsidRDefault="008913B8" w:rsidP="008913B8">
      <w:pPr>
        <w:spacing w:after="0"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86052A" w:rsidRPr="003834F6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0C49F0E0" w14:textId="77777777" w:rsidR="00EE1917" w:rsidRPr="008913B8" w:rsidRDefault="00EE1917" w:rsidP="00613369">
      <w:pPr>
        <w:spacing w:after="0" w:line="360" w:lineRule="auto"/>
        <w:ind w:firstLine="284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BAA81D1" w14:textId="77777777" w:rsidR="00EE1917" w:rsidRPr="00EE1917" w:rsidRDefault="00EE1917" w:rsidP="00613369">
      <w:pPr>
        <w:spacing w:after="0" w:line="360" w:lineRule="auto"/>
        <w:ind w:firstLine="284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ՍՊԱՆԴԱՆՈՑՆԵՐԻ ԿՈՂՄԻՑ </w:t>
      </w:r>
      <w:r w:rsidRPr="00EE191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ԳՅՈՒՂԱՏՆՏԵՍԱԿԱՆ </w:t>
      </w:r>
      <w:r w:rsidR="000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ԿԵՆԴԱՆԻՆԵՐԻ</w:t>
      </w:r>
      <w:r w:rsidRPr="00EE191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ՄԹԵՐՈՒՄՆԵՐԻ (ԳՆՈՒՄՆԵՐԻ) ՆՊԱՏԱԿՈՎ ՏՐԱՄԱԴՐՎՈՂ ՎԱՐԿԵՐԻ ՇՐՋԱՆԱԿՆԵՐՈՒՄ ԲՅՈՒՋԵՏԱՅԻՆ ԵՐԱՇԽԻՔՆԵՐԻ ՏՐԱՄԱԴՐՄԱՆ ԿԱՐԳԸ ՀԱՍՏԱՏԵԼՈՒ ՄԱՍԻՆ</w:t>
      </w:r>
    </w:p>
    <w:p w14:paraId="2742EA7F" w14:textId="77777777" w:rsidR="00EE1917" w:rsidRPr="00EE1917" w:rsidRDefault="00EE1917" w:rsidP="00613369">
      <w:pPr>
        <w:spacing w:after="0" w:line="360" w:lineRule="auto"/>
        <w:ind w:firstLine="284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4D2ACD1F" w14:textId="77777777" w:rsidR="00EE1917" w:rsidRPr="00EE1917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Հիմք ընդունելով «Հայաստանի Հանրապետության բյուջետային համակարգի մասին» 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օրենքի 11-րդ հոդված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ի 3-րդ մասը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 Հայաստանի Հանրապետության կառավարությունը որոշում է.</w:t>
      </w:r>
    </w:p>
    <w:p w14:paraId="7E0C06EF" w14:textId="77777777" w:rsidR="00EE1917" w:rsidRPr="00EE1917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1. Հաստատել </w:t>
      </w:r>
      <w:r w:rsidR="00613369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սպանդանոցների կողմից 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գյուղատնտեսական </w:t>
      </w:r>
      <w:r w:rsidR="005D29B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կենդանիների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մթերումների (գնումների) նպատակով տրամադրվող վարկերի շրջանակներում բյուջետային երաշխիքների տրամադրման կարգը</w:t>
      </w:r>
      <w:r w:rsidR="005F420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(այսուհետ՝ կարգ)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` համաձայն հավելվածի։</w:t>
      </w:r>
    </w:p>
    <w:p w14:paraId="2E72F583" w14:textId="77777777" w:rsidR="00EE1917" w:rsidRPr="00EE1917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2. Սահմանել, որ՝</w:t>
      </w:r>
    </w:p>
    <w:p w14:paraId="0B4171A5" w14:textId="77777777" w:rsidR="00BC49CB" w:rsidRDefault="00EE1917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բյուջետային երաշխիքները կարող են տրամադրվել առանց ապահովման լրացուցիչ միջոցների.</w:t>
      </w:r>
    </w:p>
    <w:p w14:paraId="68B16C41" w14:textId="77777777" w:rsidR="00BC49CB" w:rsidRDefault="00EE1917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շահառուի կողմից իրականացված վարկի հիմնական գու</w:t>
      </w:r>
      <w:r w:rsidR="00161A33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մարի մարումներն առաջնա</w:t>
      </w:r>
      <w:r w:rsidR="00161A33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հերթ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ուղղվում են բյուջետային երաշխիքներով ապահովված պարտավորությունների մարմանը.</w:t>
      </w:r>
    </w:p>
    <w:p w14:paraId="7992E4FB" w14:textId="77777777" w:rsidR="00BC49CB" w:rsidRDefault="005F420D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սպանդանոցային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գործունեություն իրականացնող յուրաքանչյուր վարկառուի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գյուղատնտեսական կ</w:t>
      </w:r>
      <w:r w:rsidR="005E6E10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ե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նդանիների 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մթերումների (գնումների) ուղղության համար բյուջետային երաշխիքները տրամադրվում են առավելագույնը </w:t>
      </w:r>
      <w:r w:rsidR="0086052A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17</w:t>
      </w:r>
      <w:r w:rsidR="00332D62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ամիս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մարման ժամկետով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.</w:t>
      </w:r>
    </w:p>
    <w:p w14:paraId="13677C8E" w14:textId="15C4644D" w:rsidR="00BC49CB" w:rsidRPr="001C2BB1" w:rsidRDefault="00EE1917" w:rsidP="00A00E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1C2BB1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բյուջետային երաշխիքների հիման վրա վճարման պահանջ կարող է ներկայացվել վարկի գծով 90 օր և ավելի ժամկետանց պարտավորությ</w:t>
      </w:r>
      <w:r w:rsidR="008510CA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ան</w:t>
      </w:r>
      <w:r w:rsidRPr="001C2BB1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առկայության դեպք</w:t>
      </w:r>
      <w:r w:rsidR="001C2BB1" w:rsidRPr="001C2BB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ում</w:t>
      </w:r>
      <w:r w:rsidRPr="001C2BB1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 մինչև բյուջետային երաշխիքի ժամկետի լրանալը.</w:t>
      </w:r>
    </w:p>
    <w:p w14:paraId="0422015F" w14:textId="4BC82024" w:rsidR="00BC49CB" w:rsidRPr="00BC49CB" w:rsidRDefault="00EE1917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յուրաքանչյուր շահառուին և «Բանկերի և բանկային գործունեության մասին» Հայաստանի Հանրապետության օրենքի համաձայն իր հետ փոխկապակցված 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lastRenderedPageBreak/>
        <w:t>իրավաբանական անձանց</w:t>
      </w:r>
      <w:r w:rsidR="002A272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A272E" w:rsidRPr="008510CA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կամ անհատ ձեռնարկատերերի</w:t>
      </w:r>
      <w:r w:rsidRPr="008510CA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բյուջետային երաշխիքների ընդհանուր գումարը չի կարող գերազանցել </w:t>
      </w:r>
      <w:r w:rsidR="0023211A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14</w:t>
      </w:r>
      <w:r w:rsidR="005F420D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.0</w:t>
      </w:r>
      <w:r w:rsidR="005F420D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մլն</w:t>
      </w:r>
      <w:r w:rsidR="003834F6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դրամը</w:t>
      </w:r>
      <w:r w:rsid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.</w:t>
      </w:r>
    </w:p>
    <w:p w14:paraId="279B4C51" w14:textId="77777777" w:rsidR="00EE1917" w:rsidRPr="00BC49CB" w:rsidRDefault="00BC49CB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4585B">
        <w:rPr>
          <w:rFonts w:ascii="GHEA Grapalat" w:hAnsi="GHEA Grapalat"/>
          <w:sz w:val="24"/>
          <w:szCs w:val="24"/>
          <w:lang w:val="hy-AM"/>
        </w:rPr>
        <w:t>ծրագրի շրջանակում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Pr="0074585B">
        <w:rPr>
          <w:rFonts w:ascii="GHEA Grapalat" w:hAnsi="GHEA Grapalat"/>
          <w:sz w:val="24"/>
          <w:szCs w:val="24"/>
          <w:lang w:val="hy-AM"/>
        </w:rPr>
        <w:t>բյուջետային երաշխիքի</w:t>
      </w:r>
      <w:r>
        <w:rPr>
          <w:rFonts w:ascii="GHEA Grapalat" w:hAnsi="GHEA Grapalat"/>
          <w:sz w:val="24"/>
          <w:szCs w:val="24"/>
          <w:lang w:val="hy-AM"/>
        </w:rPr>
        <w:t xml:space="preserve"> տրամադրման պարտադիր նախապայման է </w:t>
      </w:r>
      <w:r w:rsidRPr="00BC49CB">
        <w:rPr>
          <w:rFonts w:ascii="GHEA Grapalat" w:hAnsi="GHEA Grapalat"/>
          <w:sz w:val="24"/>
          <w:szCs w:val="24"/>
          <w:lang w:val="hy-AM"/>
        </w:rPr>
        <w:t>ձեռք բերվող գյուղատնտեսական կենդանիների համարակալված լինելը և գյուղատնտեսական կենդանիների գնման գործընթացից հետո դրանց ապահովագրումը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0BCB78C0" w14:textId="77777777" w:rsidR="005F420D" w:rsidRPr="005F420D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3.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Ս</w:t>
      </w:r>
      <w:r w:rsidR="005F420D" w:rsidRPr="005F420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ույն որոշում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ը գործում է </w:t>
      </w:r>
      <w:r w:rsidR="005F420D" w:rsidRPr="005F420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ուժի մեջ մտնելու </w:t>
      </w:r>
      <w:r w:rsid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պահից </w:t>
      </w:r>
      <w:r w:rsidR="005F420D" w:rsidRPr="005F420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մինչև 202</w:t>
      </w:r>
      <w:r w:rsidR="005F420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3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դեկտեմբերի 30-ը</w:t>
      </w:r>
      <w:r w:rsidR="005F420D" w:rsidRPr="005F420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։</w:t>
      </w:r>
    </w:p>
    <w:p w14:paraId="17E40F81" w14:textId="77777777" w:rsidR="005F420D" w:rsidRPr="005F420D" w:rsidRDefault="005F420D" w:rsidP="005F420D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33392B8" w14:textId="77777777" w:rsidR="00EE1917" w:rsidRPr="005F420D" w:rsidRDefault="00EE1917" w:rsidP="005F420D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0C9061EE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</w:p>
    <w:p w14:paraId="1A09AD12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00415B91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66627CDA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6B5C935B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598E0251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sectPr w:rsidR="00EE1917" w:rsidRPr="00EE1917" w:rsidSect="0071506A">
      <w:pgSz w:w="11906" w:h="16838"/>
      <w:pgMar w:top="650" w:right="576" w:bottom="1138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F3126"/>
    <w:multiLevelType w:val="hybridMultilevel"/>
    <w:tmpl w:val="6AF6CE4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947352"/>
    <w:multiLevelType w:val="hybridMultilevel"/>
    <w:tmpl w:val="9F3AF07A"/>
    <w:lvl w:ilvl="0" w:tplc="3146D208">
      <w:start w:val="1"/>
      <w:numFmt w:val="decimal"/>
      <w:lvlText w:val="%1."/>
      <w:lvlJc w:val="left"/>
      <w:pPr>
        <w:ind w:left="180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9320D20"/>
    <w:multiLevelType w:val="hybridMultilevel"/>
    <w:tmpl w:val="AE1C1B88"/>
    <w:lvl w:ilvl="0" w:tplc="900C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77650285">
    <w:abstractNumId w:val="0"/>
  </w:num>
  <w:num w:numId="2" w16cid:durableId="1554343576">
    <w:abstractNumId w:val="2"/>
  </w:num>
  <w:num w:numId="3" w16cid:durableId="14619161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17"/>
    <w:rsid w:val="0009431C"/>
    <w:rsid w:val="00143985"/>
    <w:rsid w:val="00161A33"/>
    <w:rsid w:val="001C2BB1"/>
    <w:rsid w:val="0023211A"/>
    <w:rsid w:val="002A272E"/>
    <w:rsid w:val="002D30D9"/>
    <w:rsid w:val="00332D62"/>
    <w:rsid w:val="003834F6"/>
    <w:rsid w:val="005C2FE0"/>
    <w:rsid w:val="005D29B1"/>
    <w:rsid w:val="005E6E10"/>
    <w:rsid w:val="005F420D"/>
    <w:rsid w:val="00613369"/>
    <w:rsid w:val="0071506A"/>
    <w:rsid w:val="008510CA"/>
    <w:rsid w:val="0086052A"/>
    <w:rsid w:val="008849DD"/>
    <w:rsid w:val="008913B8"/>
    <w:rsid w:val="00A012A1"/>
    <w:rsid w:val="00B60FD0"/>
    <w:rsid w:val="00BC49CB"/>
    <w:rsid w:val="00D91247"/>
    <w:rsid w:val="00E966EA"/>
    <w:rsid w:val="00EE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619F0"/>
  <w15:chartTrackingRefBased/>
  <w15:docId w15:val="{E64CADDB-145B-4256-90F3-B27C6C85E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9CB"/>
    <w:pPr>
      <w:ind w:left="720"/>
      <w:contextualSpacing/>
    </w:pPr>
  </w:style>
  <w:style w:type="table" w:styleId="TableGrid">
    <w:name w:val="Table Grid"/>
    <w:basedOn w:val="TableNormal"/>
    <w:uiPriority w:val="39"/>
    <w:rsid w:val="00BC4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/>
  <dc:description/>
  <cp:lastModifiedBy>Armenak Zh. Aghajanyan</cp:lastModifiedBy>
  <cp:revision>21</cp:revision>
  <dcterms:created xsi:type="dcterms:W3CDTF">2023-01-17T12:48:00Z</dcterms:created>
  <dcterms:modified xsi:type="dcterms:W3CDTF">2023-07-04T11:20:00Z</dcterms:modified>
</cp:coreProperties>
</file>