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5D7" w:rsidRPr="009462FE" w:rsidRDefault="00447112" w:rsidP="009462FE">
      <w:pPr>
        <w:pStyle w:val="headingtitleStyle"/>
        <w:spacing w:line="276" w:lineRule="auto"/>
        <w:rPr>
          <w:sz w:val="24"/>
          <w:szCs w:val="24"/>
        </w:rPr>
      </w:pPr>
      <w:bookmarkStart w:id="0" w:name="_Toc1"/>
      <w:bookmarkStart w:id="1" w:name="_GoBack"/>
      <w:bookmarkEnd w:id="1"/>
      <w:r w:rsidRPr="009462FE">
        <w:rPr>
          <w:sz w:val="24"/>
          <w:szCs w:val="24"/>
        </w:rPr>
        <w:t>Ամփոփաթերթ</w:t>
      </w:r>
      <w:bookmarkEnd w:id="0"/>
    </w:p>
    <w:p w:rsidR="00BB45D7" w:rsidRPr="009462FE" w:rsidRDefault="00447112" w:rsidP="009462FE">
      <w:pPr>
        <w:pStyle w:val="headingtitleStyle"/>
        <w:spacing w:line="276" w:lineRule="auto"/>
        <w:rPr>
          <w:sz w:val="24"/>
          <w:szCs w:val="24"/>
        </w:rPr>
      </w:pPr>
      <w:bookmarkStart w:id="2" w:name="_Toc2"/>
      <w:r w:rsidRPr="009462FE">
        <w:rPr>
          <w:sz w:val="24"/>
          <w:szCs w:val="24"/>
        </w:rPr>
        <w:t xml:space="preserve">«Հայաստանի Հանրապետության քաղաքացիական դատավարության օրենսգրքում լրացումներ </w:t>
      </w:r>
      <w:r w:rsidR="007424AA">
        <w:rPr>
          <w:sz w:val="24"/>
          <w:szCs w:val="24"/>
        </w:rPr>
        <w:t xml:space="preserve">ԵՎ </w:t>
      </w:r>
      <w:r w:rsidRPr="009462FE">
        <w:rPr>
          <w:sz w:val="24"/>
          <w:szCs w:val="24"/>
        </w:rPr>
        <w:t>փոփոխություններ կատարելու մասին» օրենքի նախագիծ նախագծի վերաբերյալ</w:t>
      </w:r>
      <w:bookmarkEnd w:id="2"/>
    </w:p>
    <w:p w:rsidR="00BB45D7" w:rsidRPr="009462FE" w:rsidRDefault="00BB45D7" w:rsidP="009462FE">
      <w:pPr>
        <w:spacing w:line="276" w:lineRule="auto"/>
        <w:jc w:val="center"/>
        <w:rPr>
          <w:rFonts w:ascii="GHEA Grapalat" w:hAnsi="GHEA Grapalat"/>
          <w:sz w:val="24"/>
          <w:szCs w:val="24"/>
        </w:rPr>
      </w:pPr>
    </w:p>
    <w:p w:rsidR="00BB45D7" w:rsidRPr="009462FE" w:rsidRDefault="00BB45D7" w:rsidP="009462FE">
      <w:pPr>
        <w:spacing w:line="276" w:lineRule="auto"/>
        <w:jc w:val="both"/>
        <w:rPr>
          <w:rFonts w:ascii="GHEA Grapalat" w:hAnsi="GHEA Grapalat"/>
          <w:sz w:val="24"/>
          <w:szCs w:val="24"/>
        </w:rPr>
      </w:pPr>
    </w:p>
    <w:tbl>
      <w:tblPr>
        <w:tblW w:w="0" w:type="auto"/>
        <w:tblInd w:w="10" w:type="dxa"/>
        <w:tblCellMar>
          <w:left w:w="10" w:type="dxa"/>
          <w:right w:w="10" w:type="dxa"/>
        </w:tblCellMar>
        <w:tblLook w:val="0000" w:firstRow="0" w:lastRow="0" w:firstColumn="0" w:lastColumn="0" w:noHBand="0" w:noVBand="0"/>
      </w:tblPr>
      <w:tblGrid>
        <w:gridCol w:w="434"/>
        <w:gridCol w:w="2169"/>
        <w:gridCol w:w="4590"/>
        <w:gridCol w:w="2376"/>
        <w:gridCol w:w="4398"/>
      </w:tblGrid>
      <w:tr w:rsidR="005A0740" w:rsidRPr="009462FE" w:rsidTr="001907EA">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հ/</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հ</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Առարկության, առաջարկության հեղինակը, ստացման ամսաթիվը</w:t>
            </w:r>
          </w:p>
        </w:tc>
        <w:tc>
          <w:tcPr>
            <w:tcW w:w="4883"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Առարկության, առաջարկության բովանդակությունը</w:t>
            </w:r>
          </w:p>
        </w:tc>
        <w:tc>
          <w:tcPr>
            <w:tcW w:w="1721"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Եզրակացություն</w:t>
            </w:r>
          </w:p>
        </w:tc>
        <w:tc>
          <w:tcPr>
            <w:tcW w:w="4699"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Կատարված փոփոխությունը</w:t>
            </w:r>
          </w:p>
        </w:tc>
      </w:tr>
      <w:tr w:rsidR="005A0740" w:rsidRPr="009462FE" w:rsidTr="001907EA">
        <w:tc>
          <w:tcPr>
            <w:tcW w:w="466" w:type="dxa"/>
            <w:tcBorders>
              <w:top w:val="single" w:sz="1" w:space="0" w:color="000000"/>
              <w:left w:val="single" w:sz="1" w:space="0" w:color="000000"/>
              <w:bottom w:val="single" w:sz="1" w:space="0" w:color="000000"/>
              <w:right w:val="single" w:sz="1" w:space="0" w:color="000000"/>
            </w:tcBorders>
            <w:vAlign w:val="center"/>
          </w:tcPr>
          <w:p w:rsidR="00BB45D7" w:rsidRPr="009462FE" w:rsidRDefault="00BB45D7" w:rsidP="009462FE">
            <w:pPr>
              <w:spacing w:line="276" w:lineRule="auto"/>
              <w:jc w:val="both"/>
              <w:rPr>
                <w:rFonts w:ascii="GHEA Grapalat" w:hAnsi="GHEA Grapalat"/>
                <w:sz w:val="24"/>
                <w:szCs w:val="24"/>
              </w:rPr>
            </w:pPr>
          </w:p>
        </w:tc>
        <w:tc>
          <w:tcPr>
            <w:tcW w:w="2198" w:type="dxa"/>
            <w:tcBorders>
              <w:top w:val="single" w:sz="1" w:space="0" w:color="000000"/>
              <w:left w:val="single" w:sz="1" w:space="0" w:color="000000"/>
              <w:bottom w:val="single" w:sz="1" w:space="0" w:color="000000"/>
              <w:right w:val="single" w:sz="1" w:space="0" w:color="000000"/>
            </w:tcBorders>
            <w:vAlign w:val="center"/>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1</w:t>
            </w:r>
          </w:p>
        </w:tc>
        <w:tc>
          <w:tcPr>
            <w:tcW w:w="4883" w:type="dxa"/>
            <w:tcBorders>
              <w:top w:val="single" w:sz="1" w:space="0" w:color="000000"/>
              <w:left w:val="single" w:sz="1" w:space="0" w:color="000000"/>
              <w:bottom w:val="single" w:sz="1" w:space="0" w:color="000000"/>
              <w:right w:val="single" w:sz="1" w:space="0" w:color="000000"/>
            </w:tcBorders>
            <w:vAlign w:val="center"/>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2</w:t>
            </w:r>
          </w:p>
        </w:tc>
        <w:tc>
          <w:tcPr>
            <w:tcW w:w="1721" w:type="dxa"/>
            <w:tcBorders>
              <w:top w:val="single" w:sz="1" w:space="0" w:color="000000"/>
              <w:left w:val="single" w:sz="1" w:space="0" w:color="000000"/>
              <w:bottom w:val="single" w:sz="1" w:space="0" w:color="000000"/>
              <w:right w:val="single" w:sz="1" w:space="0" w:color="000000"/>
            </w:tcBorders>
            <w:vAlign w:val="center"/>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3</w:t>
            </w:r>
          </w:p>
        </w:tc>
        <w:tc>
          <w:tcPr>
            <w:tcW w:w="4699" w:type="dxa"/>
            <w:tcBorders>
              <w:top w:val="single" w:sz="1" w:space="0" w:color="000000"/>
              <w:left w:val="single" w:sz="1" w:space="0" w:color="000000"/>
              <w:bottom w:val="single" w:sz="1" w:space="0" w:color="000000"/>
              <w:right w:val="single" w:sz="1" w:space="0" w:color="000000"/>
            </w:tcBorders>
            <w:vAlign w:val="center"/>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4</w:t>
            </w:r>
          </w:p>
        </w:tc>
      </w:tr>
      <w:tr w:rsidR="005A0740" w:rsidRPr="00B0359B" w:rsidTr="001907EA">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1</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Իրավունքների պաշտպանություն առանց սահմանների ՀԿ</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03.05.2023 22:57:34</w:t>
            </w:r>
          </w:p>
        </w:tc>
        <w:tc>
          <w:tcPr>
            <w:tcW w:w="4883"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 xml:space="preserve">Նախագծի 60-րդ հոդվածով առաջարկվում է Օրենսգրքի 372-րդ հոդվածում՝ 2) 1-ին մասի 6-րդ կետը շարադրել հետևյալ խմբագրությամբ. «6) վերաքննիչ բողոքը բերվել է գույքային պահանջով քաղաքացիական գործով, եթե տվյալ գործով վեճի առարկայի արժեքը չի գերազանցում նվազագույն աշխատավարձի երկուհարյուրապատիկը, բացառությամբ այն դեպքերի, երբ բողոք բերող անձն իր վերաքննիչ բողոքում հիմնավորում է, որ </w:t>
            </w:r>
            <w:r w:rsidRPr="009462FE">
              <w:rPr>
                <w:rFonts w:ascii="GHEA Grapalat" w:eastAsia="GHEA Grapalat" w:hAnsi="GHEA Grapalat" w:cs="GHEA Grapalat"/>
                <w:color w:val="000000"/>
                <w:sz w:val="24"/>
                <w:szCs w:val="24"/>
              </w:rPr>
              <w:lastRenderedPageBreak/>
              <w:t>առաջին ատյանի դատարանը թույլ է տվել արդար դատաքննության իրավունքի բուն էությունը խաթարող դատական սխալ»: Գործող կարգավորումների համեմատ գույքային պահանջներով վերաքննիչ բողոք ներկայացնելու շեմի քառապատիկ ավելացումը հիմնավորված չէ։ Հասկանալի չէ, թե փոփոխությունը Վերաքննիչ քաղաքացիական դատարան ներկայացվող բողոքների քանի տոկոսի վրա է տարածվելու և ինչքանով է ծառայելու հռչակված նպատակին, հաշվի առնելով, որ Նախագծի հիմնավորումներում որպես սույն փոփոխության նպատակ նշված է</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«Առաջարկվող կարգավորմամբ նախատեսվել է 50.000 դարձնել 200.000 դրամ, քանի որ առկա կարգավորումը վերաքննիչ դատարանի ծանրաբեռնվածության հարցը փաստացի չի լուծում»:   Կատարվող փոփոխությունների նպատակը հաշվի առնելով և դրանց համատեքստում </w:t>
            </w:r>
            <w:r w:rsidRPr="009462FE">
              <w:rPr>
                <w:rFonts w:ascii="GHEA Grapalat" w:eastAsia="GHEA Grapalat" w:hAnsi="GHEA Grapalat" w:cs="GHEA Grapalat"/>
                <w:color w:val="000000"/>
                <w:sz w:val="24"/>
                <w:szCs w:val="24"/>
              </w:rPr>
              <w:lastRenderedPageBreak/>
              <w:t>(քաղաքացիական դատավարության օրենսգրքի կիրառման պրակտիկայում առաջացած մի շարք խնդիրների լուծումը, քաղաքացիական դատավարության արդյունավետության բարձրացումը և դատավորների ծանրաբեռնվածության թեթևացումը) առաջարկում ենք նաև վերանայել Աշխատանքային վեճերին վերաբերող հատուկ ընթացակարգերը</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Այսպես՝   Աշխատանքային օրենսգրքի 263-րդ հոդվածի համաձայն՝ աշխատանքային վեճը աշխատողի կամ տվյալ գործատուի հետ նախկինում աշխատանքային հարաբերությունների մեջ գտնված աշխատողի և գործատուի միջև տարաձայնությունն է, որն առաջանում է կամ առաջացել է աշխատանքային օրենսդրությամբ, այլ նորմատիվ իրավական ակտերով, ներքին իրավական ակտերով, աշխատանքային կամ կոլեկտիվ պայմանագրով սահմանված իրավունքների և պարտականությունների կատարման </w:t>
            </w:r>
            <w:r w:rsidRPr="009462FE">
              <w:rPr>
                <w:rFonts w:ascii="GHEA Grapalat" w:eastAsia="GHEA Grapalat" w:hAnsi="GHEA Grapalat" w:cs="GHEA Grapalat"/>
                <w:color w:val="000000"/>
                <w:sz w:val="24"/>
                <w:szCs w:val="24"/>
              </w:rPr>
              <w:lastRenderedPageBreak/>
              <w:t xml:space="preserve">ժամանակ: Միևնույն ժամանակ ՔԴՕ 210-րդ հոդվածը առավել նեղ է սահմանում աշխատանքային վեճ հասկացությունը՝ սահմանելով, որ Դատարանը սույն գլխով սահմանված կարգով քննում և լուծում է աշխատանքային պայմանագրի փոփոխման, լուծման և աշխատողին կարգապահական պատասխանատվության ենթարկելու հետ կապված անհատական աշխատանքային վեճերը (այսուհետ՝ աշխատանքային վեճ)։ Ինչը աշխատանքային իրավունքների խախտման ոչ բոլոր դեպքերում է հնարավորություն ունենում դիմել և ստանալ հատուկ ընթացակարգերով դատական պաշտպանություն, և չի համապատասխանում նյութաիրավական նորմեր սահմանող՝ Աշխատանքային օրենսգրքի 263-րդ հոդվածի </w:t>
            </w:r>
            <w:r w:rsidRPr="009462FE">
              <w:rPr>
                <w:rFonts w:ascii="GHEA Grapalat" w:eastAsia="GHEA Grapalat" w:hAnsi="GHEA Grapalat" w:cs="GHEA Grapalat"/>
                <w:color w:val="000000"/>
                <w:sz w:val="24"/>
                <w:szCs w:val="24"/>
              </w:rPr>
              <w:lastRenderedPageBreak/>
              <w:t>դրույթներին։ Ուստի առաջարկում ենք Քաղաքացիական դատավարության օրենսգրքի աշխատանքային վեճի հասկացությունը սահմանող դրույթը ընդլայնել՝ համապատասխանեցնելով Աշխատանքային օրենսգրքի դրույթներին։</w:t>
            </w:r>
          </w:p>
        </w:tc>
        <w:tc>
          <w:tcPr>
            <w:tcW w:w="1721" w:type="dxa"/>
            <w:tcBorders>
              <w:top w:val="single" w:sz="1" w:space="0" w:color="000000"/>
              <w:left w:val="single" w:sz="1" w:space="0" w:color="000000"/>
              <w:bottom w:val="single" w:sz="1" w:space="0" w:color="000000"/>
              <w:right w:val="single" w:sz="1" w:space="0" w:color="000000"/>
            </w:tcBorders>
          </w:tcPr>
          <w:p w:rsidR="00BB45D7" w:rsidRPr="009462FE" w:rsidRDefault="000D6DF0" w:rsidP="009462FE">
            <w:pPr>
              <w:spacing w:line="276" w:lineRule="auto"/>
              <w:jc w:val="both"/>
              <w:rPr>
                <w:rFonts w:ascii="GHEA Grapalat" w:hAnsi="GHEA Grapalat"/>
                <w:sz w:val="24"/>
                <w:szCs w:val="24"/>
              </w:rPr>
            </w:pPr>
            <w:r w:rsidRPr="009462FE">
              <w:rPr>
                <w:rFonts w:ascii="GHEA Grapalat" w:hAnsi="GHEA Grapalat"/>
                <w:sz w:val="24"/>
                <w:szCs w:val="24"/>
              </w:rPr>
              <w:lastRenderedPageBreak/>
              <w:t>Չի ընդունվել:</w:t>
            </w:r>
          </w:p>
        </w:tc>
        <w:tc>
          <w:tcPr>
            <w:tcW w:w="4699" w:type="dxa"/>
            <w:tcBorders>
              <w:top w:val="single" w:sz="1" w:space="0" w:color="000000"/>
              <w:left w:val="single" w:sz="1" w:space="0" w:color="000000"/>
              <w:bottom w:val="single" w:sz="1" w:space="0" w:color="000000"/>
              <w:right w:val="single" w:sz="1" w:space="0" w:color="000000"/>
            </w:tcBorders>
          </w:tcPr>
          <w:p w:rsidR="000D6DF0" w:rsidRPr="009462FE" w:rsidRDefault="000D6DF0" w:rsidP="009462FE">
            <w:pPr>
              <w:tabs>
                <w:tab w:val="left" w:pos="1412"/>
              </w:tabs>
              <w:spacing w:line="276" w:lineRule="auto"/>
              <w:jc w:val="both"/>
              <w:rPr>
                <w:rFonts w:ascii="GHEA Grapalat" w:hAnsi="GHEA Grapalat"/>
                <w:color w:val="000000"/>
                <w:sz w:val="24"/>
                <w:szCs w:val="24"/>
                <w:lang w:val="hy-AM"/>
              </w:rPr>
            </w:pPr>
            <w:r w:rsidRPr="009462FE">
              <w:rPr>
                <w:rFonts w:ascii="GHEA Grapalat" w:hAnsi="GHEA Grapalat"/>
                <w:color w:val="000000"/>
                <w:sz w:val="24"/>
                <w:szCs w:val="24"/>
                <w:lang w:val="hy-AM"/>
              </w:rPr>
              <w:t xml:space="preserve">Հաշվի առնելով, որ գործող կարգավորմամբ նշված չափով սույն դրույթը պրակտիկայում ընդհանրապես չի կիրառվում սահմանված շեմը բարձրացնելու անհրաժեշտություն է առաջացել: Միևնույն ժամանակ, հարկ է նշել, որ նույն նորմով սահմանվում է բացառություն այն դեպքերի համար, երբ բողոք բերող անձն իր վերաքննիչ բողոքում հիմնավորում է, որ առաջին ատյանի դատարանը թույլ է տվել արդար դատաքննության իրավունքի </w:t>
            </w:r>
            <w:r w:rsidRPr="009462FE">
              <w:rPr>
                <w:rFonts w:ascii="GHEA Grapalat" w:hAnsi="GHEA Grapalat"/>
                <w:color w:val="000000"/>
                <w:sz w:val="24"/>
                <w:szCs w:val="24"/>
                <w:lang w:val="hy-AM"/>
              </w:rPr>
              <w:lastRenderedPageBreak/>
              <w:t>բուն էությունը խաթարող դատական ակտ:</w:t>
            </w:r>
          </w:p>
          <w:p w:rsidR="000D6DF0" w:rsidRPr="009462FE" w:rsidRDefault="000D6DF0" w:rsidP="009462FE">
            <w:pPr>
              <w:tabs>
                <w:tab w:val="left" w:pos="1412"/>
              </w:tabs>
              <w:spacing w:line="276" w:lineRule="auto"/>
              <w:jc w:val="both"/>
              <w:rPr>
                <w:rFonts w:ascii="GHEA Grapalat" w:hAnsi="GHEA Grapalat"/>
                <w:sz w:val="24"/>
                <w:szCs w:val="24"/>
                <w:lang w:val="hy-AM"/>
              </w:rPr>
            </w:pPr>
            <w:r w:rsidRPr="009462FE">
              <w:rPr>
                <w:rFonts w:ascii="GHEA Grapalat" w:hAnsi="GHEA Grapalat"/>
                <w:color w:val="000000"/>
                <w:sz w:val="24"/>
                <w:szCs w:val="24"/>
                <w:lang w:val="hy-AM"/>
              </w:rPr>
              <w:t xml:space="preserve">Ինչ վերաբերում է հատուկ հայցային վարույթի շրջանակներում քննվող առանձին աշխատանքային վեճերի շրջանակի ընդլայնմանը, ապա հարկ է նշել, որ </w:t>
            </w:r>
            <w:r w:rsidR="009F53A5" w:rsidRPr="009462FE">
              <w:rPr>
                <w:rFonts w:ascii="GHEA Grapalat" w:hAnsi="GHEA Grapalat"/>
                <w:color w:val="000000"/>
                <w:sz w:val="24"/>
                <w:szCs w:val="24"/>
                <w:lang w:val="hy-AM"/>
              </w:rPr>
              <w:t xml:space="preserve">օրենսդիրը նշված գործերի շրջանակը ընտրել է հիմք ընդունելով, որ տարբեր գործոններով պայմանավորված հայցային վարույթի ընդհանուր կանոնները չեն կարող արդյունավետորեն սպասարկել վարույթի այս տեսակները և այն հնարավոր է ապահովել միայն գործերի հարուցման, նախապատրաստական անհետաձգելի գործողություններ կատարելու, գործի քննության և դատական ակտերի կայացման հատուկ կարգ սահմանելուն: Հաշվի առնելով վերոգրյալը, օրենսդիրը առանձնացրել է աշխատանքային պայմանագրի փոփոխման, լուծման և աշխատողին կարգապահական </w:t>
            </w:r>
            <w:r w:rsidR="009F53A5" w:rsidRPr="009462FE">
              <w:rPr>
                <w:rFonts w:ascii="GHEA Grapalat" w:hAnsi="GHEA Grapalat"/>
                <w:color w:val="000000"/>
                <w:sz w:val="24"/>
                <w:szCs w:val="24"/>
                <w:lang w:val="hy-AM"/>
              </w:rPr>
              <w:lastRenderedPageBreak/>
              <w:t>պատասխանատվության ենթարկելու հետ կապված անհատական աշխատանքային վեճերը և ներկա պահին նշված վարույթի շրջանակներում քննվող գործերը շրջանակը ընդլայնելը հիմնավորված և նպատակահարմար չէ:</w:t>
            </w:r>
          </w:p>
        </w:tc>
      </w:tr>
      <w:tr w:rsidR="005A0740" w:rsidRPr="009462FE" w:rsidTr="00411297">
        <w:trPr>
          <w:trHeight w:val="4191"/>
        </w:trPr>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lastRenderedPageBreak/>
              <w:t>2</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Իրավունքների պաշտպանություն առանց սահմանների ՀԿ</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03.05.2023 22:57:21</w:t>
            </w:r>
          </w:p>
        </w:tc>
        <w:tc>
          <w:tcPr>
            <w:tcW w:w="4883"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Նախագծի Հոդված 43-ով նախատեսվում է Օրենսգրքի 180-րդ հոդվածով կատարել հետևյալ փոփոխությունը</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3) 1-ին մասի 11-րդ կետը շարադրել  հետևյալ բովանդակությամբ՝ «11) ծանուցված հայցվորը (դիմողը) կամ նրա ներկայացուցիչը չի ներկայացել երկու հաջորդական դատական նիստերին և չի ներկայացրել գործի քննությունը հետաձգելու կամ գործն իր բացակայությամբ լուծելու վերաբերյալ միջնորդություն, և պատասխանողը չի միջնորդել գործի քննությունը շարունակելու վերաբերյալ, բացառությամբ այն գործերի, որոնցում </w:t>
            </w:r>
            <w:r w:rsidRPr="009462FE">
              <w:rPr>
                <w:rFonts w:ascii="GHEA Grapalat" w:eastAsia="GHEA Grapalat" w:hAnsi="GHEA Grapalat" w:cs="GHEA Grapalat"/>
                <w:color w:val="000000"/>
                <w:sz w:val="24"/>
                <w:szCs w:val="24"/>
              </w:rPr>
              <w:lastRenderedPageBreak/>
              <w:t xml:space="preserve">սկզբնական հայցի հետ համատեղ քննվում է նաև հակընդդեմ հայց»: Կարծում ենք, որ նշանակված երկու իրար հաջորդող դատական նիստերին չմասնակցելը և դատական նիստը հետաձգելու կամ այն հայցվոր կողմի բացակայությամբ անցկացնելու միջնորդություն չներկայացնելը չեն կարող մեկնաբանվել ի վնաս հայցվորի այն դեպքերում, երբ Հայցվորը կամ վերջինիս ներկայացուցիչը թեև չեն ներկայացել դատական նիստին, սակայն ներկայացրել են դիրքորոշում, ապացույցներ կամ այլ դատավարական փաստաթղթեր՝ ցույց տալով իրենց հետաքրքրվածությունը և շահագրգռվածությունը գործի ելքով։ Օրենսդրի նման ֆորմալիստական մոտեցումը  խոչընդոտում է անձանց՝ արդար դատաքննության և հենց արդյունավետ դատական պաշտպանության միջոց ունենալու իրավունքները:  Նորմի գործող </w:t>
            </w:r>
            <w:r w:rsidRPr="009462FE">
              <w:rPr>
                <w:rFonts w:ascii="GHEA Grapalat" w:eastAsia="GHEA Grapalat" w:hAnsi="GHEA Grapalat" w:cs="GHEA Grapalat"/>
                <w:color w:val="000000"/>
                <w:sz w:val="24"/>
                <w:szCs w:val="24"/>
              </w:rPr>
              <w:lastRenderedPageBreak/>
              <w:t xml:space="preserve">խմբագրությամբ տարբերակի կիրառման մասով դատական պրակտիկան միատեսակ չէ, մասնավորապես՝ մի շարք դատական գործերով ՀՀ առաջին ատյանի ընդհանուր իրավասության, ինչպես նաև ՀՀ վերաքննիչ քաղաքացիական դատարանները ՀՀ քաղաքացիական դատավարության օրենսգրքի 180-րդ հոդվածի 1-ին մասի 11-րդ կետը մեկնաբանել են տարբեր կերպ, և ըստ այդմ՝ կայացրել են միմյանց հակասող դատական ակտեր։ Հատկանշական է, որ նույն դատարանը նույնիսկ նույն դատական կազմով /ՀՀ վերաքննիչ դատարանը/ այս խումբ գործերով կարող է տրամադրել իրարամերժ մեկնաբանություններ և մի դեպքում գտնել, որ հայցն առանց քննության թողնելը եղել է անհիմն, քանի որ Հայցվոր կողմը գործով թեև չի ներկայացել նիստին, այնուամենայնիվ ցուցաբերել է շահագրգռվածություն, մյուս դեպքում՝ նշել, որ վկայակոչվող </w:t>
            </w:r>
            <w:r w:rsidRPr="009462FE">
              <w:rPr>
                <w:rFonts w:ascii="GHEA Grapalat" w:eastAsia="GHEA Grapalat" w:hAnsi="GHEA Grapalat" w:cs="GHEA Grapalat"/>
                <w:color w:val="000000"/>
                <w:sz w:val="24"/>
                <w:szCs w:val="24"/>
              </w:rPr>
              <w:lastRenderedPageBreak/>
              <w:t xml:space="preserve">նորմում վկայակոչված պայմանները սպառիչ են և տարածական մեկնաբանության ենթակա չեն (տե՛ս, օրինակ թիվ ԵԴ/14978/02/19, ՍԴ1/0240/02/20, ԵԴ/27288/02/18,  ԵԴ/1977/02/19, ԵԴ/17757/02/19 քաղաքացիական գործերով Դատարանի՝ հայցն առանց քննության թողնելու մասին որոշումները, և որոշման դեմ բերված բողոքի առնչությամբ Վերաքննիչ դատարանի կայացրած որոշումները)։  ՀՀ քաղաքացիական դատավարության օրենսգրքի 126-րդ հոդվածի 1-ին մասի 2-րդ կետից բխում է, որ նույն անձանց միջև նույն առարկայի մասին և միևնույն փաստական հիմքերով գործի վերաբերյալ դատարանի` առանց քննության թողնելու մասին որոշման առկայության դեպքում անձը զրկված չէ կրկին դատարան դիմելու հնարավորությունից, այս առումով հայցն առանց քննության թողնելու մասին որոշումը չի բացառում </w:t>
            </w:r>
            <w:r w:rsidRPr="009462FE">
              <w:rPr>
                <w:rFonts w:ascii="GHEA Grapalat" w:eastAsia="GHEA Grapalat" w:hAnsi="GHEA Grapalat" w:cs="GHEA Grapalat"/>
                <w:color w:val="000000"/>
                <w:sz w:val="24"/>
                <w:szCs w:val="24"/>
              </w:rPr>
              <w:lastRenderedPageBreak/>
              <w:t xml:space="preserve">հետագայում հայցվորի կողմից կրկին նույն առարկային մասին նույն փաստական հիմքերով նույն անձանց դեմ հայցադիմում ներկայացնել։ Հետևաբար այն բոլոր դեպքերում, երբ հայցվորի բոլոր գործողությունները ցույց են տալիս, որ վերջինս շահագրգռված է գործի ելքով, սակայն չի ներկայանում հերթական երկու նիստերին և այդ հիմքով դատարանը հայցը թողնում է առանց քննության, ապա հայցվորը միևնույն է հնարավորություն է ունենալու նույն հայցը կրկին ներկայացնելու, ինչը լրացուցիչ ծանրաբեռնում է դատարանի գործունեությունը։ Ուստի՝ կարծում ենք, որ դատարանը անգամ նման կարգավորման առկայության դեպքում պետք է առնվազն հնարավորություն ունենա  յուրաքանչյուր գործի շրջանակներում գնահատել հայցվորի շահագրգռվածությունը։ Մյուս կողմից՝ պրակտիկայի տեսանկյունից, օրինակ՝ անձի պատվի և արժանապատվության </w:t>
            </w:r>
            <w:r w:rsidRPr="009462FE">
              <w:rPr>
                <w:rFonts w:ascii="GHEA Grapalat" w:eastAsia="GHEA Grapalat" w:hAnsi="GHEA Grapalat" w:cs="GHEA Grapalat"/>
                <w:color w:val="000000"/>
                <w:sz w:val="24"/>
                <w:szCs w:val="24"/>
              </w:rPr>
              <w:lastRenderedPageBreak/>
              <w:t xml:space="preserve">արատավորման հետ կապված գործերով վնասի հատուցում ստանալու հայցով դատարան դիմելու վաղեմության ժամկետը մեկ ամիս է, մյուս կողմից՝ ներպետական դատարանների կողմից այժմ չկա հստակ ձևավորված պրակտիկա հայցն առանց քննության թողնվելու դեպքում կրկին հայց ներկայացնելիս վաղեմության ժամկետի հոսքի վերաբերյալ (տե՛ս, օրինակ, ԵԴ/5520/02/20 քաղաքացիական գործը, որով Դատարանը գտել է, որ հայցն առանց քննության թողնվելուց հետո անձը բաց է թողել կրկին հայց ներկայացնելու համար նախատեսված 1 տարվա ժամկետը, դատական ակտը բողոքարկվել է վերաքննության, այնուհետև վճռաբեկության կարգով)։ Նման պայմաններում, հայցն առանց քննության թողնվելու դեպքում անձը ընդհանրապես զրկվում է իր հիմնարար՝ մասնավոր կյանքի անձեռնմխելիության իրավունքի պաշտպանության որևէ </w:t>
            </w:r>
            <w:r w:rsidRPr="009462FE">
              <w:rPr>
                <w:rFonts w:ascii="GHEA Grapalat" w:eastAsia="GHEA Grapalat" w:hAnsi="GHEA Grapalat" w:cs="GHEA Grapalat"/>
                <w:color w:val="000000"/>
                <w:sz w:val="24"/>
                <w:szCs w:val="24"/>
              </w:rPr>
              <w:lastRenderedPageBreak/>
              <w:t>միջոցից, ինչը հակասում է Մարդու իրավունքների եվրոպական կոնվենցիայի 13-րդ հոդվածին։  Ուստի առաջարկում ենք հոդվածի նշված դրույթը վերանայել վերոգրյալի համատեքստում՝ առնվազն հնարավորություն տալով Դատարանին՝ յուրաքանչյուր գործով գնահատելու Հայցվորի գործողությունները և վերջինիս շահագրգռվածությունը գործով՝ ըստ այդմ կայացնելով որոշում։</w:t>
            </w:r>
          </w:p>
        </w:tc>
        <w:tc>
          <w:tcPr>
            <w:tcW w:w="1721" w:type="dxa"/>
            <w:tcBorders>
              <w:top w:val="single" w:sz="1" w:space="0" w:color="000000"/>
              <w:left w:val="single" w:sz="1" w:space="0" w:color="000000"/>
              <w:bottom w:val="single" w:sz="1" w:space="0" w:color="000000"/>
              <w:right w:val="single" w:sz="1" w:space="0" w:color="000000"/>
            </w:tcBorders>
          </w:tcPr>
          <w:p w:rsidR="00BB45D7" w:rsidRPr="009462FE" w:rsidRDefault="000B31AA" w:rsidP="009462FE">
            <w:pPr>
              <w:spacing w:line="276" w:lineRule="auto"/>
              <w:jc w:val="both"/>
              <w:rPr>
                <w:rFonts w:ascii="GHEA Grapalat" w:hAnsi="GHEA Grapalat"/>
                <w:sz w:val="24"/>
                <w:szCs w:val="24"/>
              </w:rPr>
            </w:pPr>
            <w:r w:rsidRPr="009462FE">
              <w:rPr>
                <w:rFonts w:ascii="GHEA Grapalat" w:hAnsi="GHEA Grapalat"/>
                <w:sz w:val="24"/>
                <w:szCs w:val="24"/>
              </w:rPr>
              <w:lastRenderedPageBreak/>
              <w:t>Չի ընդունվել:</w:t>
            </w:r>
          </w:p>
        </w:tc>
        <w:tc>
          <w:tcPr>
            <w:tcW w:w="4699" w:type="dxa"/>
            <w:tcBorders>
              <w:top w:val="single" w:sz="1" w:space="0" w:color="000000"/>
              <w:left w:val="single" w:sz="1" w:space="0" w:color="000000"/>
              <w:bottom w:val="single" w:sz="1" w:space="0" w:color="000000"/>
              <w:right w:val="single" w:sz="1" w:space="0" w:color="000000"/>
            </w:tcBorders>
          </w:tcPr>
          <w:p w:rsidR="00BB45D7" w:rsidRPr="009462FE" w:rsidRDefault="000B31AA" w:rsidP="009462FE">
            <w:pPr>
              <w:spacing w:line="276" w:lineRule="auto"/>
              <w:jc w:val="both"/>
              <w:rPr>
                <w:rFonts w:ascii="GHEA Grapalat" w:hAnsi="GHEA Grapalat"/>
                <w:sz w:val="24"/>
                <w:szCs w:val="24"/>
              </w:rPr>
            </w:pPr>
            <w:r w:rsidRPr="009462FE">
              <w:rPr>
                <w:rFonts w:ascii="GHEA Grapalat" w:hAnsi="GHEA Grapalat"/>
                <w:sz w:val="24"/>
                <w:szCs w:val="24"/>
              </w:rPr>
              <w:t>Նախագծով առաջարկում նշված մասը չի փոփոխվում: Ինչ վերաբերում է  դ</w:t>
            </w:r>
            <w:r w:rsidRPr="009462FE">
              <w:rPr>
                <w:rFonts w:ascii="GHEA Grapalat" w:eastAsia="GHEA Grapalat" w:hAnsi="GHEA Grapalat" w:cs="GHEA Grapalat"/>
                <w:color w:val="000000"/>
                <w:sz w:val="24"/>
                <w:szCs w:val="24"/>
              </w:rPr>
              <w:t xml:space="preserve">ատարանին յուրաքանչյուր գործով հայցվորի գործողությունները և վերջինիս շահագրգռվածությունը գնահատելու հնարավորություն տալու հարցին, ապա հարկ է նշել, որ գործող կարգավորմամբ  պարտադիր պայման նշվել է նաև </w:t>
            </w:r>
            <w:r w:rsidRPr="009462FE">
              <w:rPr>
                <w:rFonts w:ascii="GHEA Grapalat" w:eastAsia="GHEA Grapalat" w:hAnsi="GHEA Grapalat" w:cs="GHEA Grapalat"/>
                <w:color w:val="000000"/>
                <w:sz w:val="24"/>
                <w:szCs w:val="24"/>
                <w:highlight w:val="white"/>
              </w:rPr>
              <w:t>գործի քննությունը հետաձգելու կամ գործն իր բացակայությամբ լուծելու վերաբերյալ միջնորդությ</w:t>
            </w:r>
            <w:r w:rsidRPr="009462FE">
              <w:rPr>
                <w:rFonts w:ascii="GHEA Grapalat" w:eastAsia="GHEA Grapalat" w:hAnsi="GHEA Grapalat" w:cs="GHEA Grapalat"/>
                <w:color w:val="000000"/>
                <w:sz w:val="24"/>
                <w:szCs w:val="24"/>
              </w:rPr>
              <w:t>ան բացակայությունը, ինչ</w:t>
            </w:r>
            <w:r w:rsidR="00EC069B" w:rsidRPr="009462FE">
              <w:rPr>
                <w:rFonts w:ascii="GHEA Grapalat" w:eastAsia="GHEA Grapalat" w:hAnsi="GHEA Grapalat" w:cs="GHEA Grapalat"/>
                <w:color w:val="000000"/>
                <w:sz w:val="24"/>
                <w:szCs w:val="24"/>
              </w:rPr>
              <w:t>ի առկայությունը կամ բացակայությունը ինքնին շահագրգռվածության դրսևորման ձև է:</w:t>
            </w:r>
          </w:p>
        </w:tc>
      </w:tr>
      <w:tr w:rsidR="005A0740" w:rsidRPr="00B0359B" w:rsidTr="001907EA">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lastRenderedPageBreak/>
              <w:t>3</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Իրավունքների պաշտպանություն առանց սահմանների ՀԿ</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03.05.2023 22:55:55</w:t>
            </w:r>
          </w:p>
        </w:tc>
        <w:tc>
          <w:tcPr>
            <w:tcW w:w="4883" w:type="dxa"/>
            <w:tcBorders>
              <w:top w:val="single" w:sz="1" w:space="0" w:color="000000"/>
              <w:left w:val="single" w:sz="1" w:space="0" w:color="000000"/>
              <w:bottom w:val="single" w:sz="1" w:space="0" w:color="000000"/>
              <w:right w:val="single" w:sz="1" w:space="0" w:color="000000"/>
            </w:tcBorders>
          </w:tcPr>
          <w:p w:rsidR="000D6DF0" w:rsidRPr="009462FE" w:rsidRDefault="000D6DF0"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b/>
                <w:bCs/>
                <w:color w:val="000000"/>
                <w:sz w:val="24"/>
                <w:szCs w:val="24"/>
              </w:rPr>
              <w:t>1)</w:t>
            </w:r>
            <w:r w:rsidRPr="009462FE">
              <w:rPr>
                <w:rFonts w:ascii="GHEA Grapalat" w:eastAsia="GHEA Grapalat" w:hAnsi="GHEA Grapalat" w:cs="GHEA Grapalat"/>
                <w:color w:val="000000"/>
                <w:sz w:val="24"/>
                <w:szCs w:val="24"/>
              </w:rPr>
              <w:t xml:space="preserve">Նախագծի հոդված 3-ով նախատեսվում է  Օրենսգրքի 25-րդ հոդվածը լրացնել հետևյալ բովանդակությամբ նոր 3.2-րդ մասով. «3.2. Դատարանը գործը հանձնում է վարչական դատարանի քննությանը, եթե գործը քննելիս պարզվել է, որ այն ենթակա է քննության վարչական դատարանում»: Անհրաժեշտ է հայցադիմումը վարույթ ընդունելու փուլում ևս վերահասցեագրման հնարավորությունը նախատեսել այն </w:t>
            </w:r>
            <w:r w:rsidRPr="009462FE">
              <w:rPr>
                <w:rFonts w:ascii="GHEA Grapalat" w:eastAsia="GHEA Grapalat" w:hAnsi="GHEA Grapalat" w:cs="GHEA Grapalat"/>
                <w:color w:val="000000"/>
                <w:sz w:val="24"/>
                <w:szCs w:val="24"/>
              </w:rPr>
              <w:lastRenderedPageBreak/>
              <w:t>դեպքերի համար, երբ ակնհայտ է, որ վեճը ունի հանրային բնույթ/ սահմանելով նաև նման որոշումների կայացման համար հստակ ժամկետ։ Միևնույն ժամանակ</w:t>
            </w:r>
            <w:r w:rsidR="00EC069B" w:rsidRPr="009462FE">
              <w:rPr>
                <w:rFonts w:ascii="GHEA Grapalat" w:eastAsia="GHEA Grapalat" w:hAnsi="GHEA Grapalat" w:cs="GHEA Grapalat"/>
                <w:color w:val="000000"/>
                <w:sz w:val="24"/>
                <w:szCs w:val="24"/>
              </w:rPr>
              <w:t>,</w:t>
            </w:r>
            <w:r w:rsidRPr="009462FE">
              <w:rPr>
                <w:rFonts w:ascii="GHEA Grapalat" w:eastAsia="GHEA Grapalat" w:hAnsi="GHEA Grapalat" w:cs="GHEA Grapalat"/>
                <w:color w:val="000000"/>
                <w:sz w:val="24"/>
                <w:szCs w:val="24"/>
              </w:rPr>
              <w:t xml:space="preserve"> Վարչական դատարվարության օրենսգրքում՝ Քաղաքացիական դատավարության օրենսգրքի համանմանությամբ սահմանել Ընդդատության և ենթակայության մասին վեճերով Վճռաբեկ դատարանին դիմելու ընթացակարգ։ </w:t>
            </w:r>
          </w:p>
          <w:p w:rsidR="000D6DF0" w:rsidRPr="009462FE" w:rsidRDefault="000D6DF0" w:rsidP="009462FE">
            <w:pPr>
              <w:spacing w:line="276" w:lineRule="auto"/>
              <w:jc w:val="both"/>
              <w:rPr>
                <w:rFonts w:ascii="GHEA Grapalat" w:eastAsia="GHEA Grapalat" w:hAnsi="GHEA Grapalat" w:cs="GHEA Grapalat"/>
                <w:color w:val="000000"/>
                <w:sz w:val="24"/>
                <w:szCs w:val="24"/>
              </w:rPr>
            </w:pPr>
          </w:p>
          <w:p w:rsidR="000D6DF0" w:rsidRPr="009462FE" w:rsidRDefault="000D6DF0"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b/>
                <w:bCs/>
                <w:color w:val="000000"/>
                <w:sz w:val="24"/>
                <w:szCs w:val="24"/>
              </w:rPr>
              <w:t>2)</w:t>
            </w:r>
            <w:r w:rsidRPr="009462FE">
              <w:rPr>
                <w:rFonts w:ascii="GHEA Grapalat" w:eastAsia="GHEA Grapalat" w:hAnsi="GHEA Grapalat" w:cs="GHEA Grapalat"/>
                <w:color w:val="000000"/>
                <w:sz w:val="24"/>
                <w:szCs w:val="24"/>
              </w:rPr>
              <w:t xml:space="preserve">Նախագծի 11-րդ հոդվածով նախատեսվում է Օրենսգրքի 93-րդ հոդվածի 2-րդ և 3-րդ մասերը շարադրել հետևյալ խմբագրությամբ. 2. Գործին մասնակցող անձի կողմից իր ներկայացուցչին ծանուցելու վերաբերյալ դիմում ներկայացվելու կամ լիազորագրում նման լիազորության </w:t>
            </w:r>
            <w:r w:rsidRPr="009462FE">
              <w:rPr>
                <w:rFonts w:ascii="GHEA Grapalat" w:eastAsia="GHEA Grapalat" w:hAnsi="GHEA Grapalat" w:cs="GHEA Grapalat"/>
                <w:color w:val="000000"/>
                <w:sz w:val="24"/>
                <w:szCs w:val="24"/>
              </w:rPr>
              <w:lastRenderedPageBreak/>
              <w:t xml:space="preserve">առկայության դեպքում դատարանի հայեցողությամբ ծանուցվում է գործին մասնակցող անձը կամ նրա ներկայացուցիչը: Առաջարկում ենք կարգավորումը վերացնել, կամ փոփոխել հետևյալ կերպ, ծանուցվում է գործին մասնակցող անձի ներկայացուցիչը, իսկ գործին մասնակցող անձը՝ Դատարանի հայեցողությամբ։ Հակառակ դեպքում պրակտիկայում կստացվի իրավիճակ, երբ դատարանը որոշի իր հայեցողությամբ ծանուցել գործին մասնակցող անձին և ոչ թե ներկայացուցչին՝ նման դիմումի կամ լիազորագրում նշման պայմաններում, և հաշվարկի դատավարական ժամկետներ գործին մասնակցող անձի կողմից դատավարական փաստաթուղթը ստանալու պահից սկսած, ինչի արդյունքում կողմը հետագայում կրի վնաս։   </w:t>
            </w:r>
          </w:p>
          <w:p w:rsidR="000D6DF0" w:rsidRPr="009462FE" w:rsidRDefault="000D6DF0" w:rsidP="009462FE">
            <w:pPr>
              <w:spacing w:line="276" w:lineRule="auto"/>
              <w:jc w:val="both"/>
              <w:rPr>
                <w:rFonts w:ascii="GHEA Grapalat" w:eastAsia="GHEA Grapalat" w:hAnsi="GHEA Grapalat" w:cs="GHEA Grapalat"/>
                <w:color w:val="000000"/>
                <w:sz w:val="24"/>
                <w:szCs w:val="24"/>
              </w:rPr>
            </w:pPr>
          </w:p>
          <w:p w:rsidR="00BB45D7" w:rsidRPr="009462FE" w:rsidRDefault="000D6DF0" w:rsidP="009462FE">
            <w:pPr>
              <w:spacing w:line="276" w:lineRule="auto"/>
              <w:jc w:val="both"/>
              <w:rPr>
                <w:rFonts w:ascii="GHEA Grapalat" w:hAnsi="GHEA Grapalat"/>
                <w:sz w:val="24"/>
                <w:szCs w:val="24"/>
              </w:rPr>
            </w:pPr>
            <w:r w:rsidRPr="009462FE">
              <w:rPr>
                <w:rFonts w:ascii="GHEA Grapalat" w:eastAsia="GHEA Grapalat" w:hAnsi="GHEA Grapalat" w:cs="GHEA Grapalat"/>
                <w:b/>
                <w:bCs/>
                <w:color w:val="000000"/>
                <w:sz w:val="24"/>
                <w:szCs w:val="24"/>
              </w:rPr>
              <w:t>3)</w:t>
            </w:r>
            <w:r w:rsidRPr="009462FE">
              <w:rPr>
                <w:rFonts w:ascii="GHEA Grapalat" w:eastAsia="GHEA Grapalat" w:hAnsi="GHEA Grapalat" w:cs="GHEA Grapalat"/>
                <w:color w:val="000000"/>
                <w:sz w:val="24"/>
                <w:szCs w:val="24"/>
              </w:rPr>
              <w:t xml:space="preserve">Նախագծի հոդված 14-ով </w:t>
            </w:r>
            <w:r w:rsidRPr="009462FE">
              <w:rPr>
                <w:rFonts w:ascii="GHEA Grapalat" w:eastAsia="GHEA Grapalat" w:hAnsi="GHEA Grapalat" w:cs="GHEA Grapalat"/>
                <w:color w:val="000000"/>
                <w:sz w:val="24"/>
                <w:szCs w:val="24"/>
              </w:rPr>
              <w:lastRenderedPageBreak/>
              <w:t xml:space="preserve">նախատեսվում է Օրենսգրքի 97-րդ հոդվածը լրացնել նոր 4.1-րդ մասով՝ հետևյալ բովանդակությամբ. «4.1. Դատական ծանուցագիրը հեռախոսակապի կամ ինտերնետ կապի կիրառմամբ ուղարկելը կամ այդ մասին հաղորդելը հնարավոր է, եթե կողմն ինքն է դատարանին տրամադրել իր հեռախոսահամարը: Այդ դեպքում նշված հեռախոսահամարին ուղարկված կամ հաղորդած ցանկացած տեղեկություն համարվում է ընդունված կամ ստացված հասցեատիրոջ կողմից: Հեռախոսակապի միջոցով իրականացված ծանուցումը պատշաճ է համարվում, եթե առկա է դատական ծանուցագրի հաղորդագրությունն ուղարկելու և այն հասցեատիրոջ կողմից ստացվելու փաստը հաստատելու հնարավորություն, իսկ հեռախոսային խոսակցության դեպքում՝ դրա բովանդակության մասին ձայնագրություն»: Առաջարկում ենք </w:t>
            </w:r>
            <w:r w:rsidRPr="009462FE">
              <w:rPr>
                <w:rFonts w:ascii="GHEA Grapalat" w:eastAsia="GHEA Grapalat" w:hAnsi="GHEA Grapalat" w:cs="GHEA Grapalat"/>
                <w:color w:val="000000"/>
                <w:sz w:val="24"/>
                <w:szCs w:val="24"/>
              </w:rPr>
              <w:lastRenderedPageBreak/>
              <w:t>հստակեցնել նախատեսվող փոփոխությունը՝ Դատական ծանուցագիրը հեռախոսակապի կամ ինտերնետ կապի կիրառմամբ ուղարկելը կամ այդ մասին հաղորդելը հնարավոր է, եթե կողմն ինքը միջնորդել/ խնդրել է իրեն ծանուցել նշված հեռախոսահամարով։ Հակառակ դեպքում, եթե օրինակ կազմակերպության տարբերանշանը, էլ</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հասցեն, հեռախոսահամարը ունեցող ձևաթղթի վրա տպվել է դատավարական փաստաթուղթը, նշվածը կարող է մեխանիկորեն հիմք հանդիսանալ անձին ծանուցելու և ծանուցումը պատշաճ համարելու համար։</w:t>
            </w:r>
          </w:p>
        </w:tc>
        <w:tc>
          <w:tcPr>
            <w:tcW w:w="1721" w:type="dxa"/>
            <w:tcBorders>
              <w:top w:val="single" w:sz="1" w:space="0" w:color="000000"/>
              <w:left w:val="single" w:sz="1" w:space="0" w:color="000000"/>
              <w:bottom w:val="single" w:sz="1" w:space="0" w:color="000000"/>
              <w:right w:val="single" w:sz="1" w:space="0" w:color="000000"/>
            </w:tcBorders>
          </w:tcPr>
          <w:p w:rsidR="00EC069B" w:rsidRPr="009462FE" w:rsidRDefault="00EC069B" w:rsidP="009462FE">
            <w:pPr>
              <w:spacing w:line="276" w:lineRule="auto"/>
              <w:jc w:val="both"/>
              <w:rPr>
                <w:rFonts w:ascii="GHEA Grapalat" w:hAnsi="GHEA Grapalat"/>
                <w:sz w:val="24"/>
                <w:szCs w:val="24"/>
              </w:rPr>
            </w:pPr>
          </w:p>
          <w:p w:rsidR="00EC069B" w:rsidRPr="009462FE" w:rsidRDefault="00EC069B" w:rsidP="009462FE">
            <w:pPr>
              <w:pStyle w:val="ListParagraph"/>
              <w:numPr>
                <w:ilvl w:val="0"/>
                <w:numId w:val="1"/>
              </w:numPr>
              <w:spacing w:line="276" w:lineRule="auto"/>
              <w:ind w:left="766" w:right="142" w:hanging="429"/>
              <w:jc w:val="both"/>
              <w:rPr>
                <w:rFonts w:ascii="GHEA Grapalat" w:hAnsi="GHEA Grapalat"/>
                <w:sz w:val="24"/>
                <w:szCs w:val="24"/>
              </w:rPr>
            </w:pPr>
            <w:r w:rsidRPr="009462FE">
              <w:rPr>
                <w:rFonts w:ascii="GHEA Grapalat" w:hAnsi="GHEA Grapalat"/>
                <w:sz w:val="24"/>
                <w:szCs w:val="24"/>
              </w:rPr>
              <w:t>Ընդունվել է մասնակի:</w:t>
            </w:r>
          </w:p>
          <w:p w:rsidR="00EC069B" w:rsidRPr="009462FE" w:rsidRDefault="00EC069B" w:rsidP="009462FE">
            <w:pPr>
              <w:pStyle w:val="ListParagraph"/>
              <w:numPr>
                <w:ilvl w:val="0"/>
                <w:numId w:val="1"/>
              </w:numPr>
              <w:spacing w:line="276" w:lineRule="auto"/>
              <w:ind w:left="766" w:right="142" w:hanging="429"/>
              <w:jc w:val="both"/>
              <w:rPr>
                <w:rFonts w:ascii="GHEA Grapalat" w:hAnsi="GHEA Grapalat"/>
                <w:sz w:val="24"/>
                <w:szCs w:val="24"/>
              </w:rPr>
            </w:pPr>
            <w:r w:rsidRPr="009462FE">
              <w:rPr>
                <w:rFonts w:ascii="GHEA Grapalat" w:hAnsi="GHEA Grapalat"/>
                <w:sz w:val="24"/>
                <w:szCs w:val="24"/>
              </w:rPr>
              <w:t>Ընդունվել է մասնակի:</w:t>
            </w:r>
          </w:p>
          <w:p w:rsidR="00334C09" w:rsidRPr="009462FE" w:rsidRDefault="00334C09" w:rsidP="009462FE">
            <w:pPr>
              <w:pStyle w:val="ListParagraph"/>
              <w:numPr>
                <w:ilvl w:val="0"/>
                <w:numId w:val="1"/>
              </w:numPr>
              <w:spacing w:line="276" w:lineRule="auto"/>
              <w:ind w:left="766" w:right="142" w:hanging="429"/>
              <w:jc w:val="both"/>
              <w:rPr>
                <w:rFonts w:ascii="GHEA Grapalat" w:hAnsi="GHEA Grapalat"/>
                <w:sz w:val="24"/>
                <w:szCs w:val="24"/>
              </w:rPr>
            </w:pPr>
            <w:r w:rsidRPr="009462FE">
              <w:rPr>
                <w:rFonts w:ascii="GHEA Grapalat" w:hAnsi="GHEA Grapalat"/>
                <w:sz w:val="24"/>
                <w:szCs w:val="24"/>
              </w:rPr>
              <w:t>Ընդունվել է:</w:t>
            </w:r>
          </w:p>
        </w:tc>
        <w:tc>
          <w:tcPr>
            <w:tcW w:w="4699" w:type="dxa"/>
            <w:tcBorders>
              <w:top w:val="single" w:sz="1" w:space="0" w:color="000000"/>
              <w:left w:val="single" w:sz="1" w:space="0" w:color="000000"/>
              <w:bottom w:val="single" w:sz="1" w:space="0" w:color="000000"/>
              <w:right w:val="single" w:sz="1" w:space="0" w:color="000000"/>
            </w:tcBorders>
          </w:tcPr>
          <w:p w:rsidR="00BB45D7" w:rsidRPr="009462FE" w:rsidRDefault="00EC069B" w:rsidP="009462FE">
            <w:pPr>
              <w:pStyle w:val="ListParagraph"/>
              <w:numPr>
                <w:ilvl w:val="0"/>
                <w:numId w:val="2"/>
              </w:numPr>
              <w:spacing w:line="276" w:lineRule="auto"/>
              <w:ind w:left="66" w:firstLine="294"/>
              <w:jc w:val="both"/>
              <w:rPr>
                <w:rFonts w:ascii="GHEA Grapalat" w:hAnsi="GHEA Grapalat"/>
                <w:sz w:val="24"/>
                <w:szCs w:val="24"/>
              </w:rPr>
            </w:pPr>
            <w:r w:rsidRPr="009462FE">
              <w:rPr>
                <w:rFonts w:ascii="GHEA Grapalat" w:hAnsi="GHEA Grapalat"/>
                <w:sz w:val="24"/>
                <w:szCs w:val="24"/>
              </w:rPr>
              <w:t>Նշված հոդվածը նախագծից հանվել է:</w:t>
            </w:r>
          </w:p>
          <w:p w:rsidR="00EC069B" w:rsidRPr="009462FE" w:rsidRDefault="00EC069B" w:rsidP="009462FE">
            <w:pPr>
              <w:pStyle w:val="ListParagraph"/>
              <w:numPr>
                <w:ilvl w:val="0"/>
                <w:numId w:val="2"/>
              </w:numPr>
              <w:spacing w:line="276" w:lineRule="auto"/>
              <w:ind w:left="66" w:firstLine="294"/>
              <w:jc w:val="both"/>
              <w:rPr>
                <w:rFonts w:ascii="GHEA Grapalat" w:hAnsi="GHEA Grapalat"/>
                <w:sz w:val="24"/>
                <w:szCs w:val="24"/>
                <w:lang w:val="hy-AM"/>
              </w:rPr>
            </w:pPr>
            <w:r w:rsidRPr="009462FE">
              <w:rPr>
                <w:rFonts w:ascii="GHEA Grapalat" w:hAnsi="GHEA Grapalat"/>
                <w:sz w:val="24"/>
                <w:szCs w:val="24"/>
              </w:rPr>
              <w:t>Հոդվածը խմբագրվել է: Միևնույն ժամանակ, հարկ է նշել, որ ն</w:t>
            </w:r>
            <w:r w:rsidRPr="009462FE">
              <w:rPr>
                <w:rFonts w:ascii="GHEA Grapalat" w:hAnsi="GHEA Grapalat"/>
                <w:color w:val="000000"/>
                <w:sz w:val="24"/>
                <w:szCs w:val="24"/>
                <w:lang w:val="hy-AM"/>
              </w:rPr>
              <w:t xml:space="preserve">շված կարգավորումը բխում է պրակտիկայում առացացած այն խնդրից ըստ որի այն դեպքում երբ ՔԴՕ 93-րդ հոդվածի 2-րդ մասի կանոնի համապատասխան դիմումը կամ լիազորագիրը առկա է, սակայն </w:t>
            </w:r>
            <w:r w:rsidR="005A0740" w:rsidRPr="009462FE">
              <w:rPr>
                <w:rFonts w:ascii="GHEA Grapalat" w:hAnsi="GHEA Grapalat"/>
                <w:color w:val="000000"/>
                <w:sz w:val="24"/>
                <w:szCs w:val="24"/>
                <w:lang w:val="hy-AM"/>
              </w:rPr>
              <w:t>դ</w:t>
            </w:r>
            <w:r w:rsidRPr="009462FE">
              <w:rPr>
                <w:rFonts w:ascii="GHEA Grapalat" w:hAnsi="GHEA Grapalat"/>
                <w:color w:val="000000"/>
                <w:sz w:val="24"/>
                <w:szCs w:val="24"/>
                <w:lang w:val="hy-AM"/>
              </w:rPr>
              <w:t xml:space="preserve">ատարանը ծանուցագիրը ուղարկել է գործին մասնակցող անձին, ապա </w:t>
            </w:r>
            <w:r w:rsidRPr="009462FE">
              <w:rPr>
                <w:rFonts w:ascii="GHEA Grapalat" w:hAnsi="GHEA Grapalat"/>
                <w:color w:val="000000"/>
                <w:sz w:val="24"/>
                <w:szCs w:val="24"/>
                <w:lang w:val="hy-AM"/>
              </w:rPr>
              <w:lastRenderedPageBreak/>
              <w:t>արդյոք դա կհամարվի պատշաճ ծանուցում, թե ոչ: Այսինքն, կարող են լինել դեպքեր, երբ լիազորությունը առկա է, սակայն ներկայացուցիչը գործի քննության ընթացքում չի ծանուցվում (երկրում չլինելու, հասցեն փոփոխված լինելու և այլ հիմքով), արդյունքում «ծանուցվում է միայն ներկայացուցիչը» արտահայտության կիրառման պայմաններում ստացվում է, որ գործին մասնակցող անձին ծանուցելու իրավունք դատարանը չունի, իսկ ներկայացուցչի նկատմամբ «Դատական ծանուցումները..» 9-րդ գլխի կանոնները կիրառելի չեն և արդյունքում դատարանը հայտնվում է փակուղու առջև:</w:t>
            </w:r>
            <w:r w:rsidRPr="009462FE">
              <w:rPr>
                <w:rStyle w:val="FootnoteReference"/>
                <w:rFonts w:ascii="GHEA Grapalat" w:hAnsi="GHEA Grapalat"/>
                <w:color w:val="000000"/>
                <w:sz w:val="24"/>
                <w:szCs w:val="24"/>
              </w:rPr>
              <w:footnoteReference w:id="1"/>
            </w:r>
          </w:p>
          <w:p w:rsidR="00334C09" w:rsidRPr="009462FE" w:rsidRDefault="00334C09" w:rsidP="009462FE">
            <w:pPr>
              <w:pStyle w:val="ListParagraph"/>
              <w:numPr>
                <w:ilvl w:val="0"/>
                <w:numId w:val="2"/>
              </w:numPr>
              <w:spacing w:line="276" w:lineRule="auto"/>
              <w:ind w:left="66" w:firstLine="294"/>
              <w:jc w:val="both"/>
              <w:rPr>
                <w:rFonts w:ascii="GHEA Grapalat" w:hAnsi="GHEA Grapalat"/>
                <w:sz w:val="24"/>
                <w:szCs w:val="24"/>
                <w:lang w:val="hy-AM"/>
              </w:rPr>
            </w:pPr>
            <w:r w:rsidRPr="009462FE">
              <w:rPr>
                <w:rFonts w:ascii="GHEA Grapalat" w:hAnsi="GHEA Grapalat"/>
                <w:sz w:val="24"/>
                <w:szCs w:val="24"/>
                <w:lang w:val="hy-AM"/>
              </w:rPr>
              <w:t>Նախագծում կատարվել է համապատասխան փոփոխություն:</w:t>
            </w:r>
          </w:p>
        </w:tc>
      </w:tr>
      <w:tr w:rsidR="005A0740" w:rsidRPr="009462FE" w:rsidTr="001A73B2">
        <w:trPr>
          <w:trHeight w:val="1274"/>
        </w:trPr>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lastRenderedPageBreak/>
              <w:t>4</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Տիգրան Ստեփանյան</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02.05.2023 13:04:30</w:t>
            </w:r>
          </w:p>
        </w:tc>
        <w:tc>
          <w:tcPr>
            <w:tcW w:w="4883" w:type="dxa"/>
            <w:tcBorders>
              <w:top w:val="single" w:sz="1" w:space="0" w:color="000000"/>
              <w:left w:val="single" w:sz="1" w:space="0" w:color="000000"/>
              <w:bottom w:val="single" w:sz="1" w:space="0" w:color="000000"/>
              <w:right w:val="single" w:sz="1" w:space="0" w:color="000000"/>
            </w:tcBorders>
          </w:tcPr>
          <w:p w:rsidR="001A73B2" w:rsidRPr="009462FE" w:rsidRDefault="001A73B2" w:rsidP="009462FE">
            <w:pPr>
              <w:spacing w:line="276" w:lineRule="auto"/>
              <w:jc w:val="both"/>
              <w:rPr>
                <w:rFonts w:ascii="GHEA Grapalat" w:eastAsia="GHEA Grapalat" w:hAnsi="GHEA Grapalat" w:cs="GHEA Grapalat"/>
                <w:b/>
                <w:bCs/>
                <w:color w:val="000000"/>
                <w:sz w:val="24"/>
                <w:szCs w:val="24"/>
              </w:rPr>
            </w:pPr>
            <w:r w:rsidRPr="009462FE">
              <w:rPr>
                <w:rFonts w:ascii="GHEA Grapalat" w:eastAsia="GHEA Grapalat" w:hAnsi="GHEA Grapalat" w:cs="GHEA Grapalat"/>
                <w:b/>
                <w:bCs/>
                <w:color w:val="000000"/>
                <w:sz w:val="24"/>
                <w:szCs w:val="24"/>
              </w:rPr>
              <w:t>1)</w:t>
            </w:r>
          </w:p>
          <w:p w:rsidR="001A73B2" w:rsidRPr="009462FE" w:rsidRDefault="00447112"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color w:val="000000"/>
                <w:sz w:val="24"/>
                <w:szCs w:val="24"/>
              </w:rPr>
              <w:t>Նախագծի 6-րդ հոդվածի 1</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2 կետ</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Նկատի ունենալով &lt;&lt;Նորմատիվ իրավական ակտերի մասին&gt;&gt; ՀՀ օրենքի 16-րդ հոդվածի 6-րդ մասի կարգավորումը՝ առաջարկվում է </w:t>
            </w:r>
            <w:r w:rsidRPr="009462FE">
              <w:rPr>
                <w:rFonts w:ascii="GHEA Grapalat" w:eastAsia="GHEA Grapalat" w:hAnsi="GHEA Grapalat" w:cs="GHEA Grapalat"/>
                <w:color w:val="000000"/>
                <w:sz w:val="24"/>
                <w:szCs w:val="24"/>
              </w:rPr>
              <w:lastRenderedPageBreak/>
              <w:t>նախագծի 6-րդ հոդվածի 1</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2 կետը շարադրել հետևյալ կերպ</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«1.2. Վեճի առարկայի նկատմամբ ինքնուրույն պահանջներ ներկայացնող երրորդ անձի հայցադիմումը առաջին ատյանի դատարանն ընդունում է վարույթ, եթե` պահանջը ներկայացվել է վեճի առարկայի նկատմամբ և հայցի և գործով քննվող պահանջների համատեղ քննությունը կարող է ապահովել գործի առավել արագ և արդյունավետ լուծումը:»: Հակառակ դեպքում դատարանը կարող է իր հայեցողությամբ վարույթ ընդունել երրորդ անձի այնպիսի հայցադիմում, որն առհասարակ որևէ առնչություն չունի սկզբնական հայցի առարկայի հետ։  </w:t>
            </w:r>
          </w:p>
          <w:p w:rsidR="001A73B2" w:rsidRPr="009462FE" w:rsidRDefault="001A73B2" w:rsidP="009462FE">
            <w:pPr>
              <w:spacing w:line="276" w:lineRule="auto"/>
              <w:jc w:val="both"/>
              <w:rPr>
                <w:rFonts w:ascii="GHEA Grapalat" w:eastAsia="GHEA Grapalat" w:hAnsi="GHEA Grapalat" w:cs="GHEA Grapalat"/>
                <w:color w:val="000000"/>
                <w:sz w:val="24"/>
                <w:szCs w:val="24"/>
              </w:rPr>
            </w:pPr>
          </w:p>
          <w:p w:rsidR="001A73B2" w:rsidRPr="009462FE" w:rsidRDefault="001A73B2"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b/>
                <w:bCs/>
                <w:color w:val="000000"/>
                <w:sz w:val="24"/>
                <w:szCs w:val="24"/>
              </w:rPr>
              <w:t>2)</w:t>
            </w:r>
            <w:r w:rsidRPr="009462FE">
              <w:rPr>
                <w:rFonts w:ascii="GHEA Grapalat" w:eastAsia="GHEA Grapalat" w:hAnsi="GHEA Grapalat" w:cs="GHEA Grapalat"/>
                <w:color w:val="000000"/>
                <w:sz w:val="24"/>
                <w:szCs w:val="24"/>
              </w:rPr>
              <w:t>Նախագծի 10-րդ հոդված</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Առաջարկվում է կետն առհասարակ հանել, քանի որ  «և օրենքով </w:t>
            </w:r>
            <w:r w:rsidRPr="009462FE">
              <w:rPr>
                <w:rFonts w:ascii="GHEA Grapalat" w:eastAsia="GHEA Grapalat" w:hAnsi="GHEA Grapalat" w:cs="GHEA Grapalat"/>
                <w:color w:val="000000"/>
                <w:sz w:val="24"/>
                <w:szCs w:val="24"/>
              </w:rPr>
              <w:lastRenderedPageBreak/>
              <w:t xml:space="preserve">սահմանված այլ» եզրույթի ներմուծումը փաստորեն սողանցք է ստեղծում շահագրգիռ մարմիններին պարզ ժխտման ապացուցման բեռը դնել ժխտող կողմի վրա։  </w:t>
            </w:r>
          </w:p>
          <w:p w:rsidR="001A73B2" w:rsidRPr="009462FE" w:rsidRDefault="001A73B2" w:rsidP="009462FE">
            <w:pPr>
              <w:spacing w:line="276" w:lineRule="auto"/>
              <w:jc w:val="both"/>
              <w:rPr>
                <w:rFonts w:ascii="GHEA Grapalat" w:eastAsia="GHEA Grapalat" w:hAnsi="GHEA Grapalat" w:cs="GHEA Grapalat"/>
                <w:color w:val="000000"/>
                <w:sz w:val="24"/>
                <w:szCs w:val="24"/>
              </w:rPr>
            </w:pPr>
          </w:p>
          <w:p w:rsidR="001A73B2" w:rsidRPr="009462FE" w:rsidRDefault="001A73B2"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b/>
                <w:bCs/>
                <w:color w:val="000000"/>
                <w:sz w:val="24"/>
                <w:szCs w:val="24"/>
              </w:rPr>
              <w:t xml:space="preserve">3) </w:t>
            </w:r>
            <w:r w:rsidRPr="009462FE">
              <w:rPr>
                <w:rFonts w:ascii="GHEA Grapalat" w:eastAsia="GHEA Grapalat" w:hAnsi="GHEA Grapalat" w:cs="GHEA Grapalat"/>
                <w:color w:val="000000"/>
                <w:sz w:val="24"/>
                <w:szCs w:val="24"/>
              </w:rPr>
              <w:t>Նախագծի 17-րդ հոդված</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Նախագծի 17-րդ հոդվածում նշված է՝ &lt;&lt;Օրենսգրքի 108-րդ հոդվածի 1-ին մասը շարադրել հետևյալ խմբագրությամբ. «1. Դատական ծախսերի հետ կապված պահանջները ներկայացվում են բացառապես տվյալ գործի շրջանակներում՝ գրավոր միջնորդության տեսքով: Նման պահանջից հրաժարվելու կամ այդ կարգը չպահպանելու դեպքում դատական ծախսերի հատուցման հարցը համարվում է լուծված:»: Առաջարկվում է &lt;&lt;գրավոր միջնորդության տեսքով&gt;&gt; բառերից հետո ավելացնել &lt;&lt;կամ հայցադիմումի մեջ&gt;&gt; բառակապակցությունը, քանի որ </w:t>
            </w:r>
            <w:r w:rsidRPr="009462FE">
              <w:rPr>
                <w:rFonts w:ascii="GHEA Grapalat" w:eastAsia="GHEA Grapalat" w:hAnsi="GHEA Grapalat" w:cs="GHEA Grapalat"/>
                <w:color w:val="000000"/>
                <w:sz w:val="24"/>
                <w:szCs w:val="24"/>
              </w:rPr>
              <w:lastRenderedPageBreak/>
              <w:t xml:space="preserve">դատական ծախսերի հատուցման պահանջը առանձին տողով կարող է ներառվել հենց հայցադիմումի մեջ։  </w:t>
            </w:r>
          </w:p>
          <w:p w:rsidR="001A73B2" w:rsidRPr="009462FE" w:rsidRDefault="001A73B2" w:rsidP="009462FE">
            <w:pPr>
              <w:spacing w:line="276" w:lineRule="auto"/>
              <w:jc w:val="both"/>
              <w:rPr>
                <w:rFonts w:ascii="GHEA Grapalat" w:eastAsia="GHEA Grapalat" w:hAnsi="GHEA Grapalat" w:cs="GHEA Grapalat"/>
                <w:color w:val="000000"/>
                <w:sz w:val="24"/>
                <w:szCs w:val="24"/>
              </w:rPr>
            </w:pPr>
          </w:p>
          <w:p w:rsidR="001A73B2" w:rsidRPr="009462FE" w:rsidRDefault="001A73B2"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b/>
                <w:bCs/>
                <w:color w:val="000000"/>
                <w:sz w:val="24"/>
                <w:szCs w:val="24"/>
              </w:rPr>
              <w:t xml:space="preserve">4) </w:t>
            </w:r>
            <w:r w:rsidRPr="009462FE">
              <w:rPr>
                <w:rFonts w:ascii="GHEA Grapalat" w:eastAsia="GHEA Grapalat" w:hAnsi="GHEA Grapalat" w:cs="GHEA Grapalat"/>
                <w:color w:val="000000"/>
                <w:sz w:val="24"/>
                <w:szCs w:val="24"/>
              </w:rPr>
              <w:t>Նախագծի 20-րդ հոդվածի 3-րդ մաս</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առաջարկվում է 3-րդ մասն առհասարակ հանել, քանի որ այն ակնհայտ հակասում է դատարանի չեզոքության սկզբունքին։ Ծայրահեղ դեպքում &lt;&lt;իր նախառեձնությամբ&gt;&gt; բառակապացությունը փոխարիենել &lt;&lt;դատավարության կողմի գրավոր միջնորդությամբ&gt;&gt; բառակապացությամբ։  </w:t>
            </w:r>
          </w:p>
          <w:p w:rsidR="001A73B2" w:rsidRPr="009462FE" w:rsidRDefault="001A73B2" w:rsidP="009462FE">
            <w:pPr>
              <w:spacing w:line="276" w:lineRule="auto"/>
              <w:jc w:val="both"/>
              <w:rPr>
                <w:rFonts w:ascii="GHEA Grapalat" w:eastAsia="GHEA Grapalat" w:hAnsi="GHEA Grapalat" w:cs="GHEA Grapalat"/>
                <w:color w:val="000000"/>
                <w:sz w:val="24"/>
                <w:szCs w:val="24"/>
              </w:rPr>
            </w:pPr>
          </w:p>
          <w:p w:rsidR="009474D5" w:rsidRPr="009462FE" w:rsidRDefault="001A73B2"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b/>
                <w:bCs/>
                <w:color w:val="000000"/>
                <w:sz w:val="24"/>
                <w:szCs w:val="24"/>
              </w:rPr>
              <w:t>5</w:t>
            </w:r>
            <w:r w:rsidR="000D6DF0" w:rsidRPr="009462FE">
              <w:rPr>
                <w:rFonts w:ascii="GHEA Grapalat" w:eastAsia="GHEA Grapalat" w:hAnsi="GHEA Grapalat" w:cs="GHEA Grapalat"/>
                <w:b/>
                <w:bCs/>
                <w:color w:val="000000"/>
                <w:sz w:val="24"/>
                <w:szCs w:val="24"/>
              </w:rPr>
              <w:t>)</w:t>
            </w:r>
            <w:r w:rsidRPr="009462FE">
              <w:rPr>
                <w:rFonts w:ascii="GHEA Grapalat" w:eastAsia="GHEA Grapalat" w:hAnsi="GHEA Grapalat" w:cs="GHEA Grapalat"/>
                <w:color w:val="000000"/>
                <w:sz w:val="24"/>
                <w:szCs w:val="24"/>
              </w:rPr>
              <w:t>Նախագծի 25-րդ հոդվածի 3-րդ մաս</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Պարզաբանել դատավարական ժամկետների հարցը, ինչպես է լուծվելու հայցային վաղեմության ժամկետի հոսքի հարցը։  </w:t>
            </w:r>
          </w:p>
          <w:p w:rsidR="009474D5" w:rsidRPr="009462FE" w:rsidRDefault="009474D5" w:rsidP="009462FE">
            <w:pPr>
              <w:spacing w:line="276" w:lineRule="auto"/>
              <w:jc w:val="both"/>
              <w:rPr>
                <w:rFonts w:ascii="GHEA Grapalat" w:eastAsia="GHEA Grapalat" w:hAnsi="GHEA Grapalat" w:cs="GHEA Grapalat"/>
                <w:color w:val="000000"/>
                <w:sz w:val="24"/>
                <w:szCs w:val="24"/>
              </w:rPr>
            </w:pPr>
          </w:p>
          <w:p w:rsidR="009474D5" w:rsidRPr="009462FE" w:rsidRDefault="00FD6785"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b/>
                <w:bCs/>
                <w:color w:val="000000"/>
                <w:sz w:val="24"/>
                <w:szCs w:val="24"/>
              </w:rPr>
              <w:t>6)</w:t>
            </w:r>
            <w:r w:rsidRPr="009462FE">
              <w:rPr>
                <w:rFonts w:ascii="GHEA Grapalat" w:eastAsia="GHEA Grapalat" w:hAnsi="GHEA Grapalat" w:cs="GHEA Grapalat"/>
                <w:color w:val="000000"/>
                <w:sz w:val="24"/>
                <w:szCs w:val="24"/>
              </w:rPr>
              <w:t xml:space="preserve"> Նախագծի 26-րդ հոդված</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կետն առհասարակ հանել, քանի որ  «և </w:t>
            </w:r>
            <w:r w:rsidRPr="009462FE">
              <w:rPr>
                <w:rFonts w:ascii="GHEA Grapalat" w:eastAsia="GHEA Grapalat" w:hAnsi="GHEA Grapalat" w:cs="GHEA Grapalat"/>
                <w:color w:val="000000"/>
                <w:sz w:val="24"/>
                <w:szCs w:val="24"/>
              </w:rPr>
              <w:lastRenderedPageBreak/>
              <w:t xml:space="preserve">օրենքով սահմանված այլ» եզրույթի ներմուծումը փաստորեն սողանցք է ստեղծում, ինչպես նաև ակնհայտ հակասում է դատարանի չեզոքության սկզբունքին։  </w:t>
            </w:r>
          </w:p>
          <w:p w:rsidR="009474D5" w:rsidRPr="009462FE" w:rsidRDefault="009474D5" w:rsidP="009462FE">
            <w:pPr>
              <w:spacing w:line="276" w:lineRule="auto"/>
              <w:jc w:val="both"/>
              <w:rPr>
                <w:rFonts w:ascii="GHEA Grapalat" w:eastAsia="GHEA Grapalat" w:hAnsi="GHEA Grapalat" w:cs="GHEA Grapalat"/>
                <w:b/>
                <w:bCs/>
                <w:color w:val="000000"/>
                <w:sz w:val="24"/>
                <w:szCs w:val="24"/>
              </w:rPr>
            </w:pPr>
          </w:p>
          <w:p w:rsidR="001A73B2" w:rsidRPr="009462FE" w:rsidRDefault="00E9577A"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b/>
                <w:bCs/>
                <w:color w:val="000000"/>
                <w:sz w:val="24"/>
                <w:szCs w:val="24"/>
              </w:rPr>
              <w:t>7</w:t>
            </w:r>
            <w:r w:rsidR="000D6DF0" w:rsidRPr="009462FE">
              <w:rPr>
                <w:rFonts w:ascii="GHEA Grapalat" w:eastAsia="GHEA Grapalat" w:hAnsi="GHEA Grapalat" w:cs="GHEA Grapalat"/>
                <w:b/>
                <w:bCs/>
                <w:color w:val="000000"/>
                <w:sz w:val="24"/>
                <w:szCs w:val="24"/>
              </w:rPr>
              <w:t>)</w:t>
            </w:r>
            <w:r w:rsidRPr="009462FE">
              <w:rPr>
                <w:rFonts w:ascii="GHEA Grapalat" w:eastAsia="GHEA Grapalat" w:hAnsi="GHEA Grapalat" w:cs="GHEA Grapalat"/>
                <w:color w:val="000000"/>
                <w:sz w:val="24"/>
                <w:szCs w:val="24"/>
              </w:rPr>
              <w:t>Նախագծի 29-րդ հոդված</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Տվյալ հոդվածի համաձայն՝ Օրենսգրքի 135-րդ հոդվածի 6-րդ մասը լրացնել նոր նախադասությամբ հետևյալ բովանդակությամբ. «Հայցագնի չափով գույքի վրա արգելանք դնելու մասին հայցի ապահովման միջոց կիրառված լինելու դեպքում դատարանը կայացնում է հայցի ապահովման միջոցը մասնակի վերացնելու մասին որոշում՝ հակընդդեմ ապահովման չվճարված գումարի չափով:»: Առաջարկվում է &lt;&lt;դատարանը&gt;&gt; բառից հետո ավելացնել &lt;&lt;շահագրգիռ կողմի նախաձեռնությամբ&gt;&gt;։  </w:t>
            </w:r>
          </w:p>
          <w:p w:rsidR="001A73B2" w:rsidRPr="009462FE" w:rsidRDefault="001A73B2" w:rsidP="009462FE">
            <w:pPr>
              <w:spacing w:line="276" w:lineRule="auto"/>
              <w:jc w:val="both"/>
              <w:rPr>
                <w:rFonts w:ascii="GHEA Grapalat" w:eastAsia="GHEA Grapalat" w:hAnsi="GHEA Grapalat" w:cs="GHEA Grapalat"/>
                <w:color w:val="000000"/>
                <w:sz w:val="24"/>
                <w:szCs w:val="24"/>
              </w:rPr>
            </w:pPr>
          </w:p>
          <w:p w:rsidR="001A73B2" w:rsidRPr="009462FE" w:rsidRDefault="00E9577A"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b/>
                <w:bCs/>
                <w:color w:val="000000"/>
                <w:sz w:val="24"/>
                <w:szCs w:val="24"/>
              </w:rPr>
              <w:t>8</w:t>
            </w:r>
            <w:r w:rsidR="000D6DF0" w:rsidRPr="009462FE">
              <w:rPr>
                <w:rFonts w:ascii="GHEA Grapalat" w:eastAsia="GHEA Grapalat" w:hAnsi="GHEA Grapalat" w:cs="GHEA Grapalat"/>
                <w:b/>
                <w:bCs/>
                <w:color w:val="000000"/>
                <w:sz w:val="24"/>
                <w:szCs w:val="24"/>
              </w:rPr>
              <w:t>)</w:t>
            </w:r>
            <w:r w:rsidRPr="009462FE">
              <w:rPr>
                <w:rFonts w:ascii="GHEA Grapalat" w:eastAsia="GHEA Grapalat" w:hAnsi="GHEA Grapalat" w:cs="GHEA Grapalat"/>
                <w:color w:val="000000"/>
                <w:sz w:val="24"/>
                <w:szCs w:val="24"/>
              </w:rPr>
              <w:t xml:space="preserve"> Նախագծի 43-րդ հոդվածի 3-րդ </w:t>
            </w:r>
            <w:r w:rsidRPr="009462FE">
              <w:rPr>
                <w:rFonts w:ascii="GHEA Grapalat" w:eastAsia="GHEA Grapalat" w:hAnsi="GHEA Grapalat" w:cs="GHEA Grapalat"/>
                <w:color w:val="000000"/>
                <w:sz w:val="24"/>
                <w:szCs w:val="24"/>
              </w:rPr>
              <w:lastRenderedPageBreak/>
              <w:t>մաս</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առաջարկվում է հանել &lt;&lt;բացառությամբ այն գործերի, որոնցում սկզբնական հայցի հետ համատեղ քննվում է նաև հակընդդեմ հայց&gt;&gt; մասը, քանի որ պարզ չէ, թե ինչով է տվյալ իրավիճակում գործն առանց քննության չթողնելու տրամաբանությունը։  Նախագծի 43-րդ հոդվածի 4-րդ մաս</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կետն առհասարակ հանել, քանի որ  «և օրենքով սահմանված այլ» եզրույթի ներմուծումը փաստորեն սողանցք է ստեղծում շահագրգիռ մարմինների համար։  </w:t>
            </w:r>
          </w:p>
          <w:p w:rsidR="001A73B2" w:rsidRPr="009462FE" w:rsidRDefault="001A73B2" w:rsidP="009462FE">
            <w:pPr>
              <w:spacing w:line="276" w:lineRule="auto"/>
              <w:jc w:val="both"/>
              <w:rPr>
                <w:rFonts w:ascii="GHEA Grapalat" w:eastAsia="GHEA Grapalat" w:hAnsi="GHEA Grapalat" w:cs="GHEA Grapalat"/>
                <w:color w:val="000000"/>
                <w:sz w:val="24"/>
                <w:szCs w:val="24"/>
              </w:rPr>
            </w:pPr>
          </w:p>
          <w:p w:rsidR="000D6DF0" w:rsidRPr="009462FE" w:rsidRDefault="00E9577A"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b/>
                <w:bCs/>
                <w:color w:val="000000"/>
                <w:sz w:val="24"/>
                <w:szCs w:val="24"/>
              </w:rPr>
              <w:t>9</w:t>
            </w:r>
            <w:r w:rsidR="000D6DF0" w:rsidRPr="009462FE">
              <w:rPr>
                <w:rFonts w:ascii="GHEA Grapalat" w:eastAsia="GHEA Grapalat" w:hAnsi="GHEA Grapalat" w:cs="GHEA Grapalat"/>
                <w:b/>
                <w:bCs/>
                <w:color w:val="000000"/>
                <w:sz w:val="24"/>
                <w:szCs w:val="24"/>
              </w:rPr>
              <w:t>)</w:t>
            </w:r>
            <w:r w:rsidRPr="009462FE">
              <w:rPr>
                <w:rFonts w:ascii="GHEA Grapalat" w:eastAsia="GHEA Grapalat" w:hAnsi="GHEA Grapalat" w:cs="GHEA Grapalat"/>
                <w:color w:val="000000"/>
                <w:sz w:val="24"/>
                <w:szCs w:val="24"/>
              </w:rPr>
              <w:t>Նախագծի 44-րդ հոդվածի 3-րդ մաս</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առաջարկվում է հանել &lt;&lt; և ընտանեկան վեճերի վերաբերյալ գործերով օրինական ուժի մեջ մտած եզրափակիչ դատական ակտերի&gt;&gt; բառակապակցությունը, հակառակ դեպքում փաստացի կարժեզրկվի վերջնական դատական ակտի գաղափարը (տվյալ դեպքում՝ </w:t>
            </w:r>
            <w:r w:rsidRPr="009462FE">
              <w:rPr>
                <w:rFonts w:ascii="GHEA Grapalat" w:eastAsia="GHEA Grapalat" w:hAnsi="GHEA Grapalat" w:cs="GHEA Grapalat"/>
                <w:color w:val="000000"/>
                <w:sz w:val="24"/>
                <w:szCs w:val="24"/>
              </w:rPr>
              <w:lastRenderedPageBreak/>
              <w:t xml:space="preserve">ընտանեկան գործերով)։  </w:t>
            </w:r>
          </w:p>
          <w:p w:rsidR="000D6DF0" w:rsidRPr="009462FE" w:rsidRDefault="000D6DF0" w:rsidP="009462FE">
            <w:pPr>
              <w:spacing w:line="276" w:lineRule="auto"/>
              <w:jc w:val="both"/>
              <w:rPr>
                <w:rFonts w:ascii="GHEA Grapalat" w:eastAsia="GHEA Grapalat" w:hAnsi="GHEA Grapalat" w:cs="GHEA Grapalat"/>
                <w:color w:val="000000"/>
                <w:sz w:val="24"/>
                <w:szCs w:val="24"/>
              </w:rPr>
            </w:pPr>
          </w:p>
          <w:p w:rsidR="00BB45D7" w:rsidRPr="009462FE" w:rsidRDefault="00E9577A" w:rsidP="009462FE">
            <w:pPr>
              <w:spacing w:line="276" w:lineRule="auto"/>
              <w:jc w:val="both"/>
              <w:rPr>
                <w:rFonts w:ascii="GHEA Grapalat" w:hAnsi="GHEA Grapalat"/>
                <w:sz w:val="24"/>
                <w:szCs w:val="24"/>
              </w:rPr>
            </w:pPr>
            <w:r w:rsidRPr="009462FE">
              <w:rPr>
                <w:rFonts w:ascii="GHEA Grapalat" w:eastAsia="GHEA Grapalat" w:hAnsi="GHEA Grapalat" w:cs="GHEA Grapalat"/>
                <w:b/>
                <w:bCs/>
                <w:color w:val="000000"/>
                <w:sz w:val="24"/>
                <w:szCs w:val="24"/>
              </w:rPr>
              <w:t>10</w:t>
            </w:r>
            <w:r w:rsidR="000D6DF0" w:rsidRPr="009462FE">
              <w:rPr>
                <w:rFonts w:ascii="GHEA Grapalat" w:eastAsia="GHEA Grapalat" w:hAnsi="GHEA Grapalat" w:cs="GHEA Grapalat"/>
                <w:b/>
                <w:bCs/>
                <w:color w:val="000000"/>
                <w:sz w:val="24"/>
                <w:szCs w:val="24"/>
              </w:rPr>
              <w:t>)</w:t>
            </w:r>
            <w:r w:rsidRPr="009462FE">
              <w:rPr>
                <w:rFonts w:ascii="GHEA Grapalat" w:eastAsia="GHEA Grapalat" w:hAnsi="GHEA Grapalat" w:cs="GHEA Grapalat"/>
                <w:color w:val="000000"/>
                <w:sz w:val="24"/>
                <w:szCs w:val="24"/>
              </w:rPr>
              <w:t>Նախագծի 60-րդ հոդվածի 2-րդ մաս</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առաջարկվում է &lt;&lt;արդար դատաքննության իրավունքի բուն էությունը խաթարող դատական սխալ&gt;&gt; բառակապակցությունից հետո ավելացնել &lt;&lt;կամ նյութական իրավունքի կոպիտ խախտում&gt;&gt; բառակապակցությունը։</w:t>
            </w:r>
          </w:p>
        </w:tc>
        <w:tc>
          <w:tcPr>
            <w:tcW w:w="1721" w:type="dxa"/>
            <w:tcBorders>
              <w:top w:val="single" w:sz="1" w:space="0" w:color="000000"/>
              <w:left w:val="single" w:sz="1" w:space="0" w:color="000000"/>
              <w:bottom w:val="single" w:sz="1" w:space="0" w:color="000000"/>
              <w:right w:val="single" w:sz="1" w:space="0" w:color="000000"/>
            </w:tcBorders>
          </w:tcPr>
          <w:p w:rsidR="00BB45D7" w:rsidRPr="009462FE" w:rsidRDefault="00836CDF" w:rsidP="009462FE">
            <w:pPr>
              <w:spacing w:line="276" w:lineRule="auto"/>
              <w:jc w:val="both"/>
              <w:rPr>
                <w:rFonts w:ascii="GHEA Grapalat" w:hAnsi="GHEA Grapalat"/>
                <w:sz w:val="24"/>
                <w:szCs w:val="24"/>
              </w:rPr>
            </w:pPr>
            <w:r w:rsidRPr="00411297">
              <w:rPr>
                <w:rFonts w:ascii="GHEA Grapalat" w:hAnsi="GHEA Grapalat"/>
                <w:b/>
                <w:bCs/>
                <w:sz w:val="24"/>
                <w:szCs w:val="24"/>
              </w:rPr>
              <w:lastRenderedPageBreak/>
              <w:t>1)</w:t>
            </w:r>
            <w:r w:rsidRPr="009462FE">
              <w:rPr>
                <w:rFonts w:ascii="GHEA Grapalat" w:hAnsi="GHEA Grapalat"/>
                <w:sz w:val="24"/>
                <w:szCs w:val="24"/>
              </w:rPr>
              <w:t xml:space="preserve"> </w:t>
            </w:r>
            <w:r w:rsidR="00334C09" w:rsidRPr="009462FE">
              <w:rPr>
                <w:rFonts w:ascii="GHEA Grapalat" w:hAnsi="GHEA Grapalat"/>
                <w:sz w:val="24"/>
                <w:szCs w:val="24"/>
              </w:rPr>
              <w:t>Չի ընդունվել:</w:t>
            </w:r>
          </w:p>
          <w:p w:rsidR="00A6207C" w:rsidRPr="009462FE" w:rsidRDefault="00A6207C" w:rsidP="009462FE">
            <w:pPr>
              <w:spacing w:line="276" w:lineRule="auto"/>
              <w:jc w:val="both"/>
              <w:rPr>
                <w:rFonts w:ascii="GHEA Grapalat" w:hAnsi="GHEA Grapalat"/>
                <w:sz w:val="24"/>
                <w:szCs w:val="24"/>
              </w:rPr>
            </w:pPr>
            <w:r w:rsidRPr="00411297">
              <w:rPr>
                <w:rFonts w:ascii="GHEA Grapalat" w:hAnsi="GHEA Grapalat"/>
                <w:b/>
                <w:bCs/>
                <w:sz w:val="24"/>
                <w:szCs w:val="24"/>
              </w:rPr>
              <w:t>2)</w:t>
            </w:r>
            <w:r w:rsidRPr="009462FE">
              <w:rPr>
                <w:rFonts w:ascii="GHEA Grapalat" w:hAnsi="GHEA Grapalat"/>
                <w:sz w:val="24"/>
                <w:szCs w:val="24"/>
              </w:rPr>
              <w:t xml:space="preserve"> </w:t>
            </w:r>
            <w:r w:rsidR="009462FE">
              <w:rPr>
                <w:rFonts w:ascii="GHEA Grapalat" w:hAnsi="GHEA Grapalat"/>
                <w:sz w:val="24"/>
                <w:szCs w:val="24"/>
              </w:rPr>
              <w:t>Չ</w:t>
            </w:r>
            <w:r w:rsidRPr="009462FE">
              <w:rPr>
                <w:rFonts w:ascii="GHEA Grapalat" w:hAnsi="GHEA Grapalat"/>
                <w:sz w:val="24"/>
                <w:szCs w:val="24"/>
              </w:rPr>
              <w:t>ի ընդունվել:</w:t>
            </w:r>
          </w:p>
          <w:p w:rsidR="00A6207C" w:rsidRPr="009462FE" w:rsidRDefault="00A6207C" w:rsidP="009462FE">
            <w:pPr>
              <w:spacing w:line="276" w:lineRule="auto"/>
              <w:jc w:val="both"/>
              <w:rPr>
                <w:rFonts w:ascii="GHEA Grapalat" w:hAnsi="GHEA Grapalat"/>
                <w:sz w:val="24"/>
                <w:szCs w:val="24"/>
              </w:rPr>
            </w:pPr>
            <w:r w:rsidRPr="00411297">
              <w:rPr>
                <w:rFonts w:ascii="GHEA Grapalat" w:hAnsi="GHEA Grapalat"/>
                <w:b/>
                <w:bCs/>
                <w:sz w:val="24"/>
                <w:szCs w:val="24"/>
              </w:rPr>
              <w:t>3)</w:t>
            </w:r>
            <w:r w:rsidRPr="009462FE">
              <w:rPr>
                <w:rFonts w:ascii="GHEA Grapalat" w:hAnsi="GHEA Grapalat"/>
                <w:sz w:val="24"/>
                <w:szCs w:val="24"/>
              </w:rPr>
              <w:t xml:space="preserve"> </w:t>
            </w:r>
            <w:r w:rsidR="009474D5" w:rsidRPr="009462FE">
              <w:rPr>
                <w:rFonts w:ascii="GHEA Grapalat" w:hAnsi="GHEA Grapalat"/>
                <w:sz w:val="24"/>
                <w:szCs w:val="24"/>
              </w:rPr>
              <w:t>Չի ընդունվել:</w:t>
            </w:r>
          </w:p>
          <w:p w:rsidR="009474D5" w:rsidRPr="009462FE" w:rsidRDefault="009474D5" w:rsidP="009462FE">
            <w:pPr>
              <w:spacing w:line="276" w:lineRule="auto"/>
              <w:jc w:val="both"/>
              <w:rPr>
                <w:rFonts w:ascii="GHEA Grapalat" w:hAnsi="GHEA Grapalat"/>
                <w:sz w:val="24"/>
                <w:szCs w:val="24"/>
              </w:rPr>
            </w:pPr>
            <w:r w:rsidRPr="00411297">
              <w:rPr>
                <w:rFonts w:ascii="GHEA Grapalat" w:hAnsi="GHEA Grapalat"/>
                <w:b/>
                <w:bCs/>
                <w:sz w:val="24"/>
                <w:szCs w:val="24"/>
              </w:rPr>
              <w:t>4)</w:t>
            </w:r>
            <w:r w:rsidRPr="009462FE">
              <w:rPr>
                <w:rFonts w:ascii="GHEA Grapalat" w:hAnsi="GHEA Grapalat"/>
                <w:sz w:val="24"/>
                <w:szCs w:val="24"/>
              </w:rPr>
              <w:t xml:space="preserve"> Չի ընդունվել:</w:t>
            </w:r>
          </w:p>
          <w:p w:rsidR="009474D5" w:rsidRPr="009462FE" w:rsidRDefault="009474D5" w:rsidP="009462FE">
            <w:pPr>
              <w:spacing w:line="276" w:lineRule="auto"/>
              <w:jc w:val="both"/>
              <w:rPr>
                <w:rFonts w:ascii="GHEA Grapalat" w:hAnsi="GHEA Grapalat"/>
                <w:sz w:val="24"/>
                <w:szCs w:val="24"/>
              </w:rPr>
            </w:pPr>
            <w:r w:rsidRPr="00411297">
              <w:rPr>
                <w:rFonts w:ascii="GHEA Grapalat" w:hAnsi="GHEA Grapalat"/>
                <w:b/>
                <w:bCs/>
                <w:sz w:val="24"/>
                <w:szCs w:val="24"/>
              </w:rPr>
              <w:t>5)</w:t>
            </w:r>
            <w:r w:rsidRPr="009462FE">
              <w:rPr>
                <w:rFonts w:ascii="GHEA Grapalat" w:hAnsi="GHEA Grapalat"/>
                <w:sz w:val="24"/>
                <w:szCs w:val="24"/>
              </w:rPr>
              <w:t xml:space="preserve"> Չի ընդունվել:</w:t>
            </w:r>
          </w:p>
          <w:p w:rsidR="00C41A2E" w:rsidRPr="009462FE" w:rsidRDefault="00C41A2E" w:rsidP="009462FE">
            <w:pPr>
              <w:spacing w:line="276" w:lineRule="auto"/>
              <w:jc w:val="both"/>
              <w:rPr>
                <w:rFonts w:ascii="GHEA Grapalat" w:hAnsi="GHEA Grapalat"/>
                <w:sz w:val="24"/>
                <w:szCs w:val="24"/>
              </w:rPr>
            </w:pPr>
            <w:r w:rsidRPr="00411297">
              <w:rPr>
                <w:rFonts w:ascii="GHEA Grapalat" w:hAnsi="GHEA Grapalat"/>
                <w:b/>
                <w:bCs/>
                <w:sz w:val="24"/>
                <w:szCs w:val="24"/>
              </w:rPr>
              <w:t>6)</w:t>
            </w:r>
            <w:r w:rsidRPr="009462FE">
              <w:rPr>
                <w:rFonts w:ascii="GHEA Grapalat" w:hAnsi="GHEA Grapalat"/>
                <w:sz w:val="24"/>
                <w:szCs w:val="24"/>
              </w:rPr>
              <w:t xml:space="preserve"> Չի ընդունվել:</w:t>
            </w:r>
          </w:p>
          <w:p w:rsidR="00C41A2E" w:rsidRPr="009462FE" w:rsidRDefault="00C41A2E" w:rsidP="009462FE">
            <w:pPr>
              <w:spacing w:line="276" w:lineRule="auto"/>
              <w:jc w:val="both"/>
              <w:rPr>
                <w:rFonts w:ascii="GHEA Grapalat" w:hAnsi="GHEA Grapalat"/>
                <w:sz w:val="24"/>
                <w:szCs w:val="24"/>
              </w:rPr>
            </w:pPr>
            <w:r w:rsidRPr="00D54F4C">
              <w:rPr>
                <w:rFonts w:ascii="GHEA Grapalat" w:hAnsi="GHEA Grapalat"/>
                <w:b/>
                <w:bCs/>
                <w:sz w:val="24"/>
                <w:szCs w:val="24"/>
              </w:rPr>
              <w:lastRenderedPageBreak/>
              <w:t>7)</w:t>
            </w:r>
            <w:r w:rsidRPr="00D54F4C">
              <w:rPr>
                <w:rFonts w:ascii="GHEA Grapalat" w:hAnsi="GHEA Grapalat"/>
                <w:sz w:val="24"/>
                <w:szCs w:val="24"/>
              </w:rPr>
              <w:t xml:space="preserve"> Ընդունվել է:</w:t>
            </w:r>
          </w:p>
          <w:p w:rsidR="00C41A2E" w:rsidRPr="009462FE" w:rsidRDefault="00C41A2E" w:rsidP="009462FE">
            <w:pPr>
              <w:spacing w:line="276" w:lineRule="auto"/>
              <w:jc w:val="both"/>
              <w:rPr>
                <w:rFonts w:ascii="GHEA Grapalat" w:hAnsi="GHEA Grapalat"/>
                <w:sz w:val="24"/>
                <w:szCs w:val="24"/>
              </w:rPr>
            </w:pPr>
            <w:r w:rsidRPr="00411297">
              <w:rPr>
                <w:rFonts w:ascii="GHEA Grapalat" w:hAnsi="GHEA Grapalat"/>
                <w:b/>
                <w:bCs/>
                <w:sz w:val="24"/>
                <w:szCs w:val="24"/>
              </w:rPr>
              <w:t>8)</w:t>
            </w:r>
            <w:r w:rsidRPr="009462FE">
              <w:rPr>
                <w:rFonts w:ascii="GHEA Grapalat" w:hAnsi="GHEA Grapalat"/>
                <w:sz w:val="24"/>
                <w:szCs w:val="24"/>
              </w:rPr>
              <w:t xml:space="preserve"> </w:t>
            </w:r>
            <w:r w:rsidR="002E48C8" w:rsidRPr="009462FE">
              <w:rPr>
                <w:rFonts w:ascii="GHEA Grapalat" w:hAnsi="GHEA Grapalat"/>
                <w:sz w:val="24"/>
                <w:szCs w:val="24"/>
              </w:rPr>
              <w:t>Չի ընդունվել:</w:t>
            </w:r>
          </w:p>
          <w:p w:rsidR="002E48C8" w:rsidRPr="009462FE" w:rsidRDefault="002E48C8" w:rsidP="009462FE">
            <w:pPr>
              <w:spacing w:line="276" w:lineRule="auto"/>
              <w:jc w:val="both"/>
              <w:rPr>
                <w:rFonts w:ascii="GHEA Grapalat" w:hAnsi="GHEA Grapalat"/>
                <w:sz w:val="24"/>
                <w:szCs w:val="24"/>
              </w:rPr>
            </w:pPr>
            <w:r w:rsidRPr="00411297">
              <w:rPr>
                <w:rFonts w:ascii="GHEA Grapalat" w:hAnsi="GHEA Grapalat"/>
                <w:b/>
                <w:bCs/>
                <w:sz w:val="24"/>
                <w:szCs w:val="24"/>
              </w:rPr>
              <w:t>9)</w:t>
            </w:r>
            <w:r w:rsidRPr="009462FE">
              <w:rPr>
                <w:rFonts w:ascii="GHEA Grapalat" w:hAnsi="GHEA Grapalat"/>
                <w:sz w:val="24"/>
                <w:szCs w:val="24"/>
              </w:rPr>
              <w:t xml:space="preserve"> Չի ընդունվել:</w:t>
            </w:r>
          </w:p>
          <w:p w:rsidR="009462FE" w:rsidRPr="009462FE" w:rsidRDefault="009462FE" w:rsidP="009462FE">
            <w:pPr>
              <w:spacing w:line="276" w:lineRule="auto"/>
              <w:jc w:val="both"/>
              <w:rPr>
                <w:rFonts w:ascii="GHEA Grapalat" w:hAnsi="GHEA Grapalat"/>
                <w:sz w:val="24"/>
                <w:szCs w:val="24"/>
              </w:rPr>
            </w:pPr>
            <w:r w:rsidRPr="00411297">
              <w:rPr>
                <w:rFonts w:ascii="GHEA Grapalat" w:hAnsi="GHEA Grapalat"/>
                <w:b/>
                <w:bCs/>
                <w:sz w:val="24"/>
                <w:szCs w:val="24"/>
              </w:rPr>
              <w:t>10)</w:t>
            </w:r>
            <w:r w:rsidRPr="009462FE">
              <w:rPr>
                <w:rFonts w:ascii="GHEA Grapalat" w:hAnsi="GHEA Grapalat"/>
                <w:sz w:val="24"/>
                <w:szCs w:val="24"/>
              </w:rPr>
              <w:t xml:space="preserve"> Չի ընդունվել:</w:t>
            </w:r>
          </w:p>
          <w:p w:rsidR="00C41A2E" w:rsidRPr="009462FE" w:rsidRDefault="00C41A2E" w:rsidP="009462FE">
            <w:pPr>
              <w:spacing w:line="276" w:lineRule="auto"/>
              <w:jc w:val="both"/>
              <w:rPr>
                <w:rFonts w:ascii="GHEA Grapalat" w:hAnsi="GHEA Grapalat"/>
                <w:sz w:val="24"/>
                <w:szCs w:val="24"/>
              </w:rPr>
            </w:pPr>
          </w:p>
        </w:tc>
        <w:tc>
          <w:tcPr>
            <w:tcW w:w="4699" w:type="dxa"/>
            <w:tcBorders>
              <w:top w:val="single" w:sz="1" w:space="0" w:color="000000"/>
              <w:left w:val="single" w:sz="1" w:space="0" w:color="000000"/>
              <w:bottom w:val="single" w:sz="1" w:space="0" w:color="000000"/>
              <w:right w:val="single" w:sz="1" w:space="0" w:color="000000"/>
            </w:tcBorders>
          </w:tcPr>
          <w:p w:rsidR="00BB45D7" w:rsidRPr="009462FE" w:rsidRDefault="00836CDF" w:rsidP="009462FE">
            <w:pPr>
              <w:spacing w:line="276" w:lineRule="auto"/>
              <w:ind w:firstLine="341"/>
              <w:jc w:val="both"/>
              <w:rPr>
                <w:rFonts w:ascii="GHEA Grapalat" w:eastAsia="GHEA Grapalat" w:hAnsi="GHEA Grapalat" w:cs="GHEA Grapalat"/>
                <w:color w:val="000000"/>
                <w:sz w:val="24"/>
                <w:szCs w:val="24"/>
              </w:rPr>
            </w:pPr>
            <w:r w:rsidRPr="009462FE">
              <w:rPr>
                <w:rFonts w:ascii="GHEA Grapalat" w:hAnsi="GHEA Grapalat"/>
                <w:b/>
                <w:bCs/>
                <w:sz w:val="24"/>
                <w:szCs w:val="24"/>
              </w:rPr>
              <w:lastRenderedPageBreak/>
              <w:t>1)</w:t>
            </w:r>
            <w:r w:rsidRPr="009462FE">
              <w:rPr>
                <w:rFonts w:ascii="GHEA Grapalat" w:hAnsi="GHEA Grapalat"/>
                <w:sz w:val="24"/>
                <w:szCs w:val="24"/>
              </w:rPr>
              <w:t xml:space="preserve"> </w:t>
            </w:r>
            <w:r w:rsidR="00A6207C" w:rsidRPr="009462FE">
              <w:rPr>
                <w:rFonts w:ascii="GHEA Grapalat" w:eastAsia="GHEA Grapalat" w:hAnsi="GHEA Grapalat" w:cs="GHEA Grapalat"/>
                <w:color w:val="000000"/>
                <w:sz w:val="24"/>
                <w:szCs w:val="24"/>
              </w:rPr>
              <w:t xml:space="preserve">&lt;&lt;Նորմատիվ իրավական ակտերի մասին&gt;&gt; օրենքի 16-րդ հոդվածի 1-ին և 6-րդ մասերից բխում է, որ առանձնացված կետերով բաժանված պայմանների  և այդ կետերը ստորակետով առանձնացված </w:t>
            </w:r>
            <w:r w:rsidR="00A6207C" w:rsidRPr="009462FE">
              <w:rPr>
                <w:rFonts w:ascii="GHEA Grapalat" w:eastAsia="GHEA Grapalat" w:hAnsi="GHEA Grapalat" w:cs="GHEA Grapalat"/>
                <w:color w:val="000000"/>
                <w:sz w:val="24"/>
                <w:szCs w:val="24"/>
              </w:rPr>
              <w:lastRenderedPageBreak/>
              <w:t xml:space="preserve">լինելու դեպքում, այդ նպատակի կիրառման համար անհրաժեշտ է բոլոր պայմանների առկայությունը: </w:t>
            </w:r>
          </w:p>
          <w:p w:rsidR="00A6207C" w:rsidRPr="009462FE" w:rsidRDefault="00A6207C" w:rsidP="009462FE">
            <w:pPr>
              <w:spacing w:line="276" w:lineRule="auto"/>
              <w:ind w:firstLine="483"/>
              <w:jc w:val="both"/>
              <w:rPr>
                <w:rFonts w:ascii="GHEA Grapalat" w:hAnsi="GHEA Grapalat"/>
                <w:color w:val="000000"/>
                <w:sz w:val="24"/>
                <w:szCs w:val="24"/>
                <w:lang w:val="hy-AM"/>
              </w:rPr>
            </w:pPr>
            <w:r w:rsidRPr="009462FE">
              <w:rPr>
                <w:rFonts w:ascii="GHEA Grapalat" w:eastAsia="GHEA Grapalat" w:hAnsi="GHEA Grapalat" w:cs="GHEA Grapalat"/>
                <w:b/>
                <w:bCs/>
                <w:color w:val="000000"/>
                <w:sz w:val="24"/>
                <w:szCs w:val="24"/>
              </w:rPr>
              <w:t>2)</w:t>
            </w:r>
            <w:r w:rsidRPr="009462FE">
              <w:rPr>
                <w:rFonts w:ascii="GHEA Grapalat" w:eastAsia="GHEA Grapalat" w:hAnsi="GHEA Grapalat" w:cs="GHEA Grapalat"/>
                <w:color w:val="000000"/>
                <w:sz w:val="24"/>
                <w:szCs w:val="24"/>
              </w:rPr>
              <w:t xml:space="preserve"> </w:t>
            </w:r>
            <w:r w:rsidRPr="009462FE">
              <w:rPr>
                <w:rFonts w:ascii="GHEA Grapalat" w:hAnsi="GHEA Grapalat"/>
                <w:color w:val="000000"/>
                <w:sz w:val="24"/>
                <w:szCs w:val="24"/>
                <w:lang w:val="hy-AM"/>
              </w:rPr>
              <w:t>Գործող կարգավորման ուժով փաստը ժխտող անձի վրա ապացուցման պարտականություն չի կարող դրվել, սակայն եթե նյութական իրավունքի նորմն այնպիսին է, որն ուղղակիորեն սահմանում է, որ ժխտող փաստը պետք է, այնուամենայնիվ, ներառվի ապացուցման առարկայի մեջ, ապա դա պետք է դիտել, որպես բացառություն: Հակառակ դեպքում` վեճը ճիշտ չի լուծվի և նման փաստը նյութական իրավունքի նորմով սահմանելը կլինի ինքնանպատակ` չծառայելով ի սկզբանե հետապնդվող նպատակին</w:t>
            </w:r>
            <w:r w:rsidRPr="009462FE">
              <w:rPr>
                <w:rStyle w:val="FootnoteReference"/>
                <w:rFonts w:ascii="GHEA Grapalat" w:hAnsi="GHEA Grapalat"/>
                <w:color w:val="000000"/>
                <w:sz w:val="24"/>
                <w:szCs w:val="24"/>
                <w:lang w:val="hy-AM"/>
              </w:rPr>
              <w:footnoteReference w:id="2"/>
            </w:r>
          </w:p>
          <w:p w:rsidR="00A6207C" w:rsidRPr="009462FE" w:rsidRDefault="00A6207C" w:rsidP="009462FE">
            <w:pPr>
              <w:spacing w:line="276" w:lineRule="auto"/>
              <w:jc w:val="both"/>
              <w:rPr>
                <w:rFonts w:ascii="GHEA Grapalat" w:hAnsi="GHEA Grapalat"/>
                <w:color w:val="000000"/>
                <w:sz w:val="24"/>
                <w:szCs w:val="24"/>
                <w:lang w:val="hy-AM"/>
              </w:rPr>
            </w:pPr>
            <w:r w:rsidRPr="009462FE">
              <w:rPr>
                <w:rFonts w:ascii="GHEA Grapalat" w:hAnsi="GHEA Grapalat"/>
                <w:color w:val="000000"/>
                <w:sz w:val="24"/>
                <w:szCs w:val="24"/>
                <w:lang w:val="hy-AM"/>
              </w:rPr>
              <w:t xml:space="preserve">(օրինակ` ՀՀ քաղաքացիական օրենսգրքի 882-րդ հոդվածի 1-ին մասի համաձայն` փոխառուն իրավունք ունի </w:t>
            </w:r>
            <w:r w:rsidRPr="009462FE">
              <w:rPr>
                <w:rFonts w:ascii="GHEA Grapalat" w:hAnsi="GHEA Grapalat"/>
                <w:color w:val="000000"/>
                <w:sz w:val="24"/>
                <w:szCs w:val="24"/>
                <w:lang w:val="hy-AM"/>
              </w:rPr>
              <w:lastRenderedPageBreak/>
              <w:t>վիճարկել փոխառության պայմանագիրը, եթե ապացուցում է, որ ինքը փոխատուից իրականում դրամ կամ այլ գույք չի ստացել կամ ստացել է պայմանագրում նշվածից ավելի պակաս քանակով):</w:t>
            </w:r>
          </w:p>
          <w:p w:rsidR="009474D5" w:rsidRPr="009462FE" w:rsidRDefault="009474D5" w:rsidP="009462FE">
            <w:pPr>
              <w:spacing w:line="276" w:lineRule="auto"/>
              <w:jc w:val="both"/>
              <w:rPr>
                <w:rFonts w:ascii="GHEA Grapalat" w:eastAsia="GHEA Grapalat" w:hAnsi="GHEA Grapalat" w:cs="GHEA Grapalat"/>
                <w:color w:val="000000"/>
                <w:sz w:val="24"/>
                <w:szCs w:val="24"/>
                <w:lang w:val="hy-AM"/>
              </w:rPr>
            </w:pPr>
          </w:p>
          <w:p w:rsidR="009474D5" w:rsidRPr="009462FE" w:rsidRDefault="009474D5" w:rsidP="009462FE">
            <w:pPr>
              <w:spacing w:line="276" w:lineRule="auto"/>
              <w:ind w:firstLine="341"/>
              <w:jc w:val="both"/>
              <w:rPr>
                <w:rFonts w:ascii="GHEA Grapalat" w:eastAsia="GHEA Grapalat" w:hAnsi="GHEA Grapalat" w:cs="GHEA Grapalat"/>
                <w:color w:val="000000"/>
                <w:sz w:val="24"/>
                <w:szCs w:val="24"/>
                <w:lang w:val="hy-AM"/>
              </w:rPr>
            </w:pPr>
            <w:r w:rsidRPr="009462FE">
              <w:rPr>
                <w:rFonts w:ascii="GHEA Grapalat" w:eastAsia="GHEA Grapalat" w:hAnsi="GHEA Grapalat" w:cs="GHEA Grapalat"/>
                <w:b/>
                <w:bCs/>
                <w:color w:val="000000"/>
                <w:sz w:val="24"/>
                <w:szCs w:val="24"/>
                <w:lang w:val="hy-AM"/>
              </w:rPr>
              <w:t>3)</w:t>
            </w:r>
            <w:r w:rsidRPr="009462FE">
              <w:rPr>
                <w:rFonts w:ascii="GHEA Grapalat" w:eastAsia="GHEA Grapalat" w:hAnsi="GHEA Grapalat" w:cs="GHEA Grapalat"/>
                <w:color w:val="000000"/>
                <w:sz w:val="24"/>
                <w:szCs w:val="24"/>
                <w:lang w:val="hy-AM"/>
              </w:rPr>
              <w:t>Քաղաքացիական դատավարության օրենսգրքի 121-րդ հոդվածի 3-րդ մասի 3-րդ կետի համաձայն` հայցադիմումում կարող են նշվել հայցվորի միջնորդությունները: Ուստի` բարձրացված հարց</w:t>
            </w:r>
            <w:r w:rsidR="005A0740" w:rsidRPr="009462FE">
              <w:rPr>
                <w:rFonts w:ascii="GHEA Grapalat" w:eastAsia="GHEA Grapalat" w:hAnsi="GHEA Grapalat" w:cs="GHEA Grapalat"/>
                <w:color w:val="000000"/>
                <w:sz w:val="24"/>
                <w:szCs w:val="24"/>
                <w:lang w:val="hy-AM"/>
              </w:rPr>
              <w:t>ն արդեն իսկ կարգավորված է և</w:t>
            </w:r>
            <w:r w:rsidRPr="009462FE">
              <w:rPr>
                <w:rFonts w:ascii="GHEA Grapalat" w:eastAsia="GHEA Grapalat" w:hAnsi="GHEA Grapalat" w:cs="GHEA Grapalat"/>
                <w:color w:val="000000"/>
                <w:sz w:val="24"/>
                <w:szCs w:val="24"/>
                <w:lang w:val="hy-AM"/>
              </w:rPr>
              <w:t xml:space="preserve"> լրացուցիչ կարգավորման անհրաժեշտությունը բացակայում է:</w:t>
            </w:r>
          </w:p>
          <w:p w:rsidR="005A0740" w:rsidRPr="009462FE" w:rsidRDefault="005A0740" w:rsidP="009462FE">
            <w:pPr>
              <w:spacing w:line="276" w:lineRule="auto"/>
              <w:jc w:val="both"/>
              <w:rPr>
                <w:rFonts w:ascii="GHEA Grapalat" w:eastAsia="GHEA Grapalat" w:hAnsi="GHEA Grapalat" w:cs="GHEA Grapalat"/>
                <w:color w:val="000000"/>
                <w:sz w:val="24"/>
                <w:szCs w:val="24"/>
                <w:lang w:val="hy-AM"/>
              </w:rPr>
            </w:pPr>
          </w:p>
          <w:p w:rsidR="009474D5" w:rsidRPr="009462FE" w:rsidRDefault="009474D5" w:rsidP="009462FE">
            <w:pPr>
              <w:pStyle w:val="ListParagraph"/>
              <w:numPr>
                <w:ilvl w:val="0"/>
                <w:numId w:val="2"/>
              </w:numPr>
              <w:spacing w:line="276" w:lineRule="auto"/>
              <w:ind w:left="57" w:firstLine="303"/>
              <w:jc w:val="both"/>
              <w:rPr>
                <w:rFonts w:ascii="GHEA Grapalat" w:eastAsia="GHEA Grapalat" w:hAnsi="GHEA Grapalat" w:cs="GHEA Grapalat"/>
                <w:color w:val="000000"/>
                <w:sz w:val="24"/>
                <w:szCs w:val="24"/>
                <w:lang w:val="hy-AM"/>
              </w:rPr>
            </w:pPr>
            <w:r w:rsidRPr="009462FE">
              <w:rPr>
                <w:rFonts w:ascii="GHEA Grapalat" w:hAnsi="GHEA Grapalat"/>
                <w:color w:val="000000"/>
                <w:sz w:val="24"/>
                <w:szCs w:val="24"/>
                <w:lang w:val="hy-AM"/>
              </w:rPr>
              <w:t xml:space="preserve">Դատական պրակտիկայի ուսումնասիրությունը ցույց է տալիս, որ որոշ դատավարական գործողությունների համար սահմանված են սեղմ ժամկետներ և դատավորները բազմաթիվ օբյեկտիվ </w:t>
            </w:r>
            <w:r w:rsidRPr="009462FE">
              <w:rPr>
                <w:rFonts w:ascii="GHEA Grapalat" w:hAnsi="GHEA Grapalat"/>
                <w:color w:val="000000"/>
                <w:sz w:val="24"/>
                <w:szCs w:val="24"/>
                <w:lang w:val="hy-AM"/>
              </w:rPr>
              <w:lastRenderedPageBreak/>
              <w:t>պատճառներով չեն հասցնում սահմանված ժամկետում համապատասխան գործողությունը կատարել, ինչը հետագայում դատական ակտի բեկանման հիմք է հանդիսանում: Միևնույն ժամանակ, հարկ է ուշադրություն դարձնել այն հանգամանքին, որ փոփոխությամբ դատավորին ոչ թե հայեցողական լիազորություն տրվում ցանկացած դեպքում նշված ժամկետը երկարաձգելու, այն միայն բացառիկ դեպքերում և միայն պատճառաբանված որոշմամբ:</w:t>
            </w:r>
          </w:p>
          <w:p w:rsidR="00FD6785" w:rsidRPr="009462FE" w:rsidRDefault="00FD6785" w:rsidP="009462FE">
            <w:pPr>
              <w:pStyle w:val="ListParagraph"/>
              <w:numPr>
                <w:ilvl w:val="0"/>
                <w:numId w:val="2"/>
              </w:numPr>
              <w:spacing w:line="276" w:lineRule="auto"/>
              <w:ind w:left="57" w:firstLine="303"/>
              <w:jc w:val="both"/>
              <w:rPr>
                <w:rFonts w:ascii="GHEA Grapalat" w:hAnsi="GHEA Grapalat"/>
                <w:color w:val="000000"/>
                <w:sz w:val="24"/>
                <w:szCs w:val="24"/>
                <w:lang w:val="hy-AM"/>
              </w:rPr>
            </w:pPr>
            <w:r w:rsidRPr="00D54F4C">
              <w:rPr>
                <w:rFonts w:ascii="GHEA Grapalat" w:hAnsi="GHEA Grapalat" w:cs="Sylfaen"/>
                <w:color w:val="000000"/>
                <w:sz w:val="24"/>
                <w:szCs w:val="24"/>
                <w:lang w:val="hy-AM"/>
              </w:rPr>
              <w:t>Սույն</w:t>
            </w:r>
            <w:r w:rsidRPr="00D54F4C">
              <w:rPr>
                <w:rFonts w:ascii="GHEA Grapalat" w:hAnsi="GHEA Grapalat"/>
                <w:color w:val="000000"/>
                <w:sz w:val="24"/>
                <w:szCs w:val="24"/>
                <w:lang w:val="hy-AM"/>
              </w:rPr>
              <w:t xml:space="preserve"> դեպքում սահմանված ժամկետը սկսում</w:t>
            </w:r>
            <w:r w:rsidRPr="009462FE">
              <w:rPr>
                <w:rFonts w:ascii="GHEA Grapalat" w:hAnsi="GHEA Grapalat"/>
                <w:color w:val="000000"/>
                <w:sz w:val="24"/>
                <w:szCs w:val="24"/>
                <w:lang w:val="hy-AM"/>
              </w:rPr>
              <w:t xml:space="preserve"> է հոսել, կրկին ներկայացված հայցադիմումը վարույթ ընդունելու հարցի վերաբերյալ վերաքննիչ դատարանի կողմից հայցադիմումը վերադարձնելու մասին առաջին ատյանի դատարանի որոշման վերաբերյալ դատական ակտ կայացնելուց հետո:</w:t>
            </w:r>
          </w:p>
          <w:p w:rsidR="009474D5" w:rsidRPr="009462FE" w:rsidRDefault="00FD6785" w:rsidP="009462FE">
            <w:pPr>
              <w:spacing w:line="276" w:lineRule="auto"/>
              <w:ind w:left="199"/>
              <w:jc w:val="both"/>
              <w:rPr>
                <w:rFonts w:ascii="GHEA Grapalat" w:hAnsi="GHEA Grapalat"/>
                <w:color w:val="000000"/>
                <w:sz w:val="24"/>
                <w:szCs w:val="24"/>
                <w:lang w:val="hy-AM"/>
              </w:rPr>
            </w:pPr>
            <w:r w:rsidRPr="009462FE">
              <w:rPr>
                <w:rFonts w:ascii="GHEA Grapalat" w:hAnsi="GHEA Grapalat" w:cs="Sylfaen"/>
                <w:color w:val="000000"/>
                <w:sz w:val="24"/>
                <w:szCs w:val="24"/>
                <w:lang w:val="hy-AM"/>
              </w:rPr>
              <w:lastRenderedPageBreak/>
              <w:t>Նշվ</w:t>
            </w:r>
            <w:r w:rsidRPr="009462FE">
              <w:rPr>
                <w:rFonts w:ascii="GHEA Grapalat" w:hAnsi="GHEA Grapalat"/>
                <w:color w:val="000000"/>
                <w:sz w:val="24"/>
                <w:szCs w:val="24"/>
                <w:lang w:val="hy-AM"/>
              </w:rPr>
              <w:t>ած կարգավորումը ուղղված է պրակտիկայում առաջացող այն խնդրի լուծմանը, ըստ որի հայցադիմումը վերադարձնելու մասին որոշումն ստանալու պահից հայցադիմում ներկայացրած անձն իրավունք ունի և' եռօրյա ժամկետում վերացնել հայցադիմումի թերությունները, և' կրկին այն ներկայացնել դատարան, և յոթնօրյա ժամկետում ներկայացնել վերաքննիչ բողոք: Ընդ որում, նշվածը հաճախ կատարվում է թե որպես դատավարական հնարք, թե որպես իրավունքի չարաշահման դրսևորում:</w:t>
            </w:r>
          </w:p>
          <w:p w:rsidR="00E9577A" w:rsidRPr="009462FE" w:rsidRDefault="00E9577A" w:rsidP="009462FE">
            <w:pPr>
              <w:spacing w:line="276" w:lineRule="auto"/>
              <w:ind w:left="199"/>
              <w:jc w:val="both"/>
              <w:rPr>
                <w:rFonts w:ascii="GHEA Grapalat" w:hAnsi="GHEA Grapalat"/>
                <w:color w:val="000000"/>
                <w:sz w:val="24"/>
                <w:szCs w:val="24"/>
                <w:lang w:val="hy-AM"/>
              </w:rPr>
            </w:pPr>
          </w:p>
          <w:p w:rsidR="002A224E" w:rsidRPr="009462FE" w:rsidRDefault="0040303B" w:rsidP="009462FE">
            <w:pPr>
              <w:pStyle w:val="ListParagraph"/>
              <w:numPr>
                <w:ilvl w:val="0"/>
                <w:numId w:val="2"/>
              </w:numPr>
              <w:spacing w:line="276" w:lineRule="auto"/>
              <w:ind w:left="208" w:firstLine="284"/>
              <w:jc w:val="both"/>
              <w:rPr>
                <w:rFonts w:ascii="GHEA Grapalat" w:eastAsia="GHEA Grapalat" w:hAnsi="GHEA Grapalat" w:cs="GHEA Grapalat"/>
                <w:color w:val="000000"/>
                <w:sz w:val="24"/>
                <w:szCs w:val="24"/>
                <w:lang w:val="hy-AM"/>
              </w:rPr>
            </w:pPr>
            <w:r w:rsidRPr="009462FE">
              <w:rPr>
                <w:rFonts w:ascii="GHEA Grapalat" w:eastAsia="GHEA Grapalat" w:hAnsi="GHEA Grapalat" w:cs="GHEA Grapalat"/>
                <w:color w:val="000000"/>
                <w:sz w:val="24"/>
                <w:szCs w:val="24"/>
                <w:lang w:val="hy-AM"/>
              </w:rPr>
              <w:t xml:space="preserve">Հարկ է նշել, որ հոդվածը 128-րդ հոդվածը չի պարունակում </w:t>
            </w:r>
            <w:r w:rsidR="000F7189" w:rsidRPr="009462FE">
              <w:rPr>
                <w:rFonts w:ascii="GHEA Grapalat" w:eastAsia="GHEA Grapalat" w:hAnsi="GHEA Grapalat" w:cs="GHEA Grapalat"/>
                <w:color w:val="000000"/>
                <w:sz w:val="24"/>
                <w:szCs w:val="24"/>
                <w:lang w:val="hy-AM"/>
              </w:rPr>
              <w:t xml:space="preserve">դրույթ այն մասին, որ Օրենսգրքով և օրենքներով սահմանված դեպքերում դատարանն իրավասու է իր նախաձեռնությամբ կիրառել հայցի ապահովման միջոց (օրինակ` ՔԴՕ </w:t>
            </w:r>
            <w:r w:rsidR="000F7189" w:rsidRPr="009462FE">
              <w:rPr>
                <w:rFonts w:ascii="GHEA Grapalat" w:eastAsia="GHEA Grapalat" w:hAnsi="GHEA Grapalat" w:cs="GHEA Grapalat"/>
                <w:color w:val="000000"/>
                <w:sz w:val="24"/>
                <w:szCs w:val="24"/>
                <w:lang w:val="hy-AM"/>
              </w:rPr>
              <w:lastRenderedPageBreak/>
              <w:t>203-րդ հոդվածով սահմանված կարգով), ուստիև հայցի ապահովման միջոցների կիրառման հիմքերի մասին հոդվածը պետք է համալրել նշված դրույթով: Միևնույն ժամանակ, սողանց</w:t>
            </w:r>
            <w:r w:rsidR="008B68E6" w:rsidRPr="009462FE">
              <w:rPr>
                <w:rFonts w:ascii="GHEA Grapalat" w:eastAsia="GHEA Grapalat" w:hAnsi="GHEA Grapalat" w:cs="GHEA Grapalat"/>
                <w:color w:val="000000"/>
                <w:sz w:val="24"/>
                <w:szCs w:val="24"/>
                <w:lang w:val="hy-AM"/>
              </w:rPr>
              <w:t>քների հնարավորություն չի կարող առաջանալ, հաշվի առնելով ոչ թե հայցի ապահովման միջոց կիրառելու հայեցողական լիազորություն է տրվում դատարանին, այլ միայն օրենքով նախատեսված դեպքերում նման հնարավորության առկայության դեպքում ընդհանուր կանոնից բացառություն է նախատեսվում, հաշվի առնելով նաև օրենսդրի մոտեցումը նմանօրինակ միջնորդությունների ներկայացման ընդհանուր կանոններում բացառության մասին կարգավորում</w:t>
            </w:r>
            <w:r w:rsidR="002A224E" w:rsidRPr="009462FE">
              <w:rPr>
                <w:rFonts w:ascii="GHEA Grapalat" w:eastAsia="GHEA Grapalat" w:hAnsi="GHEA Grapalat" w:cs="GHEA Grapalat"/>
                <w:color w:val="000000"/>
                <w:sz w:val="24"/>
                <w:szCs w:val="24"/>
                <w:lang w:val="hy-AM"/>
              </w:rPr>
              <w:t>ներ նախատեսված լինելը:</w:t>
            </w:r>
          </w:p>
          <w:p w:rsidR="002A224E" w:rsidRPr="009462FE" w:rsidRDefault="002A224E" w:rsidP="009462FE">
            <w:pPr>
              <w:spacing w:line="276" w:lineRule="auto"/>
              <w:jc w:val="both"/>
              <w:rPr>
                <w:rFonts w:ascii="GHEA Grapalat" w:eastAsia="GHEA Grapalat" w:hAnsi="GHEA Grapalat" w:cs="GHEA Grapalat"/>
                <w:color w:val="000000"/>
                <w:sz w:val="24"/>
                <w:szCs w:val="24"/>
                <w:lang w:val="hy-AM"/>
              </w:rPr>
            </w:pPr>
          </w:p>
          <w:p w:rsidR="00A6207C" w:rsidRPr="00D54F4C" w:rsidRDefault="008B68E6" w:rsidP="009462FE">
            <w:pPr>
              <w:pStyle w:val="ListParagraph"/>
              <w:numPr>
                <w:ilvl w:val="0"/>
                <w:numId w:val="2"/>
              </w:numPr>
              <w:spacing w:line="276" w:lineRule="auto"/>
              <w:ind w:left="208" w:firstLine="284"/>
              <w:jc w:val="both"/>
              <w:rPr>
                <w:rFonts w:ascii="GHEA Grapalat" w:eastAsia="GHEA Grapalat" w:hAnsi="GHEA Grapalat" w:cs="GHEA Grapalat"/>
                <w:color w:val="000000"/>
                <w:sz w:val="24"/>
                <w:szCs w:val="24"/>
                <w:lang w:val="hy-AM"/>
              </w:rPr>
            </w:pPr>
            <w:r w:rsidRPr="009462FE">
              <w:rPr>
                <w:rFonts w:ascii="GHEA Grapalat" w:eastAsia="GHEA Grapalat" w:hAnsi="GHEA Grapalat" w:cs="GHEA Grapalat"/>
                <w:color w:val="000000"/>
                <w:sz w:val="24"/>
                <w:szCs w:val="24"/>
                <w:lang w:val="hy-AM"/>
              </w:rPr>
              <w:lastRenderedPageBreak/>
              <w:t xml:space="preserve"> </w:t>
            </w:r>
            <w:r w:rsidR="00C41A2E" w:rsidRPr="00D54F4C">
              <w:rPr>
                <w:rFonts w:ascii="GHEA Grapalat" w:eastAsia="GHEA Grapalat" w:hAnsi="GHEA Grapalat" w:cs="GHEA Grapalat"/>
                <w:color w:val="000000"/>
                <w:sz w:val="24"/>
                <w:szCs w:val="24"/>
                <w:lang w:val="hy-AM"/>
              </w:rPr>
              <w:t>Նախագծում կատարվել է համապատասխան փոփոխություն:</w:t>
            </w:r>
          </w:p>
          <w:p w:rsidR="00C41A2E" w:rsidRPr="009462FE" w:rsidRDefault="00C41A2E" w:rsidP="009462FE">
            <w:pPr>
              <w:pStyle w:val="ListParagraph"/>
              <w:spacing w:line="276" w:lineRule="auto"/>
              <w:rPr>
                <w:rFonts w:ascii="GHEA Grapalat" w:eastAsia="GHEA Grapalat" w:hAnsi="GHEA Grapalat" w:cs="GHEA Grapalat"/>
                <w:color w:val="000000"/>
                <w:sz w:val="24"/>
                <w:szCs w:val="24"/>
                <w:lang w:val="hy-AM"/>
              </w:rPr>
            </w:pPr>
          </w:p>
          <w:p w:rsidR="00806FA8" w:rsidRPr="009462FE" w:rsidRDefault="005A2272" w:rsidP="009462FE">
            <w:pPr>
              <w:pStyle w:val="ListParagraph"/>
              <w:numPr>
                <w:ilvl w:val="0"/>
                <w:numId w:val="2"/>
              </w:numPr>
              <w:spacing w:line="276" w:lineRule="auto"/>
              <w:ind w:left="208" w:firstLine="152"/>
              <w:jc w:val="both"/>
              <w:rPr>
                <w:rFonts w:ascii="GHEA Grapalat" w:eastAsia="GHEA Grapalat" w:hAnsi="GHEA Grapalat" w:cs="GHEA Grapalat"/>
                <w:color w:val="000000"/>
                <w:sz w:val="24"/>
                <w:szCs w:val="24"/>
                <w:lang w:val="hy-AM"/>
              </w:rPr>
            </w:pPr>
            <w:r w:rsidRPr="009462FE">
              <w:rPr>
                <w:rFonts w:ascii="GHEA Grapalat" w:eastAsia="GHEA Grapalat" w:hAnsi="GHEA Grapalat" w:cs="GHEA Grapalat"/>
                <w:color w:val="000000"/>
                <w:sz w:val="24"/>
                <w:szCs w:val="24"/>
                <w:lang w:val="hy-AM"/>
              </w:rPr>
              <w:t>Հակընդդեմ հայց ներկայացնելով` պատասխանող կողմը, մի կողմից ` ըստ էության նաև միջնորդում է դատարանին գործի քննությունը շարունակել, քանի որ գործի քննությունը շարունակելը բխում է նաև իր շահերից և իր հակընդդեմ հայցն էլ պետք է քննվի դատարանում, և նման դեպքերում սկզբնական հայցն առանց քննության թողնվել չի կարող` համարելով, որ հակընդդեմ հայցը պնդելու և դրանից չհրաժարվելու պայմաններում մշտապես առկա է գործի քննությունը հայցվոր կողմի բացակայությամբ շարունակելու միջնորդություն` հակընդդեմ հայցի ներկայացման փաստի և դրա քննության օրինական ակնկալիքի ուժով</w:t>
            </w:r>
            <w:r w:rsidR="00806FA8" w:rsidRPr="009462FE">
              <w:rPr>
                <w:rFonts w:ascii="GHEA Grapalat" w:eastAsia="GHEA Grapalat" w:hAnsi="GHEA Grapalat" w:cs="GHEA Grapalat"/>
                <w:color w:val="000000"/>
                <w:sz w:val="24"/>
                <w:szCs w:val="24"/>
                <w:lang w:val="hy-AM"/>
              </w:rPr>
              <w:t>:</w:t>
            </w:r>
          </w:p>
          <w:p w:rsidR="00806FA8" w:rsidRPr="009462FE" w:rsidRDefault="00806FA8" w:rsidP="009462FE">
            <w:pPr>
              <w:pStyle w:val="ListParagraph"/>
              <w:spacing w:line="276" w:lineRule="auto"/>
              <w:rPr>
                <w:rFonts w:ascii="GHEA Grapalat" w:eastAsia="GHEA Grapalat" w:hAnsi="GHEA Grapalat" w:cs="GHEA Grapalat"/>
                <w:color w:val="000000"/>
                <w:sz w:val="24"/>
                <w:szCs w:val="24"/>
                <w:lang w:val="hy-AM"/>
              </w:rPr>
            </w:pPr>
          </w:p>
          <w:p w:rsidR="00806FA8" w:rsidRPr="009462FE" w:rsidRDefault="00806FA8" w:rsidP="009462FE">
            <w:pPr>
              <w:spacing w:line="276" w:lineRule="auto"/>
              <w:ind w:firstLine="720"/>
              <w:jc w:val="both"/>
              <w:rPr>
                <w:rFonts w:ascii="GHEA Grapalat" w:hAnsi="GHEA Grapalat"/>
                <w:color w:val="000000"/>
                <w:sz w:val="24"/>
                <w:szCs w:val="24"/>
                <w:lang w:val="hy-AM"/>
              </w:rPr>
            </w:pPr>
            <w:r w:rsidRPr="009462FE">
              <w:rPr>
                <w:rFonts w:ascii="GHEA Grapalat" w:hAnsi="GHEA Grapalat"/>
                <w:color w:val="000000"/>
                <w:sz w:val="24"/>
                <w:szCs w:val="24"/>
                <w:lang w:val="hy-AM"/>
              </w:rPr>
              <w:lastRenderedPageBreak/>
              <w:t>Ինչ վերաբերում է առաջարկի երկրորդ մասին, հարկ է նշել, որ &lt;&lt;Դատական ակտերի հարկադիր կատարման մասին&gt;&gt; օրենքով առկա են առանց քննության թողնելի այլ հիմքեր: Ուստի, ննշված կարգավորումը ուղղված գործող կարգավորումների պայմաններում նշված դրույթի հստակեցմանը:</w:t>
            </w:r>
          </w:p>
          <w:p w:rsidR="00AE5702" w:rsidRPr="00D54F4C" w:rsidRDefault="00AE5702" w:rsidP="009462FE">
            <w:pPr>
              <w:spacing w:line="276" w:lineRule="auto"/>
              <w:jc w:val="both"/>
              <w:rPr>
                <w:rFonts w:ascii="GHEA Grapalat" w:hAnsi="GHEA Grapalat"/>
                <w:color w:val="000000"/>
                <w:sz w:val="24"/>
                <w:szCs w:val="24"/>
                <w:lang w:val="hy-AM"/>
              </w:rPr>
            </w:pPr>
          </w:p>
          <w:p w:rsidR="009462FE" w:rsidRPr="00D54F4C" w:rsidRDefault="009462FE" w:rsidP="009462FE">
            <w:pPr>
              <w:pStyle w:val="ListParagraph"/>
              <w:numPr>
                <w:ilvl w:val="0"/>
                <w:numId w:val="2"/>
              </w:numPr>
              <w:spacing w:line="276" w:lineRule="auto"/>
              <w:jc w:val="both"/>
              <w:rPr>
                <w:rFonts w:ascii="GHEA Grapalat" w:hAnsi="GHEA Grapalat"/>
                <w:color w:val="000000"/>
                <w:sz w:val="24"/>
                <w:szCs w:val="24"/>
              </w:rPr>
            </w:pPr>
            <w:r w:rsidRPr="00D54F4C">
              <w:rPr>
                <w:rFonts w:ascii="GHEA Grapalat" w:hAnsi="GHEA Grapalat"/>
                <w:color w:val="000000"/>
                <w:sz w:val="24"/>
                <w:szCs w:val="24"/>
              </w:rPr>
              <w:t>Քննարկել</w:t>
            </w:r>
          </w:p>
          <w:p w:rsidR="009462FE" w:rsidRPr="00D54F4C" w:rsidRDefault="009462FE" w:rsidP="009462FE">
            <w:pPr>
              <w:pStyle w:val="ListParagraph"/>
              <w:numPr>
                <w:ilvl w:val="0"/>
                <w:numId w:val="2"/>
              </w:numPr>
              <w:spacing w:line="276" w:lineRule="auto"/>
              <w:jc w:val="both"/>
              <w:rPr>
                <w:rFonts w:ascii="GHEA Grapalat" w:hAnsi="GHEA Grapalat"/>
                <w:color w:val="000000"/>
                <w:sz w:val="24"/>
                <w:szCs w:val="24"/>
              </w:rPr>
            </w:pPr>
            <w:r w:rsidRPr="00D54F4C">
              <w:rPr>
                <w:rFonts w:ascii="GHEA Grapalat" w:hAnsi="GHEA Grapalat"/>
                <w:color w:val="000000"/>
                <w:sz w:val="24"/>
                <w:szCs w:val="24"/>
              </w:rPr>
              <w:t>Առաջարկը հիմնավորված և հասկանալի չէ:</w:t>
            </w:r>
          </w:p>
          <w:p w:rsidR="00806FA8" w:rsidRPr="009462FE" w:rsidRDefault="00806FA8" w:rsidP="009462FE">
            <w:pPr>
              <w:spacing w:line="276" w:lineRule="auto"/>
              <w:ind w:firstLine="720"/>
              <w:jc w:val="both"/>
              <w:rPr>
                <w:rFonts w:ascii="GHEA Grapalat" w:hAnsi="GHEA Grapalat"/>
                <w:color w:val="000000"/>
                <w:sz w:val="24"/>
                <w:szCs w:val="24"/>
                <w:lang w:val="hy-AM"/>
              </w:rPr>
            </w:pPr>
          </w:p>
          <w:p w:rsidR="00806FA8" w:rsidRPr="009462FE" w:rsidRDefault="00806FA8" w:rsidP="009462FE">
            <w:pPr>
              <w:spacing w:line="276" w:lineRule="auto"/>
              <w:jc w:val="both"/>
              <w:rPr>
                <w:rFonts w:ascii="GHEA Grapalat" w:eastAsia="GHEA Grapalat" w:hAnsi="GHEA Grapalat" w:cs="GHEA Grapalat"/>
                <w:color w:val="000000"/>
                <w:sz w:val="24"/>
                <w:szCs w:val="24"/>
                <w:lang w:val="hy-AM"/>
              </w:rPr>
            </w:pPr>
          </w:p>
          <w:p w:rsidR="00806FA8" w:rsidRPr="009462FE" w:rsidRDefault="00806FA8" w:rsidP="009462FE">
            <w:pPr>
              <w:spacing w:line="276" w:lineRule="auto"/>
              <w:jc w:val="both"/>
              <w:rPr>
                <w:rFonts w:ascii="GHEA Grapalat" w:eastAsia="GHEA Grapalat" w:hAnsi="GHEA Grapalat" w:cs="GHEA Grapalat"/>
                <w:color w:val="000000"/>
                <w:sz w:val="24"/>
                <w:szCs w:val="24"/>
                <w:lang w:val="hy-AM"/>
              </w:rPr>
            </w:pPr>
          </w:p>
        </w:tc>
      </w:tr>
      <w:tr w:rsidR="005A0740" w:rsidRPr="009462FE" w:rsidTr="001907EA">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lastRenderedPageBreak/>
              <w:t>5</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«Կանանց աջակցման կենտրոն» ՀԿ</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25.04.2023 11:15:29</w:t>
            </w:r>
          </w:p>
        </w:tc>
        <w:tc>
          <w:tcPr>
            <w:tcW w:w="4883"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 xml:space="preserve">Հոդված 53.Օրենսգրքի 303-րդ հոդվածի 1-ին մասի 8-րդ կետը շարադրել հետևյալ բովանդակությամբ. «8. հայցն ակնհայտ անհիմն է, եթե դրանում ձևակերպված հայցապահանջն ակնհայտորեն ոչ իրավաչափ է (անհայտորեն ենթակա է մերժման անկախ դրա հիմքում դրված </w:t>
            </w:r>
            <w:r w:rsidRPr="009462FE">
              <w:rPr>
                <w:rFonts w:ascii="GHEA Grapalat" w:eastAsia="GHEA Grapalat" w:hAnsi="GHEA Grapalat" w:cs="GHEA Grapalat"/>
                <w:color w:val="000000"/>
                <w:sz w:val="24"/>
                <w:szCs w:val="24"/>
              </w:rPr>
              <w:lastRenderedPageBreak/>
              <w:t>փաստերից),ներկայացվել է ոչ պատշաճ հայցվորի կողմից կամ ոչ պատշաճ պատասխանողի դեմ, կամ հայցվորի կողմից դրա հիմքում դրված փաստերի հիման վրա ակնհայտորեն ենթակա է մերժման (այսուհետ՝ ակհայտ անհիմն հայց)։» Այս մասը հակասում է ոչ պատշաճ պատասխանողին  փոխարինելու դատավարական ինստուտուտին:/հոդված 172/:</w:t>
            </w:r>
          </w:p>
        </w:tc>
        <w:tc>
          <w:tcPr>
            <w:tcW w:w="1721" w:type="dxa"/>
            <w:tcBorders>
              <w:top w:val="single" w:sz="1" w:space="0" w:color="000000"/>
              <w:left w:val="single" w:sz="1" w:space="0" w:color="000000"/>
              <w:bottom w:val="single" w:sz="1" w:space="0" w:color="000000"/>
              <w:right w:val="single" w:sz="1" w:space="0" w:color="000000"/>
            </w:tcBorders>
          </w:tcPr>
          <w:p w:rsidR="00BB45D7" w:rsidRPr="009462FE" w:rsidRDefault="00BB45D7" w:rsidP="009462FE">
            <w:pPr>
              <w:spacing w:line="276" w:lineRule="auto"/>
              <w:jc w:val="both"/>
              <w:rPr>
                <w:rFonts w:ascii="GHEA Grapalat" w:hAnsi="GHEA Grapalat"/>
                <w:sz w:val="24"/>
                <w:szCs w:val="24"/>
              </w:rPr>
            </w:pPr>
          </w:p>
          <w:p w:rsidR="001A73B2" w:rsidRPr="009462FE" w:rsidRDefault="001A73B2" w:rsidP="009462FE">
            <w:pPr>
              <w:spacing w:line="276" w:lineRule="auto"/>
              <w:jc w:val="both"/>
              <w:rPr>
                <w:rFonts w:ascii="GHEA Grapalat" w:hAnsi="GHEA Grapalat"/>
                <w:sz w:val="24"/>
                <w:szCs w:val="24"/>
              </w:rPr>
            </w:pPr>
          </w:p>
          <w:p w:rsidR="001A73B2" w:rsidRPr="009462FE" w:rsidRDefault="001A73B2" w:rsidP="009462FE">
            <w:pPr>
              <w:spacing w:line="276" w:lineRule="auto"/>
              <w:jc w:val="both"/>
              <w:rPr>
                <w:rFonts w:ascii="GHEA Grapalat" w:hAnsi="GHEA Grapalat"/>
                <w:sz w:val="24"/>
                <w:szCs w:val="24"/>
              </w:rPr>
            </w:pPr>
          </w:p>
          <w:p w:rsidR="001A73B2" w:rsidRPr="009462FE" w:rsidRDefault="001A73B2" w:rsidP="009462FE">
            <w:pPr>
              <w:spacing w:line="276" w:lineRule="auto"/>
              <w:jc w:val="both"/>
              <w:rPr>
                <w:rFonts w:ascii="GHEA Grapalat" w:hAnsi="GHEA Grapalat"/>
                <w:sz w:val="24"/>
                <w:szCs w:val="24"/>
              </w:rPr>
            </w:pPr>
          </w:p>
          <w:p w:rsidR="001A73B2" w:rsidRPr="009462FE" w:rsidRDefault="001A73B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Չի ընդունվել:</w:t>
            </w:r>
          </w:p>
        </w:tc>
        <w:tc>
          <w:tcPr>
            <w:tcW w:w="4699" w:type="dxa"/>
            <w:tcBorders>
              <w:top w:val="single" w:sz="1" w:space="0" w:color="000000"/>
              <w:left w:val="single" w:sz="1" w:space="0" w:color="000000"/>
              <w:bottom w:val="single" w:sz="1" w:space="0" w:color="000000"/>
              <w:right w:val="single" w:sz="1" w:space="0" w:color="000000"/>
            </w:tcBorders>
          </w:tcPr>
          <w:p w:rsidR="00BB45D7" w:rsidRPr="009462FE" w:rsidRDefault="001A73B2" w:rsidP="009462FE">
            <w:pPr>
              <w:spacing w:line="276" w:lineRule="auto"/>
              <w:jc w:val="both"/>
              <w:rPr>
                <w:rFonts w:ascii="GHEA Grapalat" w:hAnsi="GHEA Grapalat"/>
                <w:sz w:val="24"/>
                <w:szCs w:val="24"/>
              </w:rPr>
            </w:pPr>
            <w:r w:rsidRPr="009462FE">
              <w:rPr>
                <w:rFonts w:ascii="GHEA Grapalat" w:hAnsi="GHEA Grapalat"/>
                <w:color w:val="000000"/>
                <w:sz w:val="24"/>
                <w:szCs w:val="24"/>
                <w:lang w:val="hy-AM"/>
              </w:rPr>
              <w:t xml:space="preserve">Տվյալ դեպքում 172-րդ հոդվածի հետ հակասություն առկա չէ, մասնավորապես, 172-րդ հոդվածով սահմանվում է գործի քննության ընթացքում, այսինքն՝ մինչև նախնական դատական նիստի ավարտը ոչ պատշաճ </w:t>
            </w:r>
            <w:r w:rsidRPr="009462FE">
              <w:rPr>
                <w:rFonts w:ascii="GHEA Grapalat" w:hAnsi="GHEA Grapalat"/>
                <w:color w:val="000000"/>
                <w:sz w:val="24"/>
                <w:szCs w:val="24"/>
                <w:lang w:val="hy-AM"/>
              </w:rPr>
              <w:lastRenderedPageBreak/>
              <w:t>պատասխանողին փոխարինելու հարցը, իսկ փոփոխվող հոդվածով կարգավորվում է արագացված դատաքննության կիրառման հիմքերը, ըստ որի կիրառման հիմք է հայցն ակնհայտ անհիմն լինելը, որը կարող է դրսևորվել ակնհայտ ոչ պատշաճ պատասխանողի դեմ ներկայացված հայցով: Այսինքն, նշված կարգավորումը անձին չի զրկում Օրենսգրքի 172-րդ հոդվածով տրված իրավունքից օգտվելու հնարավորությունից:</w:t>
            </w:r>
          </w:p>
        </w:tc>
      </w:tr>
      <w:tr w:rsidR="005A0740" w:rsidRPr="009462FE" w:rsidTr="001907EA">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lastRenderedPageBreak/>
              <w:t>6</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«Կանանց աջակցման կենտրոն» ՀԿ</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25.04.2023 11:15:29</w:t>
            </w:r>
          </w:p>
        </w:tc>
        <w:tc>
          <w:tcPr>
            <w:tcW w:w="4883"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Հոդված 32.</w:t>
            </w:r>
            <w:r w:rsidRPr="009462FE">
              <w:rPr>
                <w:rFonts w:ascii="GHEA Grapalat" w:eastAsia="GHEA Grapalat" w:hAnsi="GHEA Grapalat" w:cs="GHEA Grapalat"/>
                <w:color w:val="000000"/>
                <w:sz w:val="24"/>
                <w:szCs w:val="24"/>
              </w:rPr>
              <w:tab/>
              <w:t xml:space="preserve">Օրենսգրքի 153-րդ հոդվածի 3-րդ մասի 2-րդ նախադասությունը շարադրել հետևյալ խմբագրությամբ.  </w:t>
            </w:r>
            <w:r w:rsidRPr="009462FE">
              <w:rPr>
                <w:rFonts w:ascii="GHEA Grapalat" w:eastAsia="GHEA Grapalat" w:hAnsi="GHEA Grapalat" w:cs="GHEA Grapalat"/>
                <w:color w:val="000000"/>
                <w:sz w:val="24"/>
                <w:szCs w:val="24"/>
              </w:rPr>
              <w:tab/>
              <w:t xml:space="preserve">«Տուգանք կիրառելիս կամ գործին մասնակցող անձին դատական նիստերի դահլիճից հեռացնելիս արտահայտվելու իրավունք չտրամադրելը դատարանը պետք է հնարավորության դեպքում պատճառաբանի այդ անձի ներկայությամբ կամ այդ անձի </w:t>
            </w:r>
            <w:r w:rsidRPr="009462FE">
              <w:rPr>
                <w:rFonts w:ascii="GHEA Grapalat" w:eastAsia="GHEA Grapalat" w:hAnsi="GHEA Grapalat" w:cs="GHEA Grapalat"/>
                <w:color w:val="000000"/>
                <w:sz w:val="24"/>
                <w:szCs w:val="24"/>
              </w:rPr>
              <w:lastRenderedPageBreak/>
              <w:t>բացակայությամբ:»: Նման պահանջը պետք է իմպերատիվ թողնել, խախտում է դատավարության մասնակիցների իրավունքը:</w:t>
            </w:r>
          </w:p>
        </w:tc>
        <w:tc>
          <w:tcPr>
            <w:tcW w:w="1721" w:type="dxa"/>
            <w:tcBorders>
              <w:top w:val="single" w:sz="1" w:space="0" w:color="000000"/>
              <w:left w:val="single" w:sz="1" w:space="0" w:color="000000"/>
              <w:bottom w:val="single" w:sz="1" w:space="0" w:color="000000"/>
              <w:right w:val="single" w:sz="1" w:space="0" w:color="000000"/>
            </w:tcBorders>
          </w:tcPr>
          <w:p w:rsidR="00BB45D7" w:rsidRPr="009462FE" w:rsidRDefault="00374A7F"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color w:val="000000"/>
                <w:sz w:val="24"/>
                <w:szCs w:val="24"/>
              </w:rPr>
              <w:lastRenderedPageBreak/>
              <w:t>Ընդունվել է:</w:t>
            </w:r>
          </w:p>
        </w:tc>
        <w:tc>
          <w:tcPr>
            <w:tcW w:w="4699" w:type="dxa"/>
            <w:tcBorders>
              <w:top w:val="single" w:sz="1" w:space="0" w:color="000000"/>
              <w:left w:val="single" w:sz="1" w:space="0" w:color="000000"/>
              <w:bottom w:val="single" w:sz="1" w:space="0" w:color="000000"/>
              <w:right w:val="single" w:sz="1" w:space="0" w:color="000000"/>
            </w:tcBorders>
          </w:tcPr>
          <w:p w:rsidR="00BB45D7" w:rsidRPr="009462FE" w:rsidRDefault="00374A7F"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color w:val="000000"/>
                <w:sz w:val="24"/>
                <w:szCs w:val="24"/>
              </w:rPr>
              <w:t>Նախագծում կատարվել է համապատասխան փոփոխություն:</w:t>
            </w:r>
          </w:p>
        </w:tc>
      </w:tr>
      <w:tr w:rsidR="005A0740" w:rsidRPr="009462FE" w:rsidTr="001907EA">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lastRenderedPageBreak/>
              <w:t>7</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«Կանանց աջակցման կենտրոն» ՀԿ</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25.04.2023 11:15:29</w:t>
            </w:r>
          </w:p>
        </w:tc>
        <w:tc>
          <w:tcPr>
            <w:tcW w:w="4883"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Հոդված 25.</w:t>
            </w:r>
            <w:r w:rsidRPr="009462FE">
              <w:rPr>
                <w:rFonts w:ascii="GHEA Grapalat" w:eastAsia="GHEA Grapalat" w:hAnsi="GHEA Grapalat" w:cs="GHEA Grapalat"/>
                <w:color w:val="000000"/>
                <w:sz w:val="24"/>
                <w:szCs w:val="24"/>
              </w:rPr>
              <w:tab/>
              <w:t>Օրենսգրքի 127-րդ հոդվածում. 1) 1-ին մասի 10-րդ կետը «հոդվածի» բառից հետո լրացնել «1-ին և» բառը: 2) 4-րդ մասը լրացնել նոր նախադասությամբ հետևյալ բովանդակությամբ. «Կրկին ներկայացված հայցադիմումում առկա խախտումները վերացնելու համար նոր ժամկետ չի տրվում՝ բացառությամբ այն դեպքերի, երբ այդ խախտումները վերացնելու հնարավորությունից հայցվորը զրկված էր իր կամքից անկախ պատճառներով:»: Այսինքն՝ այս հատվածը/կրկին ներկայացնելու ժամկետը/ թողնվում է հայցվորի հայեցողությանը և կարող է դատական գործերի  ավելորդ քանակի, դատարանի ծանրաբեռնվածության պատճառ հանդիսանալ:</w:t>
            </w:r>
          </w:p>
        </w:tc>
        <w:tc>
          <w:tcPr>
            <w:tcW w:w="1721" w:type="dxa"/>
            <w:tcBorders>
              <w:top w:val="single" w:sz="1" w:space="0" w:color="000000"/>
              <w:left w:val="single" w:sz="1" w:space="0" w:color="000000"/>
              <w:bottom w:val="single" w:sz="1" w:space="0" w:color="000000"/>
              <w:right w:val="single" w:sz="1" w:space="0" w:color="000000"/>
            </w:tcBorders>
          </w:tcPr>
          <w:p w:rsidR="00BB45D7" w:rsidRPr="009462FE" w:rsidRDefault="00EB3FAD"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color w:val="000000"/>
                <w:sz w:val="24"/>
                <w:szCs w:val="24"/>
              </w:rPr>
              <w:t>Չի ընդունվել:</w:t>
            </w:r>
          </w:p>
        </w:tc>
        <w:tc>
          <w:tcPr>
            <w:tcW w:w="4699" w:type="dxa"/>
            <w:tcBorders>
              <w:top w:val="single" w:sz="1" w:space="0" w:color="000000"/>
              <w:left w:val="single" w:sz="1" w:space="0" w:color="000000"/>
              <w:bottom w:val="single" w:sz="1" w:space="0" w:color="000000"/>
              <w:right w:val="single" w:sz="1" w:space="0" w:color="000000"/>
            </w:tcBorders>
          </w:tcPr>
          <w:p w:rsidR="00BB45D7" w:rsidRPr="009462FE" w:rsidRDefault="00FC1868"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color w:val="000000"/>
                <w:sz w:val="24"/>
                <w:szCs w:val="24"/>
              </w:rPr>
              <w:t>Նշված կարգավորումը ուղղված է դատարանների ծանրաբեռնվածության թեթևացմանը և դատավարության մասնակիցների կողմից իրավունքի չարաշահումների կանխարգելմանը: Մասնավորապես, վերադաս դատական ատյանների կողմից տրված մեկնաբանության արդյունքում պրակտիկայում</w:t>
            </w:r>
            <w:r w:rsidR="00756E8B" w:rsidRPr="009462FE">
              <w:rPr>
                <w:rFonts w:ascii="GHEA Grapalat" w:eastAsia="GHEA Grapalat" w:hAnsi="GHEA Grapalat" w:cs="GHEA Grapalat"/>
                <w:color w:val="000000"/>
                <w:sz w:val="24"/>
                <w:szCs w:val="24"/>
              </w:rPr>
              <w:t xml:space="preserve"> յուրաքանչյուր հաջորդ անգամ հայցադիմումի ներկայացումը, եթե պահպանվել է եռօրյա ժամկետը դիտարկվում է որպես սկզբնական ներկայացման օրը, ինչը բազմաթիվ չարաշահումների տեղիք է տալիս: </w:t>
            </w:r>
          </w:p>
        </w:tc>
      </w:tr>
      <w:tr w:rsidR="005A0740" w:rsidRPr="009462FE" w:rsidTr="001907EA">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lastRenderedPageBreak/>
              <w:t>8</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«Կանանց աջակցման կենտրոն» ՀԿ</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25.04.2023 11:15:29</w:t>
            </w:r>
          </w:p>
        </w:tc>
        <w:tc>
          <w:tcPr>
            <w:tcW w:w="4883"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Հոդված 19.</w:t>
            </w:r>
            <w:r w:rsidRPr="009462FE">
              <w:rPr>
                <w:rFonts w:ascii="GHEA Grapalat" w:eastAsia="GHEA Grapalat" w:hAnsi="GHEA Grapalat" w:cs="GHEA Grapalat"/>
                <w:color w:val="000000"/>
                <w:sz w:val="24"/>
                <w:szCs w:val="24"/>
              </w:rPr>
              <w:tab/>
              <w:t>Օրենսգրքի 110-րդ հոդվածում. 1)</w:t>
            </w:r>
            <w:r w:rsidRPr="009462FE">
              <w:rPr>
                <w:rFonts w:ascii="GHEA Grapalat" w:eastAsia="GHEA Grapalat" w:hAnsi="GHEA Grapalat" w:cs="GHEA Grapalat"/>
                <w:color w:val="000000"/>
                <w:sz w:val="24"/>
                <w:szCs w:val="24"/>
              </w:rPr>
              <w:tab/>
              <w:t>4-րդ մասում «անդրադառնում են» բառերը փոխարինել «իրավունք ունեն անդրադառնալ» բառերով:Վրիպակ է պետք է լինի 3-րդ մասում:</w:t>
            </w:r>
          </w:p>
        </w:tc>
        <w:tc>
          <w:tcPr>
            <w:tcW w:w="1721" w:type="dxa"/>
            <w:tcBorders>
              <w:top w:val="single" w:sz="1" w:space="0" w:color="000000"/>
              <w:left w:val="single" w:sz="1" w:space="0" w:color="000000"/>
              <w:bottom w:val="single" w:sz="1" w:space="0" w:color="000000"/>
              <w:right w:val="single" w:sz="1" w:space="0" w:color="000000"/>
            </w:tcBorders>
          </w:tcPr>
          <w:p w:rsidR="00BB45D7" w:rsidRPr="009462FE" w:rsidRDefault="00EE7F07"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color w:val="000000"/>
                <w:sz w:val="24"/>
                <w:szCs w:val="24"/>
              </w:rPr>
              <w:t>Ընդունվել է:</w:t>
            </w:r>
          </w:p>
        </w:tc>
        <w:tc>
          <w:tcPr>
            <w:tcW w:w="4699" w:type="dxa"/>
            <w:tcBorders>
              <w:top w:val="single" w:sz="1" w:space="0" w:color="000000"/>
              <w:left w:val="single" w:sz="1" w:space="0" w:color="000000"/>
              <w:bottom w:val="single" w:sz="1" w:space="0" w:color="000000"/>
              <w:right w:val="single" w:sz="1" w:space="0" w:color="000000"/>
            </w:tcBorders>
          </w:tcPr>
          <w:p w:rsidR="00BB45D7" w:rsidRPr="009462FE" w:rsidRDefault="00EE7F07"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color w:val="000000"/>
                <w:sz w:val="24"/>
                <w:szCs w:val="24"/>
              </w:rPr>
              <w:t>Նախագծում կատարվել է համապատասխան փոփոխություն:</w:t>
            </w:r>
          </w:p>
        </w:tc>
      </w:tr>
      <w:tr w:rsidR="005A0740" w:rsidRPr="009462FE" w:rsidTr="001907EA">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9</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«Կանանց աջակցման կենտրոն» ՀԿ</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25.04.2023 11:15:29</w:t>
            </w:r>
          </w:p>
        </w:tc>
        <w:tc>
          <w:tcPr>
            <w:tcW w:w="4883"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Առաջարկում ենք</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Հոդված 17.</w:t>
            </w:r>
            <w:r w:rsidRPr="009462FE">
              <w:rPr>
                <w:rFonts w:ascii="GHEA Grapalat" w:eastAsia="GHEA Grapalat" w:hAnsi="GHEA Grapalat" w:cs="GHEA Grapalat"/>
                <w:color w:val="000000"/>
                <w:sz w:val="24"/>
                <w:szCs w:val="24"/>
              </w:rPr>
              <w:tab/>
              <w:t xml:space="preserve">Օրենսգրքի108-րդ հոդվածի 1-ին մասը շարադրել հետևյալ խմբագրությամբ. «1. Դատական ծախսերի հետ կապված պահանջները ներկայացվում են բացառապես տվյալ գործի շրջանակներում՝ գրավոր միջնորդության տեսքով: Նման պահանջից հրաժարվելու կամ այդ կարգը չպահպանելու դեպքում դատական ծախսերի հատուցման հարցը համարվում է լուծված:»: Ավելացնել, որ այս միջնորդությունը, եթե ներկայացվել է դատական նիստի ընթացքում պետք է տրամադրվի նաև գործի մասնակցող մյուս անձանց, իսկ եթե դատական նիստից դուրս է ուղարկվել, ապա  պետք </w:t>
            </w:r>
            <w:r w:rsidRPr="009462FE">
              <w:rPr>
                <w:rFonts w:ascii="GHEA Grapalat" w:eastAsia="GHEA Grapalat" w:hAnsi="GHEA Grapalat" w:cs="GHEA Grapalat"/>
                <w:color w:val="000000"/>
                <w:sz w:val="24"/>
                <w:szCs w:val="24"/>
              </w:rPr>
              <w:lastRenderedPageBreak/>
              <w:t>է ուղարկվի փոստային ծանուցման միջոցով գործի մասնակցող մյուս անձանց:</w:t>
            </w:r>
          </w:p>
        </w:tc>
        <w:tc>
          <w:tcPr>
            <w:tcW w:w="1721" w:type="dxa"/>
            <w:tcBorders>
              <w:top w:val="single" w:sz="1" w:space="0" w:color="000000"/>
              <w:left w:val="single" w:sz="1" w:space="0" w:color="000000"/>
              <w:bottom w:val="single" w:sz="1" w:space="0" w:color="000000"/>
              <w:right w:val="single" w:sz="1" w:space="0" w:color="000000"/>
            </w:tcBorders>
          </w:tcPr>
          <w:p w:rsidR="00BB45D7" w:rsidRPr="009462FE" w:rsidRDefault="001907EA"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color w:val="000000"/>
                <w:sz w:val="24"/>
                <w:szCs w:val="24"/>
              </w:rPr>
              <w:lastRenderedPageBreak/>
              <w:t>Չի ընդունվել:</w:t>
            </w:r>
          </w:p>
        </w:tc>
        <w:tc>
          <w:tcPr>
            <w:tcW w:w="4699" w:type="dxa"/>
            <w:tcBorders>
              <w:top w:val="single" w:sz="1" w:space="0" w:color="000000"/>
              <w:left w:val="single" w:sz="1" w:space="0" w:color="000000"/>
              <w:bottom w:val="single" w:sz="1" w:space="0" w:color="000000"/>
              <w:right w:val="single" w:sz="1" w:space="0" w:color="000000"/>
            </w:tcBorders>
          </w:tcPr>
          <w:p w:rsidR="001907EA" w:rsidRPr="009462FE" w:rsidRDefault="001907EA"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color w:val="000000"/>
                <w:sz w:val="24"/>
                <w:szCs w:val="24"/>
              </w:rPr>
              <w:t xml:space="preserve">Դատարանի կողմից գործին մասնակցող անձանց միջնորդությունների լուծման, ներկայացման կարգը սահմանված է </w:t>
            </w:r>
          </w:p>
          <w:p w:rsidR="00BB45D7" w:rsidRPr="009462FE" w:rsidRDefault="001907EA" w:rsidP="009462FE">
            <w:pPr>
              <w:spacing w:line="276" w:lineRule="auto"/>
              <w:jc w:val="both"/>
              <w:rPr>
                <w:rFonts w:ascii="GHEA Grapalat" w:eastAsia="GHEA Grapalat" w:hAnsi="GHEA Grapalat" w:cs="GHEA Grapalat"/>
                <w:color w:val="000000"/>
                <w:sz w:val="24"/>
                <w:szCs w:val="24"/>
              </w:rPr>
            </w:pPr>
            <w:r w:rsidRPr="009462FE">
              <w:rPr>
                <w:rFonts w:ascii="GHEA Grapalat" w:eastAsia="GHEA Grapalat" w:hAnsi="GHEA Grapalat" w:cs="GHEA Grapalat"/>
                <w:color w:val="000000"/>
                <w:sz w:val="24"/>
                <w:szCs w:val="24"/>
              </w:rPr>
              <w:t>Քաղաքացիական դատավարության օրենսգրքի 152-րդ հոդվածով, մասնավորապես, նշված հոդվածի 3-րդ և 4-րդ մասերով հստակ կարգավորված է դատական նիստում և դատական նիստից դուրս միջնորդությունների ներկայացման կարգը</w:t>
            </w:r>
            <w:r w:rsidR="005F4ABE" w:rsidRPr="009462FE">
              <w:rPr>
                <w:rFonts w:ascii="GHEA Grapalat" w:eastAsia="GHEA Grapalat" w:hAnsi="GHEA Grapalat" w:cs="GHEA Grapalat"/>
                <w:color w:val="000000"/>
                <w:sz w:val="24"/>
                <w:szCs w:val="24"/>
              </w:rPr>
              <w:t>:</w:t>
            </w:r>
            <w:r w:rsidR="00EE7F07" w:rsidRPr="009462FE">
              <w:rPr>
                <w:rFonts w:ascii="GHEA Grapalat" w:eastAsia="GHEA Grapalat" w:hAnsi="GHEA Grapalat" w:cs="GHEA Grapalat"/>
                <w:color w:val="000000"/>
                <w:sz w:val="24"/>
                <w:szCs w:val="24"/>
              </w:rPr>
              <w:t xml:space="preserve"> Ուստի, յուրաքանչյուր առանձին միջնորդության շրջանակներում նշված հարցի կարգավորման անհրաժեշտությունը բացակայում է:</w:t>
            </w:r>
          </w:p>
        </w:tc>
      </w:tr>
      <w:tr w:rsidR="005A0740" w:rsidRPr="009462FE" w:rsidTr="001907EA">
        <w:tc>
          <w:tcPr>
            <w:tcW w:w="466"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lastRenderedPageBreak/>
              <w:t>10</w:t>
            </w:r>
          </w:p>
        </w:tc>
        <w:tc>
          <w:tcPr>
            <w:tcW w:w="2198"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«Կանանց աջակցման կենտրոն» ՀԿ</w:t>
            </w:r>
          </w:p>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25.04.2023 11:15:29</w:t>
            </w:r>
          </w:p>
        </w:tc>
        <w:tc>
          <w:tcPr>
            <w:tcW w:w="4883" w:type="dxa"/>
            <w:tcBorders>
              <w:top w:val="single" w:sz="1" w:space="0" w:color="000000"/>
              <w:left w:val="single" w:sz="1" w:space="0" w:color="000000"/>
              <w:bottom w:val="single" w:sz="1" w:space="0" w:color="000000"/>
              <w:right w:val="single" w:sz="1" w:space="0" w:color="000000"/>
            </w:tcBorders>
          </w:tcPr>
          <w:p w:rsidR="00BB45D7" w:rsidRPr="009462FE" w:rsidRDefault="00447112"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t>Առաջարկում ենք</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Հոդված 14.</w:t>
            </w:r>
            <w:r w:rsidRPr="009462FE">
              <w:rPr>
                <w:rFonts w:ascii="GHEA Grapalat" w:eastAsia="GHEA Grapalat" w:hAnsi="GHEA Grapalat" w:cs="GHEA Grapalat"/>
                <w:color w:val="000000"/>
                <w:sz w:val="24"/>
                <w:szCs w:val="24"/>
              </w:rPr>
              <w:tab/>
              <w:t>Օրենսգրքի 97-րդ հոդվածը լրացնել նոր 4.1-րդ մասը շարադրել հետևյալ բովանդակուոթյամբ</w:t>
            </w:r>
            <w:r w:rsidRPr="009462FE">
              <w:rPr>
                <w:rFonts w:ascii="MS Mincho" w:eastAsia="MS Mincho" w:hAnsi="MS Mincho" w:cs="MS Mincho" w:hint="eastAsia"/>
                <w:color w:val="000000"/>
                <w:sz w:val="24"/>
                <w:szCs w:val="24"/>
              </w:rPr>
              <w:t>․</w:t>
            </w:r>
            <w:r w:rsidRPr="009462FE">
              <w:rPr>
                <w:rFonts w:ascii="GHEA Grapalat" w:eastAsia="GHEA Grapalat" w:hAnsi="GHEA Grapalat" w:cs="GHEA Grapalat"/>
                <w:color w:val="000000"/>
                <w:sz w:val="24"/>
                <w:szCs w:val="24"/>
              </w:rPr>
              <w:t xml:space="preserve">  «4.1. Դատական ծանուցագիրը հեռախոսակապի կամ ինտերնետ կապի կիրառմամբ ուղարկելը կամ այդ մասին հաղորդելը հնարավոր է, եթե կողմն ինքն է դատարանին տրամադրել իր հեռախոսահամարը: Այդ դեպքում նշված հեռախոսահամարին ուղարկված կամ հաղորդած ցանկացած տեղեկություն համարվում է ընդունված կամ ստացված հասցեատիրոջ կողմից: Հեռախոսակապի միջոցով իրականացված ծանուցումը պատշաճ է համարվում, եթե առկա է դատական ծանուցագրի հաղորդագրությունն ուղարկելու և այն հասցեատիրոջ կողմից ստացվելու փաստը հաստատելու </w:t>
            </w:r>
            <w:r w:rsidRPr="009462FE">
              <w:rPr>
                <w:rFonts w:ascii="GHEA Grapalat" w:eastAsia="GHEA Grapalat" w:hAnsi="GHEA Grapalat" w:cs="GHEA Grapalat"/>
                <w:color w:val="000000"/>
                <w:sz w:val="24"/>
                <w:szCs w:val="24"/>
              </w:rPr>
              <w:lastRenderedPageBreak/>
              <w:t>հնարավորություն, իսկ հեռախոսային խոսակցության դեպքում՝ դրա բովանդակության մասին ձայնագրություն»: Այսինքն, ստացվում է, որ դատավարության ընթացքում մյուս կողմը չի կարող տրամադրել մեկ այլ կողմի հեռախոսահամարը դատարանի կողմից ծանուցելու համար: Մեր կարծիքով սա կնպաստի գործերի անհարկի ձգձգմանը և գործի քննության ողջամտության ժամկետները կխախտվեն:</w:t>
            </w:r>
          </w:p>
        </w:tc>
        <w:tc>
          <w:tcPr>
            <w:tcW w:w="1721" w:type="dxa"/>
            <w:tcBorders>
              <w:top w:val="single" w:sz="1" w:space="0" w:color="000000"/>
              <w:left w:val="single" w:sz="1" w:space="0" w:color="000000"/>
              <w:bottom w:val="single" w:sz="1" w:space="0" w:color="000000"/>
              <w:right w:val="single" w:sz="1" w:space="0" w:color="000000"/>
            </w:tcBorders>
          </w:tcPr>
          <w:p w:rsidR="00BB45D7" w:rsidRPr="009462FE" w:rsidRDefault="000E1CDF" w:rsidP="009462FE">
            <w:pPr>
              <w:spacing w:line="276" w:lineRule="auto"/>
              <w:jc w:val="both"/>
              <w:rPr>
                <w:rFonts w:ascii="GHEA Grapalat" w:hAnsi="GHEA Grapalat"/>
                <w:sz w:val="24"/>
                <w:szCs w:val="24"/>
              </w:rPr>
            </w:pPr>
            <w:r w:rsidRPr="009462FE">
              <w:rPr>
                <w:rFonts w:ascii="GHEA Grapalat" w:eastAsia="GHEA Grapalat" w:hAnsi="GHEA Grapalat" w:cs="GHEA Grapalat"/>
                <w:color w:val="000000"/>
                <w:sz w:val="24"/>
                <w:szCs w:val="24"/>
              </w:rPr>
              <w:lastRenderedPageBreak/>
              <w:t>Չի ընդունվել</w:t>
            </w:r>
            <w:r w:rsidRPr="009462FE">
              <w:rPr>
                <w:rFonts w:ascii="GHEA Grapalat" w:hAnsi="GHEA Grapalat"/>
                <w:sz w:val="24"/>
                <w:szCs w:val="24"/>
              </w:rPr>
              <w:t>:</w:t>
            </w:r>
          </w:p>
        </w:tc>
        <w:tc>
          <w:tcPr>
            <w:tcW w:w="4699" w:type="dxa"/>
            <w:tcBorders>
              <w:top w:val="single" w:sz="1" w:space="0" w:color="000000"/>
              <w:left w:val="single" w:sz="1" w:space="0" w:color="000000"/>
              <w:bottom w:val="single" w:sz="1" w:space="0" w:color="000000"/>
              <w:right w:val="single" w:sz="1" w:space="0" w:color="000000"/>
            </w:tcBorders>
          </w:tcPr>
          <w:p w:rsidR="00DC513C" w:rsidRPr="009462FE" w:rsidRDefault="000E1CDF" w:rsidP="009462FE">
            <w:pPr>
              <w:spacing w:line="276" w:lineRule="auto"/>
              <w:jc w:val="both"/>
              <w:rPr>
                <w:rFonts w:ascii="GHEA Grapalat" w:hAnsi="GHEA Grapalat"/>
                <w:sz w:val="24"/>
                <w:szCs w:val="24"/>
              </w:rPr>
            </w:pPr>
            <w:r w:rsidRPr="009462FE">
              <w:rPr>
                <w:rFonts w:ascii="GHEA Grapalat" w:hAnsi="GHEA Grapalat"/>
                <w:sz w:val="24"/>
                <w:szCs w:val="24"/>
              </w:rPr>
              <w:t>Գործին մասնակցող անձանց դատական նիստի և առանձին դատավարական գործողությունների ժամանակի և վայրի մասին ծանուցելը և մասնավորապես վերջիններիս տեղեկացնելը դատարանի պարտականությունն է, որը չպահպանելը համարվում է դատավարական իրավունքի նորմերի խախտում: Նշված պահանջը չպահպանելը հանգեցնում է նա</w:t>
            </w:r>
            <w:r w:rsidR="00BE5D1E" w:rsidRPr="009462FE">
              <w:rPr>
                <w:rFonts w:ascii="GHEA Grapalat" w:hAnsi="GHEA Grapalat"/>
                <w:sz w:val="24"/>
                <w:szCs w:val="24"/>
              </w:rPr>
              <w:t>և</w:t>
            </w:r>
            <w:r w:rsidRPr="009462FE">
              <w:rPr>
                <w:rFonts w:ascii="GHEA Grapalat" w:hAnsi="GHEA Grapalat"/>
                <w:sz w:val="24"/>
                <w:szCs w:val="24"/>
              </w:rPr>
              <w:t xml:space="preserve"> Մարդու իրավունքների եվրոպական կոնվենցիայի 6-րդ հոդվածով երաշխավորված արդար դատաքննության իրավունքի խախտման</w:t>
            </w:r>
            <w:r w:rsidR="00DC513C" w:rsidRPr="009462FE">
              <w:rPr>
                <w:rFonts w:ascii="GHEA Grapalat" w:hAnsi="GHEA Grapalat"/>
                <w:sz w:val="24"/>
                <w:szCs w:val="24"/>
              </w:rPr>
              <w:t xml:space="preserve">: Նշվածի շրջանակներում ՄԻԵԴ-ը նույնպես ամրագրել է, որ ոչ միայն պետք է ամրագրվեն քաղաքացիական իրավունքների դատական պաշտպանության </w:t>
            </w:r>
            <w:r w:rsidR="00DC513C" w:rsidRPr="009462FE">
              <w:rPr>
                <w:rFonts w:ascii="GHEA Grapalat" w:hAnsi="GHEA Grapalat"/>
                <w:sz w:val="24"/>
                <w:szCs w:val="24"/>
              </w:rPr>
              <w:lastRenderedPageBreak/>
              <w:t>իրավունքը, այլև կոնկրետ գործով պետք է ապահովեն անձի կողմից իր իրավունքների իրականացման իրական հնարավորությունը: Եվրոպական դատարանը նախադեպային իրավունքում արձանագրել է, որ համապատասխան իրավասու մարմինները պետք է ձեռնարկեն անհրաժեշտ բոլոր քայլերը` տեղեկացնելու դիմումատուներին իրենց վերաբերյալ քննվող գործերի մասին:</w:t>
            </w:r>
          </w:p>
          <w:p w:rsidR="00BE5D1E" w:rsidRPr="009462FE" w:rsidRDefault="00DC513C" w:rsidP="009462FE">
            <w:pPr>
              <w:spacing w:line="276" w:lineRule="auto"/>
              <w:jc w:val="both"/>
              <w:rPr>
                <w:rFonts w:ascii="GHEA Grapalat" w:hAnsi="GHEA Grapalat"/>
                <w:sz w:val="24"/>
                <w:szCs w:val="24"/>
              </w:rPr>
            </w:pPr>
            <w:r w:rsidRPr="009462FE">
              <w:rPr>
                <w:rFonts w:ascii="GHEA Grapalat" w:hAnsi="GHEA Grapalat"/>
                <w:sz w:val="24"/>
                <w:szCs w:val="24"/>
              </w:rPr>
              <w:t>Հաշվի առնելով վերոգրյ</w:t>
            </w:r>
            <w:r w:rsidR="00BE5D1E" w:rsidRPr="009462FE">
              <w:rPr>
                <w:rFonts w:ascii="GHEA Grapalat" w:hAnsi="GHEA Grapalat"/>
                <w:sz w:val="24"/>
                <w:szCs w:val="24"/>
              </w:rPr>
              <w:t xml:space="preserve">ալը, հարկ է նշել, որ </w:t>
            </w:r>
          </w:p>
          <w:p w:rsidR="00BB45D7" w:rsidRPr="009462FE" w:rsidRDefault="00BE5D1E" w:rsidP="009462FE">
            <w:pPr>
              <w:spacing w:line="276" w:lineRule="auto"/>
              <w:jc w:val="both"/>
              <w:rPr>
                <w:rFonts w:ascii="GHEA Grapalat" w:hAnsi="GHEA Grapalat"/>
                <w:sz w:val="24"/>
                <w:szCs w:val="24"/>
              </w:rPr>
            </w:pPr>
            <w:r w:rsidRPr="009462FE">
              <w:rPr>
                <w:rFonts w:ascii="GHEA Grapalat" w:hAnsi="GHEA Grapalat"/>
                <w:sz w:val="24"/>
                <w:szCs w:val="24"/>
              </w:rPr>
              <w:t>չնայած արդի զարգացումների պայմաններում տարբեր մեխանիզմների ներդրմանը, այնուամենայնիվ այլնընտրանքային ծանուցման եղանակի ընտրության դեպքում այդ եղանակը պետք է լինի այնպիսին, որ հասցեատեր</w:t>
            </w:r>
            <w:r w:rsidR="005D148E" w:rsidRPr="009462FE">
              <w:rPr>
                <w:rFonts w:ascii="GHEA Grapalat" w:hAnsi="GHEA Grapalat"/>
                <w:sz w:val="24"/>
                <w:szCs w:val="24"/>
              </w:rPr>
              <w:t xml:space="preserve">ն ինչպես տեղեկացված լինի ծանուցման եղանակի մասին, այնպես </w:t>
            </w:r>
            <w:r w:rsidR="001907EA" w:rsidRPr="009462FE">
              <w:rPr>
                <w:rFonts w:ascii="GHEA Grapalat" w:hAnsi="GHEA Grapalat"/>
                <w:sz w:val="24"/>
                <w:szCs w:val="24"/>
              </w:rPr>
              <w:t xml:space="preserve">էլ </w:t>
            </w:r>
            <w:r w:rsidR="005D148E" w:rsidRPr="009462FE">
              <w:rPr>
                <w:rFonts w:ascii="GHEA Grapalat" w:hAnsi="GHEA Grapalat"/>
                <w:sz w:val="24"/>
                <w:szCs w:val="24"/>
              </w:rPr>
              <w:t xml:space="preserve">այդ </w:t>
            </w:r>
            <w:r w:rsidR="005D148E" w:rsidRPr="009462FE">
              <w:rPr>
                <w:rFonts w:ascii="GHEA Grapalat" w:hAnsi="GHEA Grapalat"/>
                <w:sz w:val="24"/>
                <w:szCs w:val="24"/>
              </w:rPr>
              <w:lastRenderedPageBreak/>
              <w:t xml:space="preserve">նպատակով իր հեռախոսահամարը տրամադրած լինելով հանդերձ ծանուցումները ստանալուն ուղղված պատշաճ հետևողականություն ցուցաբերի, բացառելով չծանուցված լինելու հիմքով դատական ակտերի բեկանման հնարավորությունը: </w:t>
            </w:r>
            <w:r w:rsidR="001907EA" w:rsidRPr="009462FE">
              <w:rPr>
                <w:rFonts w:ascii="GHEA Grapalat" w:hAnsi="GHEA Grapalat"/>
                <w:sz w:val="24"/>
                <w:szCs w:val="24"/>
              </w:rPr>
              <w:t>Ինչը տվյալ անձի իմացության բացակայության և այլ անձանց կողմից տրամադրված լինելու պայմաններում հնարավոր չի լինի ապահովել և բազմաթիվ դատական ակտերի բեկանման հիմք կարող է հանդիսանալ:</w:t>
            </w:r>
          </w:p>
        </w:tc>
      </w:tr>
    </w:tbl>
    <w:p w:rsidR="000F1026" w:rsidRPr="009462FE" w:rsidRDefault="000F1026" w:rsidP="009462FE">
      <w:pPr>
        <w:spacing w:line="276" w:lineRule="auto"/>
        <w:jc w:val="both"/>
        <w:rPr>
          <w:rFonts w:ascii="GHEA Grapalat" w:hAnsi="GHEA Grapalat"/>
          <w:sz w:val="24"/>
          <w:szCs w:val="24"/>
        </w:rPr>
      </w:pPr>
    </w:p>
    <w:sectPr w:rsidR="000F1026" w:rsidRPr="009462FE" w:rsidSect="00BD7F41">
      <w:pgSz w:w="16837" w:h="11905"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350" w:rsidRDefault="001E2350" w:rsidP="00EC069B">
      <w:r>
        <w:separator/>
      </w:r>
    </w:p>
  </w:endnote>
  <w:endnote w:type="continuationSeparator" w:id="0">
    <w:p w:rsidR="001E2350" w:rsidRDefault="001E2350" w:rsidP="00EC0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350" w:rsidRDefault="001E2350" w:rsidP="00EC069B">
      <w:r>
        <w:separator/>
      </w:r>
    </w:p>
  </w:footnote>
  <w:footnote w:type="continuationSeparator" w:id="0">
    <w:p w:rsidR="001E2350" w:rsidRDefault="001E2350" w:rsidP="00EC069B">
      <w:r>
        <w:continuationSeparator/>
      </w:r>
    </w:p>
  </w:footnote>
  <w:footnote w:id="1">
    <w:p w:rsidR="00EC069B" w:rsidRPr="00772F26" w:rsidRDefault="00EC069B" w:rsidP="00EC069B">
      <w:pPr>
        <w:pStyle w:val="FootnoteText"/>
        <w:rPr>
          <w:rFonts w:ascii="Sylfaen" w:hAnsi="Sylfaen"/>
        </w:rPr>
      </w:pPr>
      <w:r>
        <w:rPr>
          <w:rStyle w:val="FootnoteReference"/>
        </w:rPr>
        <w:footnoteRef/>
      </w:r>
      <w:r>
        <w:t xml:space="preserve"> </w:t>
      </w:r>
      <w:r>
        <w:rPr>
          <w:rFonts w:ascii="Sylfaen" w:hAnsi="Sylfaen"/>
          <w:lang w:val="en-US"/>
        </w:rPr>
        <w:t>Տե՛ս</w:t>
      </w:r>
      <w:r w:rsidRPr="00772F26">
        <w:rPr>
          <w:rFonts w:ascii="Sylfaen" w:hAnsi="Sylfaen"/>
        </w:rPr>
        <w:t xml:space="preserve">  </w:t>
      </w:r>
      <w:r w:rsidRPr="00F633B3">
        <w:rPr>
          <w:rFonts w:ascii="Sylfaen" w:hAnsi="Sylfaen"/>
          <w:b/>
          <w:lang w:val="en-US"/>
        </w:rPr>
        <w:t>Թորոսյան</w:t>
      </w:r>
      <w:r w:rsidRPr="00772F26">
        <w:rPr>
          <w:rFonts w:ascii="Sylfaen" w:hAnsi="Sylfaen"/>
          <w:b/>
        </w:rPr>
        <w:t xml:space="preserve"> </w:t>
      </w:r>
      <w:r w:rsidRPr="00F633B3">
        <w:rPr>
          <w:rFonts w:ascii="Sylfaen" w:hAnsi="Sylfaen"/>
          <w:b/>
          <w:lang w:val="en-US"/>
        </w:rPr>
        <w:t>Գ</w:t>
      </w:r>
      <w:r w:rsidRPr="00772F26">
        <w:rPr>
          <w:rFonts w:ascii="Sylfaen" w:hAnsi="Sylfaen"/>
          <w:b/>
        </w:rPr>
        <w:t>.</w:t>
      </w:r>
      <w:r>
        <w:rPr>
          <w:rFonts w:ascii="Sylfaen" w:hAnsi="Sylfaen"/>
          <w:b/>
          <w:lang w:val="en-US"/>
        </w:rPr>
        <w:t>Գ</w:t>
      </w:r>
      <w:r w:rsidRPr="00772F26">
        <w:rPr>
          <w:rFonts w:ascii="Sylfaen" w:hAnsi="Sylfaen"/>
          <w:b/>
        </w:rPr>
        <w:t xml:space="preserve">., </w:t>
      </w:r>
      <w:r w:rsidRPr="00F633B3">
        <w:rPr>
          <w:rFonts w:ascii="Sylfaen" w:hAnsi="Sylfaen"/>
          <w:b/>
          <w:lang w:val="en-US"/>
        </w:rPr>
        <w:t>Զարգարյան</w:t>
      </w:r>
      <w:r w:rsidRPr="00772F26">
        <w:rPr>
          <w:rFonts w:ascii="Sylfaen" w:hAnsi="Sylfaen"/>
          <w:b/>
        </w:rPr>
        <w:t xml:space="preserve"> </w:t>
      </w:r>
      <w:r w:rsidRPr="00F633B3">
        <w:rPr>
          <w:rFonts w:ascii="Sylfaen" w:hAnsi="Sylfaen"/>
          <w:b/>
          <w:lang w:val="en-US"/>
        </w:rPr>
        <w:t>Հ</w:t>
      </w:r>
      <w:r w:rsidRPr="00772F26">
        <w:rPr>
          <w:rFonts w:ascii="Sylfaen" w:hAnsi="Sylfaen"/>
          <w:b/>
        </w:rPr>
        <w:t>.</w:t>
      </w:r>
      <w:r>
        <w:rPr>
          <w:rFonts w:ascii="Sylfaen" w:hAnsi="Sylfaen"/>
          <w:b/>
          <w:lang w:val="en-US"/>
        </w:rPr>
        <w:t>Ա</w:t>
      </w:r>
      <w:r w:rsidRPr="00772F26">
        <w:rPr>
          <w:rFonts w:ascii="Sylfaen" w:hAnsi="Sylfaen"/>
          <w:b/>
        </w:rPr>
        <w:t xml:space="preserve">., </w:t>
      </w:r>
      <w:r w:rsidRPr="00F633B3">
        <w:rPr>
          <w:rFonts w:ascii="Sylfaen" w:hAnsi="Sylfaen"/>
          <w:b/>
          <w:lang w:val="en-US"/>
        </w:rPr>
        <w:t>Շահնազարյան</w:t>
      </w:r>
      <w:r w:rsidRPr="00772F26">
        <w:rPr>
          <w:rFonts w:ascii="Sylfaen" w:hAnsi="Sylfaen"/>
          <w:b/>
        </w:rPr>
        <w:t xml:space="preserve"> </w:t>
      </w:r>
      <w:r w:rsidRPr="00F633B3">
        <w:rPr>
          <w:rFonts w:ascii="Sylfaen" w:hAnsi="Sylfaen"/>
          <w:b/>
          <w:lang w:val="en-US"/>
        </w:rPr>
        <w:t>Հ</w:t>
      </w:r>
      <w:r w:rsidRPr="00772F26">
        <w:rPr>
          <w:rFonts w:ascii="Sylfaen" w:hAnsi="Sylfaen"/>
          <w:b/>
        </w:rPr>
        <w:t>.</w:t>
      </w:r>
      <w:r>
        <w:rPr>
          <w:rFonts w:ascii="Sylfaen" w:hAnsi="Sylfaen"/>
          <w:b/>
          <w:lang w:val="en-US"/>
        </w:rPr>
        <w:t>Ս</w:t>
      </w:r>
      <w:r w:rsidRPr="00772F26">
        <w:rPr>
          <w:rFonts w:ascii="Sylfaen" w:hAnsi="Sylfaen"/>
          <w:b/>
        </w:rPr>
        <w:t>.,</w:t>
      </w:r>
      <w:r w:rsidRPr="00772F26">
        <w:rPr>
          <w:rFonts w:ascii="Sylfaen" w:hAnsi="Sylfaen"/>
        </w:rPr>
        <w:t xml:space="preserve"> </w:t>
      </w:r>
      <w:r>
        <w:rPr>
          <w:rFonts w:ascii="Sylfaen" w:hAnsi="Sylfaen"/>
          <w:lang w:val="en-US"/>
        </w:rPr>
        <w:t>Քաղաքացիական</w:t>
      </w:r>
      <w:r w:rsidRPr="00772F26">
        <w:rPr>
          <w:rFonts w:ascii="Sylfaen" w:hAnsi="Sylfaen"/>
        </w:rPr>
        <w:t xml:space="preserve"> </w:t>
      </w:r>
      <w:r>
        <w:rPr>
          <w:rFonts w:ascii="Sylfaen" w:hAnsi="Sylfaen"/>
          <w:lang w:val="en-US"/>
        </w:rPr>
        <w:t>դատավարության</w:t>
      </w:r>
      <w:r w:rsidRPr="00772F26">
        <w:rPr>
          <w:rFonts w:ascii="Sylfaen" w:hAnsi="Sylfaen"/>
        </w:rPr>
        <w:t xml:space="preserve"> </w:t>
      </w:r>
      <w:r>
        <w:rPr>
          <w:rFonts w:ascii="Sylfaen" w:hAnsi="Sylfaen"/>
          <w:lang w:val="en-US"/>
        </w:rPr>
        <w:t>օրենսգրքի</w:t>
      </w:r>
      <w:r w:rsidRPr="00772F26">
        <w:rPr>
          <w:rFonts w:ascii="Sylfaen" w:hAnsi="Sylfaen"/>
        </w:rPr>
        <w:t xml:space="preserve"> </w:t>
      </w:r>
      <w:r>
        <w:rPr>
          <w:rFonts w:ascii="Sylfaen" w:hAnsi="Sylfaen"/>
          <w:lang w:val="en-US"/>
        </w:rPr>
        <w:t>իրավակիրառ</w:t>
      </w:r>
      <w:r w:rsidRPr="00772F26">
        <w:rPr>
          <w:rFonts w:ascii="Sylfaen" w:hAnsi="Sylfaen"/>
        </w:rPr>
        <w:t xml:space="preserve"> </w:t>
      </w:r>
      <w:r>
        <w:rPr>
          <w:rFonts w:ascii="Sylfaen" w:hAnsi="Sylfaen"/>
          <w:lang w:val="en-US"/>
        </w:rPr>
        <w:t>պրակտիկան</w:t>
      </w:r>
      <w:r w:rsidRPr="00772F26">
        <w:rPr>
          <w:rFonts w:ascii="Sylfaen" w:hAnsi="Sylfaen"/>
        </w:rPr>
        <w:t xml:space="preserve">, </w:t>
      </w:r>
      <w:r>
        <w:rPr>
          <w:rFonts w:ascii="Sylfaen" w:hAnsi="Sylfaen"/>
          <w:lang w:val="en-US"/>
        </w:rPr>
        <w:t>ընդհանուր</w:t>
      </w:r>
      <w:r w:rsidRPr="00772F26">
        <w:rPr>
          <w:rFonts w:ascii="Sylfaen" w:hAnsi="Sylfaen"/>
        </w:rPr>
        <w:t xml:space="preserve"> </w:t>
      </w:r>
      <w:r>
        <w:rPr>
          <w:rFonts w:ascii="Sylfaen" w:hAnsi="Sylfaen"/>
          <w:lang w:val="en-US"/>
        </w:rPr>
        <w:t>մաս</w:t>
      </w:r>
      <w:r w:rsidRPr="00772F26">
        <w:rPr>
          <w:rFonts w:ascii="Sylfaen" w:hAnsi="Sylfaen"/>
        </w:rPr>
        <w:t xml:space="preserve">, </w:t>
      </w:r>
      <w:r>
        <w:rPr>
          <w:rFonts w:ascii="Sylfaen" w:hAnsi="Sylfaen"/>
          <w:lang w:val="en-US"/>
        </w:rPr>
        <w:t>Երևան</w:t>
      </w:r>
      <w:r w:rsidRPr="00772F26">
        <w:rPr>
          <w:rFonts w:ascii="Sylfaen" w:hAnsi="Sylfaen"/>
        </w:rPr>
        <w:t xml:space="preserve">, </w:t>
      </w:r>
      <w:r>
        <w:rPr>
          <w:rFonts w:ascii="Sylfaen" w:hAnsi="Sylfaen"/>
          <w:lang w:val="en-US"/>
        </w:rPr>
        <w:t>Հայրապետ</w:t>
      </w:r>
      <w:r w:rsidRPr="00772F26">
        <w:rPr>
          <w:rFonts w:ascii="Sylfaen" w:hAnsi="Sylfaen"/>
        </w:rPr>
        <w:t xml:space="preserve"> </w:t>
      </w:r>
      <w:r>
        <w:rPr>
          <w:rFonts w:ascii="Sylfaen" w:hAnsi="Sylfaen"/>
          <w:lang w:val="en-US"/>
        </w:rPr>
        <w:t>հրատ</w:t>
      </w:r>
      <w:r w:rsidRPr="00772F26">
        <w:rPr>
          <w:rFonts w:ascii="Sylfaen" w:hAnsi="Sylfaen"/>
        </w:rPr>
        <w:t xml:space="preserve">., 2021, </w:t>
      </w:r>
      <w:r>
        <w:rPr>
          <w:rFonts w:ascii="Sylfaen" w:hAnsi="Sylfaen"/>
          <w:lang w:val="en-US"/>
        </w:rPr>
        <w:t>էջ</w:t>
      </w:r>
      <w:r w:rsidRPr="00772F26">
        <w:rPr>
          <w:rFonts w:ascii="Sylfaen" w:hAnsi="Sylfaen"/>
        </w:rPr>
        <w:t xml:space="preserve"> 287-288</w:t>
      </w:r>
    </w:p>
  </w:footnote>
  <w:footnote w:id="2">
    <w:p w:rsidR="00A6207C" w:rsidRPr="00A6207C" w:rsidRDefault="00A6207C" w:rsidP="00A6207C">
      <w:pPr>
        <w:pStyle w:val="FootnoteText"/>
      </w:pPr>
      <w:r>
        <w:rPr>
          <w:rStyle w:val="FootnoteReference"/>
        </w:rPr>
        <w:footnoteRef/>
      </w:r>
      <w:r w:rsidRPr="00A6207C">
        <w:t xml:space="preserve"> </w:t>
      </w:r>
      <w:r>
        <w:rPr>
          <w:rFonts w:ascii="Sylfaen" w:hAnsi="Sylfaen"/>
          <w:lang w:val="en-US"/>
        </w:rPr>
        <w:t>Տե՛ս</w:t>
      </w:r>
      <w:r w:rsidRPr="00A6207C">
        <w:rPr>
          <w:rFonts w:ascii="Sylfaen" w:hAnsi="Sylfaen"/>
        </w:rPr>
        <w:t xml:space="preserve">  </w:t>
      </w:r>
      <w:r w:rsidRPr="00F633B3">
        <w:rPr>
          <w:rFonts w:ascii="Sylfaen" w:hAnsi="Sylfaen"/>
          <w:b/>
          <w:lang w:val="en-US"/>
        </w:rPr>
        <w:t>Թորոսյան</w:t>
      </w:r>
      <w:r w:rsidRPr="00A6207C">
        <w:rPr>
          <w:rFonts w:ascii="Sylfaen" w:hAnsi="Sylfaen"/>
          <w:b/>
        </w:rPr>
        <w:t xml:space="preserve"> </w:t>
      </w:r>
      <w:r w:rsidRPr="00F633B3">
        <w:rPr>
          <w:rFonts w:ascii="Sylfaen" w:hAnsi="Sylfaen"/>
          <w:b/>
          <w:lang w:val="en-US"/>
        </w:rPr>
        <w:t>Գ</w:t>
      </w:r>
      <w:r w:rsidRPr="00A6207C">
        <w:rPr>
          <w:rFonts w:ascii="Sylfaen" w:hAnsi="Sylfaen"/>
          <w:b/>
        </w:rPr>
        <w:t>.</w:t>
      </w:r>
      <w:r>
        <w:rPr>
          <w:rFonts w:ascii="Sylfaen" w:hAnsi="Sylfaen"/>
          <w:b/>
          <w:lang w:val="en-US"/>
        </w:rPr>
        <w:t>Գ</w:t>
      </w:r>
      <w:r w:rsidRPr="00A6207C">
        <w:rPr>
          <w:rFonts w:ascii="Sylfaen" w:hAnsi="Sylfaen"/>
          <w:b/>
        </w:rPr>
        <w:t xml:space="preserve">., </w:t>
      </w:r>
      <w:r w:rsidRPr="00F633B3">
        <w:rPr>
          <w:rFonts w:ascii="Sylfaen" w:hAnsi="Sylfaen"/>
          <w:b/>
          <w:lang w:val="en-US"/>
        </w:rPr>
        <w:t>Զարգարյան</w:t>
      </w:r>
      <w:r w:rsidRPr="00A6207C">
        <w:rPr>
          <w:rFonts w:ascii="Sylfaen" w:hAnsi="Sylfaen"/>
          <w:b/>
        </w:rPr>
        <w:t xml:space="preserve"> </w:t>
      </w:r>
      <w:r w:rsidRPr="00F633B3">
        <w:rPr>
          <w:rFonts w:ascii="Sylfaen" w:hAnsi="Sylfaen"/>
          <w:b/>
          <w:lang w:val="en-US"/>
        </w:rPr>
        <w:t>Հ</w:t>
      </w:r>
      <w:r w:rsidRPr="00A6207C">
        <w:rPr>
          <w:rFonts w:ascii="Sylfaen" w:hAnsi="Sylfaen"/>
          <w:b/>
        </w:rPr>
        <w:t>.</w:t>
      </w:r>
      <w:r>
        <w:rPr>
          <w:rFonts w:ascii="Sylfaen" w:hAnsi="Sylfaen"/>
          <w:b/>
          <w:lang w:val="en-US"/>
        </w:rPr>
        <w:t>Ա</w:t>
      </w:r>
      <w:r w:rsidRPr="00A6207C">
        <w:rPr>
          <w:rFonts w:ascii="Sylfaen" w:hAnsi="Sylfaen"/>
          <w:b/>
        </w:rPr>
        <w:t xml:space="preserve">., </w:t>
      </w:r>
      <w:r w:rsidRPr="00F633B3">
        <w:rPr>
          <w:rFonts w:ascii="Sylfaen" w:hAnsi="Sylfaen"/>
          <w:b/>
          <w:lang w:val="en-US"/>
        </w:rPr>
        <w:t>Շահնազարյան</w:t>
      </w:r>
      <w:r w:rsidRPr="00A6207C">
        <w:rPr>
          <w:rFonts w:ascii="Sylfaen" w:hAnsi="Sylfaen"/>
          <w:b/>
        </w:rPr>
        <w:t xml:space="preserve"> </w:t>
      </w:r>
      <w:r w:rsidRPr="00F633B3">
        <w:rPr>
          <w:rFonts w:ascii="Sylfaen" w:hAnsi="Sylfaen"/>
          <w:b/>
          <w:lang w:val="en-US"/>
        </w:rPr>
        <w:t>Հ</w:t>
      </w:r>
      <w:r w:rsidRPr="00A6207C">
        <w:rPr>
          <w:rFonts w:ascii="Sylfaen" w:hAnsi="Sylfaen"/>
          <w:b/>
        </w:rPr>
        <w:t>.</w:t>
      </w:r>
      <w:r>
        <w:rPr>
          <w:rFonts w:ascii="Sylfaen" w:hAnsi="Sylfaen"/>
          <w:b/>
          <w:lang w:val="en-US"/>
        </w:rPr>
        <w:t>Ս</w:t>
      </w:r>
      <w:r w:rsidRPr="00A6207C">
        <w:rPr>
          <w:rFonts w:ascii="Sylfaen" w:hAnsi="Sylfaen"/>
          <w:b/>
        </w:rPr>
        <w:t>.,</w:t>
      </w:r>
      <w:r w:rsidRPr="00A6207C">
        <w:rPr>
          <w:rFonts w:ascii="Sylfaen" w:hAnsi="Sylfaen"/>
        </w:rPr>
        <w:t xml:space="preserve"> </w:t>
      </w:r>
      <w:r>
        <w:rPr>
          <w:rFonts w:ascii="Sylfaen" w:hAnsi="Sylfaen"/>
          <w:lang w:val="en-US"/>
        </w:rPr>
        <w:t>Քաղաքացիական</w:t>
      </w:r>
      <w:r w:rsidRPr="00A6207C">
        <w:rPr>
          <w:rFonts w:ascii="Sylfaen" w:hAnsi="Sylfaen"/>
        </w:rPr>
        <w:t xml:space="preserve"> </w:t>
      </w:r>
      <w:r>
        <w:rPr>
          <w:rFonts w:ascii="Sylfaen" w:hAnsi="Sylfaen"/>
          <w:lang w:val="en-US"/>
        </w:rPr>
        <w:t>դատավարության</w:t>
      </w:r>
      <w:r w:rsidRPr="00A6207C">
        <w:rPr>
          <w:rFonts w:ascii="Sylfaen" w:hAnsi="Sylfaen"/>
        </w:rPr>
        <w:t xml:space="preserve"> </w:t>
      </w:r>
      <w:r>
        <w:rPr>
          <w:rFonts w:ascii="Sylfaen" w:hAnsi="Sylfaen"/>
          <w:lang w:val="en-US"/>
        </w:rPr>
        <w:t>օրենսգրքի</w:t>
      </w:r>
      <w:r w:rsidRPr="00A6207C">
        <w:rPr>
          <w:rFonts w:ascii="Sylfaen" w:hAnsi="Sylfaen"/>
        </w:rPr>
        <w:t xml:space="preserve"> </w:t>
      </w:r>
      <w:r>
        <w:rPr>
          <w:rFonts w:ascii="Sylfaen" w:hAnsi="Sylfaen"/>
          <w:lang w:val="en-US"/>
        </w:rPr>
        <w:t>իրավակիրառ</w:t>
      </w:r>
      <w:r w:rsidRPr="00A6207C">
        <w:rPr>
          <w:rFonts w:ascii="Sylfaen" w:hAnsi="Sylfaen"/>
        </w:rPr>
        <w:t xml:space="preserve"> </w:t>
      </w:r>
      <w:r>
        <w:rPr>
          <w:rFonts w:ascii="Sylfaen" w:hAnsi="Sylfaen"/>
          <w:lang w:val="en-US"/>
        </w:rPr>
        <w:t>պրակտիկան</w:t>
      </w:r>
      <w:r w:rsidRPr="00A6207C">
        <w:rPr>
          <w:rFonts w:ascii="Sylfaen" w:hAnsi="Sylfaen"/>
        </w:rPr>
        <w:t xml:space="preserve">, </w:t>
      </w:r>
      <w:r>
        <w:rPr>
          <w:rFonts w:ascii="Sylfaen" w:hAnsi="Sylfaen"/>
          <w:lang w:val="en-US"/>
        </w:rPr>
        <w:t>ընդհանուր</w:t>
      </w:r>
      <w:r w:rsidRPr="00A6207C">
        <w:rPr>
          <w:rFonts w:ascii="Sylfaen" w:hAnsi="Sylfaen"/>
        </w:rPr>
        <w:t xml:space="preserve"> </w:t>
      </w:r>
      <w:r>
        <w:rPr>
          <w:rFonts w:ascii="Sylfaen" w:hAnsi="Sylfaen"/>
          <w:lang w:val="en-US"/>
        </w:rPr>
        <w:t>մաս</w:t>
      </w:r>
      <w:r w:rsidRPr="00A6207C">
        <w:rPr>
          <w:rFonts w:ascii="Sylfaen" w:hAnsi="Sylfaen"/>
        </w:rPr>
        <w:t xml:space="preserve">, </w:t>
      </w:r>
      <w:r>
        <w:rPr>
          <w:rFonts w:ascii="Sylfaen" w:hAnsi="Sylfaen"/>
          <w:lang w:val="en-US"/>
        </w:rPr>
        <w:t>Երևան</w:t>
      </w:r>
      <w:r w:rsidRPr="00A6207C">
        <w:rPr>
          <w:rFonts w:ascii="Sylfaen" w:hAnsi="Sylfaen"/>
        </w:rPr>
        <w:t xml:space="preserve">, </w:t>
      </w:r>
      <w:r>
        <w:rPr>
          <w:rFonts w:ascii="Sylfaen" w:hAnsi="Sylfaen"/>
          <w:lang w:val="en-US"/>
        </w:rPr>
        <w:t>Հայրապետ</w:t>
      </w:r>
      <w:r w:rsidRPr="00A6207C">
        <w:rPr>
          <w:rFonts w:ascii="Sylfaen" w:hAnsi="Sylfaen"/>
        </w:rPr>
        <w:t xml:space="preserve"> </w:t>
      </w:r>
      <w:r>
        <w:rPr>
          <w:rFonts w:ascii="Sylfaen" w:hAnsi="Sylfaen"/>
          <w:lang w:val="en-US"/>
        </w:rPr>
        <w:t>հրատ</w:t>
      </w:r>
      <w:r w:rsidRPr="00A6207C">
        <w:rPr>
          <w:rFonts w:ascii="Sylfaen" w:hAnsi="Sylfaen"/>
        </w:rPr>
        <w:t xml:space="preserve">., 2021, </w:t>
      </w:r>
      <w:r>
        <w:rPr>
          <w:rFonts w:ascii="Sylfaen" w:hAnsi="Sylfaen"/>
          <w:lang w:val="en-US"/>
        </w:rPr>
        <w:t>էջ</w:t>
      </w:r>
      <w:r w:rsidRPr="00A6207C">
        <w:rPr>
          <w:rFonts w:ascii="Sylfaen" w:hAnsi="Sylfaen"/>
        </w:rPr>
        <w:t xml:space="preserve"> 131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53BC8"/>
    <w:multiLevelType w:val="hybridMultilevel"/>
    <w:tmpl w:val="F9CC92DE"/>
    <w:lvl w:ilvl="0" w:tplc="BD6ED014">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8E323B0"/>
    <w:multiLevelType w:val="hybridMultilevel"/>
    <w:tmpl w:val="9FD2A650"/>
    <w:lvl w:ilvl="0" w:tplc="B22A9F7A">
      <w:start w:val="1"/>
      <w:numFmt w:val="decimal"/>
      <w:lvlText w:val="%1."/>
      <w:lvlJc w:val="left"/>
      <w:pPr>
        <w:ind w:left="1080"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75EA563E"/>
    <w:multiLevelType w:val="hybridMultilevel"/>
    <w:tmpl w:val="E32237E2"/>
    <w:lvl w:ilvl="0" w:tplc="6B9239CA">
      <w:start w:val="1"/>
      <w:numFmt w:val="decimal"/>
      <w:lvlText w:val="%1)"/>
      <w:lvlJc w:val="left"/>
      <w:pPr>
        <w:ind w:left="1068" w:hanging="360"/>
      </w:pPr>
      <w:rPr>
        <w:rFonts w:hint="default"/>
        <w:b/>
        <w:bCs/>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5D7"/>
    <w:rsid w:val="000B31AA"/>
    <w:rsid w:val="000D6DF0"/>
    <w:rsid w:val="000E1CDF"/>
    <w:rsid w:val="000F1026"/>
    <w:rsid w:val="000F7189"/>
    <w:rsid w:val="001907EA"/>
    <w:rsid w:val="001A73B2"/>
    <w:rsid w:val="001E2350"/>
    <w:rsid w:val="002A224E"/>
    <w:rsid w:val="002E48C8"/>
    <w:rsid w:val="00334C09"/>
    <w:rsid w:val="00374A7F"/>
    <w:rsid w:val="0040303B"/>
    <w:rsid w:val="00411297"/>
    <w:rsid w:val="00447112"/>
    <w:rsid w:val="00463FC7"/>
    <w:rsid w:val="005A0740"/>
    <w:rsid w:val="005A2272"/>
    <w:rsid w:val="005D148E"/>
    <w:rsid w:val="005F4ABE"/>
    <w:rsid w:val="007424AA"/>
    <w:rsid w:val="00756E8B"/>
    <w:rsid w:val="00806FA8"/>
    <w:rsid w:val="00836CDF"/>
    <w:rsid w:val="008B68E6"/>
    <w:rsid w:val="009462FE"/>
    <w:rsid w:val="009474D5"/>
    <w:rsid w:val="009F53A5"/>
    <w:rsid w:val="00A6207C"/>
    <w:rsid w:val="00AE5702"/>
    <w:rsid w:val="00B0359B"/>
    <w:rsid w:val="00BB45D7"/>
    <w:rsid w:val="00BD7F41"/>
    <w:rsid w:val="00BE5D1E"/>
    <w:rsid w:val="00C41A2E"/>
    <w:rsid w:val="00C56B0D"/>
    <w:rsid w:val="00D334D7"/>
    <w:rsid w:val="00D36D8C"/>
    <w:rsid w:val="00D54F4C"/>
    <w:rsid w:val="00DC513C"/>
    <w:rsid w:val="00E9577A"/>
    <w:rsid w:val="00EB3FAD"/>
    <w:rsid w:val="00EC069B"/>
    <w:rsid w:val="00EE7F07"/>
    <w:rsid w:val="00FC1868"/>
    <w:rsid w:val="00FD2714"/>
    <w:rsid w:val="00FD6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F1791E-9697-4E5F-BCBA-90D87DE61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F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unhideWhenUsed/>
    <w:rsid w:val="00BD7F41"/>
    <w:rPr>
      <w:vertAlign w:val="superscript"/>
    </w:rPr>
  </w:style>
  <w:style w:type="paragraph" w:customStyle="1" w:styleId="headingtitleStyle">
    <w:name w:val="heading titleStyle"/>
    <w:basedOn w:val="Normal"/>
    <w:rsid w:val="00BD7F41"/>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EC069B"/>
    <w:pPr>
      <w:ind w:left="720"/>
      <w:contextualSpacing/>
    </w:pPr>
  </w:style>
  <w:style w:type="table" w:styleId="TableGrid">
    <w:name w:val="Table Grid"/>
    <w:basedOn w:val="TableNormal"/>
    <w:uiPriority w:val="59"/>
    <w:rsid w:val="00EC069B"/>
    <w:rPr>
      <w:rFonts w:ascii="Times New Roman" w:eastAsia="Times New Roman"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EC069B"/>
    <w:rPr>
      <w:rFonts w:ascii="Times New Roman" w:eastAsia="Times New Roman" w:hAnsi="Times New Roman" w:cs="Times New Roman"/>
      <w:lang w:val="ru-RU"/>
    </w:rPr>
  </w:style>
  <w:style w:type="character" w:customStyle="1" w:styleId="FootnoteTextChar">
    <w:name w:val="Footnote Text Char"/>
    <w:basedOn w:val="DefaultParagraphFont"/>
    <w:link w:val="FootnoteText"/>
    <w:uiPriority w:val="99"/>
    <w:rsid w:val="00EC069B"/>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4029</Words>
  <Characters>22967</Characters>
  <Application>Microsoft Office Word</Application>
  <DocSecurity>0</DocSecurity>
  <Lines>191</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26943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Mikaelyan</dc:creator>
  <cp:keywords>https://mul2.gov.am/tasks/871743/oneclick/04_ampopatert_edraft1.docx?token=9bc958b527c555dbb8ed336ad62a35ff</cp:keywords>
  <dc:description/>
  <cp:lastModifiedBy>Ani Mikaelyan</cp:lastModifiedBy>
  <cp:revision>2</cp:revision>
  <dcterms:created xsi:type="dcterms:W3CDTF">2023-09-04T09:01:00Z</dcterms:created>
  <dcterms:modified xsi:type="dcterms:W3CDTF">2023-09-04T09:01:00Z</dcterms:modified>
  <cp:category/>
</cp:coreProperties>
</file>