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EFCBC" w14:textId="08282773" w:rsidR="007F3B6C" w:rsidRPr="001D0261" w:rsidRDefault="007F3B6C" w:rsidP="007F3B6C">
      <w:pPr>
        <w:spacing w:line="259" w:lineRule="auto"/>
        <w:jc w:val="right"/>
        <w:rPr>
          <w:rFonts w:ascii="GHEA Grapalat" w:hAnsi="GHEA Grapalat"/>
          <w:sz w:val="20"/>
          <w:szCs w:val="22"/>
          <w:lang w:val="en-US"/>
        </w:rPr>
      </w:pPr>
      <w:r w:rsidRPr="001D0261">
        <w:rPr>
          <w:rFonts w:ascii="GHEA Grapalat" w:hAnsi="GHEA Grapalat"/>
          <w:sz w:val="20"/>
          <w:szCs w:val="22"/>
        </w:rPr>
        <w:t>Հավելված 1</w:t>
      </w:r>
      <w:r w:rsidR="00F11965" w:rsidRPr="001D0261">
        <w:rPr>
          <w:rFonts w:ascii="GHEA Grapalat" w:hAnsi="GHEA Grapalat"/>
          <w:sz w:val="20"/>
          <w:szCs w:val="22"/>
          <w:lang w:val="en-US"/>
        </w:rPr>
        <w:t>.1</w:t>
      </w:r>
    </w:p>
    <w:p w14:paraId="09E27F1C" w14:textId="77777777" w:rsidR="007F3B6C" w:rsidRPr="001D0261" w:rsidRDefault="007F3B6C" w:rsidP="007F3B6C">
      <w:pPr>
        <w:spacing w:line="259" w:lineRule="auto"/>
        <w:jc w:val="right"/>
        <w:rPr>
          <w:rFonts w:ascii="GHEA Grapalat" w:hAnsi="GHEA Grapalat"/>
          <w:sz w:val="20"/>
          <w:szCs w:val="22"/>
        </w:rPr>
      </w:pPr>
      <w:r w:rsidRPr="001D0261">
        <w:rPr>
          <w:rFonts w:ascii="GHEA Grapalat" w:hAnsi="GHEA Grapalat"/>
          <w:sz w:val="20"/>
          <w:szCs w:val="22"/>
        </w:rPr>
        <w:t xml:space="preserve"> ՀՀ կառավարության 2023 թվականի</w:t>
      </w:r>
    </w:p>
    <w:p w14:paraId="5132FB3C" w14:textId="30DE9FDF" w:rsidR="007F3B6C" w:rsidRPr="001D0261" w:rsidRDefault="007F3B6C" w:rsidP="007F3B6C">
      <w:pPr>
        <w:spacing w:line="259" w:lineRule="auto"/>
        <w:jc w:val="right"/>
        <w:rPr>
          <w:rFonts w:ascii="GHEA Grapalat" w:hAnsi="GHEA Grapalat"/>
          <w:sz w:val="20"/>
          <w:szCs w:val="22"/>
        </w:rPr>
      </w:pPr>
      <w:r w:rsidRPr="001D0261">
        <w:rPr>
          <w:rFonts w:ascii="GHEA Grapalat" w:hAnsi="GHEA Grapalat"/>
          <w:sz w:val="20"/>
          <w:szCs w:val="22"/>
        </w:rPr>
        <w:t xml:space="preserve"> դեկտեմբերի </w:t>
      </w:r>
      <w:r w:rsidRPr="001D0261">
        <w:rPr>
          <w:rFonts w:ascii="GHEA Grapalat" w:hAnsi="GHEA Grapalat"/>
          <w:sz w:val="20"/>
          <w:szCs w:val="22"/>
          <w:highlight w:val="yellow"/>
        </w:rPr>
        <w:t>[  ]</w:t>
      </w:r>
      <w:r w:rsidRPr="001D0261">
        <w:rPr>
          <w:rFonts w:ascii="GHEA Grapalat" w:hAnsi="GHEA Grapalat"/>
          <w:sz w:val="20"/>
          <w:szCs w:val="22"/>
        </w:rPr>
        <w:t xml:space="preserve">-ի N </w:t>
      </w:r>
      <w:r w:rsidRPr="001D0261">
        <w:rPr>
          <w:rFonts w:ascii="GHEA Grapalat" w:hAnsi="GHEA Grapalat"/>
          <w:sz w:val="20"/>
          <w:szCs w:val="22"/>
          <w:highlight w:val="yellow"/>
        </w:rPr>
        <w:t>[  ]</w:t>
      </w:r>
      <w:r w:rsidRPr="001D0261">
        <w:rPr>
          <w:rFonts w:ascii="GHEA Grapalat" w:hAnsi="GHEA Grapalat"/>
          <w:sz w:val="20"/>
          <w:szCs w:val="22"/>
        </w:rPr>
        <w:t xml:space="preserve"> - </w:t>
      </w:r>
      <w:r w:rsidR="00F407B4">
        <w:rPr>
          <w:rFonts w:ascii="GHEA Grapalat" w:hAnsi="GHEA Grapalat"/>
          <w:sz w:val="20"/>
          <w:szCs w:val="22"/>
        </w:rPr>
        <w:t>Ա</w:t>
      </w:r>
      <w:r w:rsidRPr="001D0261">
        <w:rPr>
          <w:rFonts w:ascii="GHEA Grapalat" w:hAnsi="GHEA Grapalat"/>
          <w:sz w:val="20"/>
          <w:szCs w:val="22"/>
        </w:rPr>
        <w:t xml:space="preserve"> որոշման</w:t>
      </w:r>
    </w:p>
    <w:p w14:paraId="6956E1F4" w14:textId="7A164BEC" w:rsidR="007F3B6C" w:rsidRPr="008C37C1" w:rsidRDefault="007F3B6C" w:rsidP="007F3B6C">
      <w:pPr>
        <w:widowControl w:val="0"/>
        <w:spacing w:after="120"/>
        <w:jc w:val="center"/>
        <w:textDirection w:val="btLr"/>
        <w:rPr>
          <w:rFonts w:ascii="GHEA Grapalat" w:hAnsi="GHEA Grapalat"/>
          <w:b/>
          <w:bCs/>
          <w:sz w:val="24"/>
        </w:rPr>
      </w:pPr>
      <w:r w:rsidRPr="008C37C1">
        <w:rPr>
          <w:rFonts w:ascii="GHEA Grapalat" w:hAnsi="GHEA Grapalat"/>
          <w:b/>
          <w:bCs/>
          <w:sz w:val="24"/>
        </w:rPr>
        <w:t>RISK MATRIX</w:t>
      </w:r>
    </w:p>
    <w:p w14:paraId="2EE4C1FD" w14:textId="0869DA3F" w:rsidR="007F3B6C" w:rsidRDefault="000B0F4A" w:rsidP="007F3B6C">
      <w:pPr>
        <w:widowControl w:val="0"/>
        <w:spacing w:after="240"/>
        <w:jc w:val="center"/>
        <w:textDirection w:val="btLr"/>
        <w:rPr>
          <w:rFonts w:ascii="GHEA Grapalat" w:hAnsi="GHEA Grapalat"/>
          <w:b/>
          <w:bCs/>
          <w:sz w:val="24"/>
          <w:lang w:val="en-US"/>
        </w:rPr>
      </w:pPr>
      <w:r>
        <w:rPr>
          <w:rFonts w:ascii="GHEA Grapalat" w:hAnsi="GHEA Grapalat"/>
          <w:b/>
          <w:bCs/>
          <w:sz w:val="24"/>
          <w:lang w:val="en-US"/>
        </w:rPr>
        <w:t>o</w:t>
      </w:r>
      <w:r w:rsidR="007F3B6C" w:rsidRPr="008C37C1">
        <w:rPr>
          <w:rFonts w:ascii="GHEA Grapalat" w:hAnsi="GHEA Grapalat"/>
          <w:b/>
          <w:bCs/>
          <w:sz w:val="24"/>
        </w:rPr>
        <w:t>f the</w:t>
      </w:r>
      <w:r w:rsidR="007F3B6C">
        <w:rPr>
          <w:rFonts w:ascii="GHEA Grapalat" w:hAnsi="GHEA Grapalat"/>
          <w:b/>
          <w:bCs/>
          <w:sz w:val="24"/>
          <w:lang w:val="en-US"/>
        </w:rPr>
        <w:t xml:space="preserve"> Public-Private Partnership Project on</w:t>
      </w:r>
      <w:r w:rsidR="007F3B6C" w:rsidRPr="008C37C1">
        <w:rPr>
          <w:rFonts w:ascii="GHEA Grapalat" w:hAnsi="GHEA Grapalat"/>
          <w:b/>
          <w:bCs/>
          <w:sz w:val="24"/>
        </w:rPr>
        <w:t xml:space="preserve"> </w:t>
      </w:r>
      <w:r>
        <w:rPr>
          <w:rFonts w:ascii="GHEA Grapalat" w:hAnsi="GHEA Grapalat"/>
          <w:b/>
          <w:bCs/>
          <w:sz w:val="24"/>
          <w:lang w:val="en-US"/>
        </w:rPr>
        <w:t>Biometric</w:t>
      </w:r>
      <w:r w:rsidR="007F3B6C" w:rsidRPr="008C37C1">
        <w:rPr>
          <w:rFonts w:ascii="GHEA Grapalat" w:hAnsi="GHEA Grapalat"/>
          <w:b/>
          <w:bCs/>
          <w:sz w:val="24"/>
        </w:rPr>
        <w:t xml:space="preserve"> Passport and Identity Cards </w:t>
      </w:r>
      <w:r w:rsidR="007F3B6C">
        <w:rPr>
          <w:rFonts w:ascii="GHEA Grapalat" w:hAnsi="GHEA Grapalat"/>
          <w:b/>
          <w:bCs/>
          <w:sz w:val="24"/>
          <w:lang w:val="en-US"/>
        </w:rPr>
        <w:t>Issuance Infrastructure</w:t>
      </w:r>
      <w:r>
        <w:rPr>
          <w:rFonts w:ascii="GHEA Grapalat" w:hAnsi="GHEA Grapalat"/>
          <w:b/>
          <w:bCs/>
          <w:sz w:val="24"/>
          <w:lang w:val="en-US"/>
        </w:rPr>
        <w:t xml:space="preserve"> in the Republic of Armenia</w:t>
      </w:r>
    </w:p>
    <w:tbl>
      <w:tblPr>
        <w:tblW w:w="15843" w:type="dxa"/>
        <w:jc w:val="center"/>
        <w:tblLayout w:type="fixed"/>
        <w:tblLook w:val="04A0" w:firstRow="1" w:lastRow="0" w:firstColumn="1" w:lastColumn="0" w:noHBand="0" w:noVBand="1"/>
      </w:tblPr>
      <w:tblGrid>
        <w:gridCol w:w="535"/>
        <w:gridCol w:w="2011"/>
        <w:gridCol w:w="2991"/>
        <w:gridCol w:w="838"/>
        <w:gridCol w:w="831"/>
        <w:gridCol w:w="1156"/>
        <w:gridCol w:w="989"/>
        <w:gridCol w:w="2344"/>
        <w:gridCol w:w="1890"/>
        <w:gridCol w:w="2250"/>
        <w:gridCol w:w="8"/>
      </w:tblGrid>
      <w:tr w:rsidR="007F3B6C" w:rsidRPr="00050549" w14:paraId="028223EF" w14:textId="77777777" w:rsidTr="0086551D">
        <w:trPr>
          <w:gridAfter w:val="1"/>
          <w:wAfter w:w="8" w:type="dxa"/>
          <w:trHeight w:val="300"/>
          <w:tblHeader/>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2546123D" w14:textId="77777777" w:rsidR="007F3B6C" w:rsidRPr="00050549" w:rsidRDefault="007F3B6C" w:rsidP="0010344F">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No</w:t>
            </w:r>
          </w:p>
        </w:tc>
        <w:tc>
          <w:tcPr>
            <w:tcW w:w="2011"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0C367B7D" w14:textId="77777777" w:rsidR="007F3B6C" w:rsidRPr="00050549" w:rsidRDefault="007F3B6C" w:rsidP="0010344F">
            <w:pPr>
              <w:jc w:val="left"/>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Risk</w:t>
            </w:r>
          </w:p>
        </w:tc>
        <w:tc>
          <w:tcPr>
            <w:tcW w:w="2991"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212C2F45" w14:textId="77777777" w:rsidR="007F3B6C" w:rsidRPr="00050549" w:rsidRDefault="007F3B6C" w:rsidP="0010344F">
            <w:pPr>
              <w:jc w:val="left"/>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Risk Description</w:t>
            </w:r>
          </w:p>
        </w:tc>
        <w:tc>
          <w:tcPr>
            <w:tcW w:w="1669" w:type="dxa"/>
            <w:gridSpan w:val="2"/>
            <w:tcBorders>
              <w:top w:val="single" w:sz="4" w:space="0" w:color="auto"/>
              <w:left w:val="nil"/>
              <w:bottom w:val="single" w:sz="4" w:space="0" w:color="auto"/>
              <w:right w:val="single" w:sz="4" w:space="0" w:color="auto"/>
            </w:tcBorders>
            <w:shd w:val="clear" w:color="000000" w:fill="808080"/>
            <w:vAlign w:val="center"/>
            <w:hideMark/>
          </w:tcPr>
          <w:p w14:paraId="371E4122" w14:textId="77777777" w:rsidR="007F3B6C" w:rsidRPr="00050549" w:rsidRDefault="007F3B6C" w:rsidP="0010344F">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Risk Allocation</w:t>
            </w:r>
          </w:p>
        </w:tc>
        <w:tc>
          <w:tcPr>
            <w:tcW w:w="1156"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1EB591BE" w14:textId="77777777" w:rsidR="007F3B6C" w:rsidRPr="00050549" w:rsidRDefault="007F3B6C" w:rsidP="0010344F">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Probability</w:t>
            </w:r>
          </w:p>
        </w:tc>
        <w:tc>
          <w:tcPr>
            <w:tcW w:w="989"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36A4D814" w14:textId="77777777" w:rsidR="007F3B6C" w:rsidRPr="00050549" w:rsidRDefault="007F3B6C" w:rsidP="0010344F">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Impact</w:t>
            </w:r>
          </w:p>
        </w:tc>
        <w:tc>
          <w:tcPr>
            <w:tcW w:w="2344" w:type="dxa"/>
            <w:vMerge w:val="restart"/>
            <w:tcBorders>
              <w:top w:val="single" w:sz="4" w:space="0" w:color="auto"/>
              <w:left w:val="single" w:sz="4" w:space="0" w:color="auto"/>
              <w:right w:val="single" w:sz="4" w:space="0" w:color="auto"/>
            </w:tcBorders>
            <w:shd w:val="clear" w:color="000000" w:fill="808080"/>
            <w:vAlign w:val="center"/>
          </w:tcPr>
          <w:p w14:paraId="6D0237A0" w14:textId="77777777" w:rsidR="007F3B6C" w:rsidRPr="00050549" w:rsidRDefault="007F3B6C" w:rsidP="0010344F">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Impact description</w:t>
            </w:r>
          </w:p>
        </w:tc>
        <w:tc>
          <w:tcPr>
            <w:tcW w:w="1890"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091CF674" w14:textId="77777777" w:rsidR="007F3B6C" w:rsidRPr="00050549" w:rsidRDefault="007F3B6C" w:rsidP="0010344F">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Total Risk Value, USD</w:t>
            </w:r>
          </w:p>
        </w:tc>
        <w:tc>
          <w:tcPr>
            <w:tcW w:w="2250" w:type="dxa"/>
            <w:vMerge w:val="restart"/>
            <w:tcBorders>
              <w:top w:val="single" w:sz="4" w:space="0" w:color="auto"/>
              <w:left w:val="single" w:sz="4" w:space="0" w:color="auto"/>
              <w:bottom w:val="single" w:sz="4" w:space="0" w:color="auto"/>
              <w:right w:val="single" w:sz="4" w:space="0" w:color="auto"/>
            </w:tcBorders>
            <w:shd w:val="clear" w:color="000000" w:fill="808080"/>
            <w:vAlign w:val="center"/>
            <w:hideMark/>
          </w:tcPr>
          <w:p w14:paraId="37278766" w14:textId="77777777" w:rsidR="007F3B6C" w:rsidRPr="00050549" w:rsidRDefault="007F3B6C" w:rsidP="00F11965">
            <w:pPr>
              <w:jc w:val="center"/>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Risk Management Actions</w:t>
            </w:r>
          </w:p>
        </w:tc>
      </w:tr>
      <w:tr w:rsidR="007F3B6C" w:rsidRPr="00050549" w14:paraId="7D6EF956" w14:textId="77777777" w:rsidTr="0086551D">
        <w:trPr>
          <w:gridAfter w:val="1"/>
          <w:wAfter w:w="8" w:type="dxa"/>
          <w:trHeight w:val="300"/>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55A92D10" w14:textId="77777777" w:rsidR="007F3B6C" w:rsidRPr="00050549" w:rsidRDefault="007F3B6C" w:rsidP="0010344F">
            <w:pPr>
              <w:jc w:val="left"/>
              <w:rPr>
                <w:rFonts w:ascii="GHEA Grapalat" w:hAnsi="GHEA Grapalat" w:cs="Arial"/>
                <w:b/>
                <w:color w:val="FFFFFF"/>
                <w:sz w:val="18"/>
                <w:szCs w:val="18"/>
                <w:lang w:val="en-GB"/>
              </w:rPr>
            </w:pPr>
          </w:p>
        </w:tc>
        <w:tc>
          <w:tcPr>
            <w:tcW w:w="2011" w:type="dxa"/>
            <w:vMerge/>
            <w:tcBorders>
              <w:top w:val="single" w:sz="4" w:space="0" w:color="auto"/>
              <w:left w:val="single" w:sz="4" w:space="0" w:color="auto"/>
              <w:bottom w:val="single" w:sz="4" w:space="0" w:color="auto"/>
              <w:right w:val="single" w:sz="4" w:space="0" w:color="auto"/>
            </w:tcBorders>
            <w:vAlign w:val="center"/>
            <w:hideMark/>
          </w:tcPr>
          <w:p w14:paraId="5632A338" w14:textId="77777777" w:rsidR="007F3B6C" w:rsidRPr="00050549" w:rsidRDefault="007F3B6C" w:rsidP="0010344F">
            <w:pPr>
              <w:jc w:val="left"/>
              <w:rPr>
                <w:rFonts w:ascii="GHEA Grapalat" w:hAnsi="GHEA Grapalat" w:cs="Arial"/>
                <w:b/>
                <w:color w:val="FFFFFF"/>
                <w:sz w:val="18"/>
                <w:szCs w:val="18"/>
                <w:lang w:val="en-GB"/>
              </w:rPr>
            </w:pPr>
          </w:p>
        </w:tc>
        <w:tc>
          <w:tcPr>
            <w:tcW w:w="2991" w:type="dxa"/>
            <w:vMerge/>
            <w:tcBorders>
              <w:top w:val="single" w:sz="4" w:space="0" w:color="auto"/>
              <w:left w:val="single" w:sz="4" w:space="0" w:color="auto"/>
              <w:bottom w:val="single" w:sz="4" w:space="0" w:color="auto"/>
              <w:right w:val="single" w:sz="4" w:space="0" w:color="auto"/>
            </w:tcBorders>
            <w:vAlign w:val="center"/>
            <w:hideMark/>
          </w:tcPr>
          <w:p w14:paraId="6FAC751B" w14:textId="77777777" w:rsidR="007F3B6C" w:rsidRPr="00050549" w:rsidRDefault="007F3B6C" w:rsidP="0010344F">
            <w:pPr>
              <w:jc w:val="left"/>
              <w:rPr>
                <w:rFonts w:ascii="GHEA Grapalat" w:hAnsi="GHEA Grapalat" w:cs="Arial"/>
                <w:b/>
                <w:color w:val="FFFFFF"/>
                <w:sz w:val="18"/>
                <w:szCs w:val="18"/>
                <w:lang w:val="en-GB"/>
              </w:rPr>
            </w:pPr>
          </w:p>
        </w:tc>
        <w:tc>
          <w:tcPr>
            <w:tcW w:w="838" w:type="dxa"/>
            <w:tcBorders>
              <w:top w:val="nil"/>
              <w:left w:val="nil"/>
              <w:bottom w:val="single" w:sz="4" w:space="0" w:color="auto"/>
              <w:right w:val="single" w:sz="4" w:space="0" w:color="auto"/>
            </w:tcBorders>
            <w:shd w:val="clear" w:color="000000" w:fill="808080"/>
            <w:vAlign w:val="center"/>
            <w:hideMark/>
          </w:tcPr>
          <w:p w14:paraId="46157DE0" w14:textId="77777777" w:rsidR="007F3B6C" w:rsidRPr="00050549" w:rsidRDefault="007F3B6C" w:rsidP="0010344F">
            <w:pPr>
              <w:jc w:val="left"/>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Public</w:t>
            </w:r>
          </w:p>
        </w:tc>
        <w:tc>
          <w:tcPr>
            <w:tcW w:w="831" w:type="dxa"/>
            <w:tcBorders>
              <w:top w:val="nil"/>
              <w:left w:val="nil"/>
              <w:bottom w:val="single" w:sz="4" w:space="0" w:color="auto"/>
              <w:right w:val="single" w:sz="4" w:space="0" w:color="auto"/>
            </w:tcBorders>
            <w:shd w:val="clear" w:color="000000" w:fill="808080"/>
            <w:vAlign w:val="center"/>
            <w:hideMark/>
          </w:tcPr>
          <w:p w14:paraId="418AD7F6" w14:textId="77777777" w:rsidR="007F3B6C" w:rsidRPr="00050549" w:rsidRDefault="007F3B6C" w:rsidP="0010344F">
            <w:pPr>
              <w:jc w:val="left"/>
              <w:rPr>
                <w:rFonts w:ascii="GHEA Grapalat" w:hAnsi="GHEA Grapalat" w:cs="Arial"/>
                <w:b/>
                <w:color w:val="FFFFFF"/>
                <w:sz w:val="18"/>
                <w:szCs w:val="18"/>
                <w:lang w:val="en-GB"/>
              </w:rPr>
            </w:pPr>
            <w:r w:rsidRPr="00050549">
              <w:rPr>
                <w:rFonts w:ascii="GHEA Grapalat" w:hAnsi="GHEA Grapalat" w:cs="Arial"/>
                <w:b/>
                <w:color w:val="FFFFFF"/>
                <w:sz w:val="18"/>
                <w:szCs w:val="18"/>
                <w:lang w:val="en-GB"/>
              </w:rPr>
              <w:t>Private</w:t>
            </w:r>
          </w:p>
        </w:tc>
        <w:tc>
          <w:tcPr>
            <w:tcW w:w="1156" w:type="dxa"/>
            <w:vMerge/>
            <w:tcBorders>
              <w:top w:val="single" w:sz="4" w:space="0" w:color="auto"/>
              <w:left w:val="single" w:sz="4" w:space="0" w:color="auto"/>
              <w:bottom w:val="single" w:sz="4" w:space="0" w:color="auto"/>
              <w:right w:val="single" w:sz="4" w:space="0" w:color="auto"/>
            </w:tcBorders>
            <w:vAlign w:val="center"/>
            <w:hideMark/>
          </w:tcPr>
          <w:p w14:paraId="068BCD31" w14:textId="77777777" w:rsidR="007F3B6C" w:rsidRPr="00050549" w:rsidRDefault="007F3B6C" w:rsidP="0010344F">
            <w:pPr>
              <w:jc w:val="left"/>
              <w:rPr>
                <w:rFonts w:ascii="GHEA Grapalat" w:hAnsi="GHEA Grapalat" w:cs="Arial"/>
                <w:b/>
                <w:color w:val="FFFFFF"/>
                <w:sz w:val="18"/>
                <w:szCs w:val="18"/>
                <w:lang w:val="en-GB"/>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14:paraId="3C4B7597" w14:textId="77777777" w:rsidR="007F3B6C" w:rsidRPr="00050549" w:rsidRDefault="007F3B6C" w:rsidP="0010344F">
            <w:pPr>
              <w:jc w:val="left"/>
              <w:rPr>
                <w:rFonts w:ascii="GHEA Grapalat" w:hAnsi="GHEA Grapalat" w:cs="Arial"/>
                <w:b/>
                <w:color w:val="FFFFFF"/>
                <w:sz w:val="18"/>
                <w:szCs w:val="18"/>
                <w:lang w:val="en-GB"/>
              </w:rPr>
            </w:pPr>
          </w:p>
        </w:tc>
        <w:tc>
          <w:tcPr>
            <w:tcW w:w="2344" w:type="dxa"/>
            <w:vMerge/>
            <w:tcBorders>
              <w:left w:val="single" w:sz="4" w:space="0" w:color="auto"/>
              <w:bottom w:val="single" w:sz="4" w:space="0" w:color="auto"/>
              <w:right w:val="single" w:sz="4" w:space="0" w:color="auto"/>
            </w:tcBorders>
          </w:tcPr>
          <w:p w14:paraId="35EB02D0" w14:textId="77777777" w:rsidR="007F3B6C" w:rsidRPr="00050549" w:rsidRDefault="007F3B6C" w:rsidP="0010344F">
            <w:pPr>
              <w:jc w:val="left"/>
              <w:rPr>
                <w:rFonts w:ascii="GHEA Grapalat" w:hAnsi="GHEA Grapalat" w:cs="Arial"/>
                <w:b/>
                <w:color w:val="FFFFFF"/>
                <w:sz w:val="18"/>
                <w:szCs w:val="18"/>
                <w:lang w:val="en-GB"/>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14:paraId="13D7C10E" w14:textId="77777777" w:rsidR="007F3B6C" w:rsidRPr="00050549" w:rsidRDefault="007F3B6C" w:rsidP="0010344F">
            <w:pPr>
              <w:jc w:val="left"/>
              <w:rPr>
                <w:rFonts w:ascii="GHEA Grapalat" w:hAnsi="GHEA Grapalat" w:cs="Arial"/>
                <w:b/>
                <w:color w:val="FFFFFF"/>
                <w:sz w:val="18"/>
                <w:szCs w:val="18"/>
                <w:lang w:val="en-GB"/>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14:paraId="5715E13E" w14:textId="77777777" w:rsidR="007F3B6C" w:rsidRPr="00050549" w:rsidRDefault="007F3B6C" w:rsidP="00F11965">
            <w:pPr>
              <w:jc w:val="left"/>
              <w:rPr>
                <w:rFonts w:ascii="GHEA Grapalat" w:hAnsi="GHEA Grapalat" w:cs="Arial"/>
                <w:b/>
                <w:color w:val="FFFFFF"/>
                <w:sz w:val="18"/>
                <w:szCs w:val="18"/>
                <w:lang w:val="en-GB"/>
              </w:rPr>
            </w:pPr>
          </w:p>
        </w:tc>
      </w:tr>
      <w:tr w:rsidR="007F3B6C" w:rsidRPr="00050549" w14:paraId="7BAC850D"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25605513"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Tender-specific risks</w:t>
            </w:r>
            <w:r w:rsidRPr="00050549">
              <w:rPr>
                <w:rFonts w:ascii="Calibri" w:hAnsi="Calibri" w:cs="Calibri"/>
                <w:b/>
                <w:color w:val="000000"/>
                <w:sz w:val="18"/>
                <w:szCs w:val="18"/>
                <w:lang w:val="en-GB"/>
              </w:rPr>
              <w:t> </w:t>
            </w:r>
          </w:p>
        </w:tc>
      </w:tr>
      <w:tr w:rsidR="007F3B6C" w:rsidRPr="00050549" w14:paraId="06407AB8" w14:textId="77777777" w:rsidTr="0086551D">
        <w:trPr>
          <w:gridAfter w:val="1"/>
          <w:wAfter w:w="8" w:type="dxa"/>
          <w:trHeight w:val="480"/>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24794B0C"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5C40C0A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Failed or challenged tender</w:t>
            </w:r>
          </w:p>
        </w:tc>
        <w:tc>
          <w:tcPr>
            <w:tcW w:w="2991" w:type="dxa"/>
            <w:tcBorders>
              <w:top w:val="nil"/>
              <w:left w:val="nil"/>
              <w:bottom w:val="single" w:sz="4" w:space="0" w:color="auto"/>
              <w:right w:val="single" w:sz="4" w:space="0" w:color="auto"/>
            </w:tcBorders>
            <w:shd w:val="clear" w:color="auto" w:fill="auto"/>
            <w:vAlign w:val="center"/>
            <w:hideMark/>
          </w:tcPr>
          <w:p w14:paraId="3B2AE65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Insufficient number of bids, incomplete bids, legal actions, risk of fraud in tenders, etc.</w:t>
            </w:r>
          </w:p>
        </w:tc>
        <w:tc>
          <w:tcPr>
            <w:tcW w:w="838" w:type="dxa"/>
            <w:tcBorders>
              <w:top w:val="nil"/>
              <w:left w:val="nil"/>
              <w:bottom w:val="single" w:sz="4" w:space="0" w:color="auto"/>
              <w:right w:val="single" w:sz="4" w:space="0" w:color="auto"/>
            </w:tcBorders>
            <w:shd w:val="clear" w:color="auto" w:fill="auto"/>
            <w:vAlign w:val="center"/>
            <w:hideMark/>
          </w:tcPr>
          <w:p w14:paraId="77D24E4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831" w:type="dxa"/>
            <w:tcBorders>
              <w:top w:val="nil"/>
              <w:left w:val="nil"/>
              <w:bottom w:val="single" w:sz="4" w:space="0" w:color="auto"/>
              <w:right w:val="single" w:sz="4" w:space="0" w:color="auto"/>
            </w:tcBorders>
            <w:shd w:val="clear" w:color="auto" w:fill="auto"/>
            <w:vAlign w:val="center"/>
            <w:hideMark/>
          </w:tcPr>
          <w:p w14:paraId="5A11AAA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hideMark/>
          </w:tcPr>
          <w:p w14:paraId="72CC664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267C0EE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00538F0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May delay project start date (and eventually timely realization of benefits) due to the potential court cases in case of challenged tender, need to restructure tender and announce it again in case of failed tender. This will also cause increased effort and government spending on tender preparation.</w:t>
            </w:r>
          </w:p>
        </w:tc>
        <w:tc>
          <w:tcPr>
            <w:tcW w:w="1890" w:type="dxa"/>
            <w:tcBorders>
              <w:top w:val="nil"/>
              <w:left w:val="single" w:sz="4" w:space="0" w:color="auto"/>
              <w:bottom w:val="single" w:sz="4" w:space="0" w:color="auto"/>
              <w:right w:val="single" w:sz="4" w:space="0" w:color="auto"/>
            </w:tcBorders>
            <w:shd w:val="clear" w:color="auto" w:fill="auto"/>
            <w:vAlign w:val="center"/>
          </w:tcPr>
          <w:p w14:paraId="20A1D4DC" w14:textId="77777777" w:rsidR="007F3B6C" w:rsidRPr="00050549" w:rsidRDefault="007F3B6C" w:rsidP="0010344F">
            <w:pPr>
              <w:jc w:val="left"/>
              <w:rPr>
                <w:rFonts w:ascii="GHEA Grapalat" w:hAnsi="GHEA Grapalat" w:cs="Arial"/>
                <w:color w:val="000000"/>
                <w:sz w:val="18"/>
                <w:szCs w:val="18"/>
                <w:lang w:val="en-GB"/>
              </w:rPr>
            </w:pPr>
            <w:r w:rsidRPr="00050549">
              <w:rPr>
                <w:rFonts w:ascii="Calibri" w:hAnsi="Calibri" w:cs="Calibri"/>
                <w:color w:val="000000"/>
                <w:sz w:val="18"/>
                <w:szCs w:val="18"/>
                <w:lang w:val="en-GB"/>
              </w:rPr>
              <w:t> </w:t>
            </w:r>
          </w:p>
          <w:p w14:paraId="7B6FB7F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p w14:paraId="07F06D60" w14:textId="77777777" w:rsidR="007F3B6C" w:rsidRPr="00050549" w:rsidRDefault="007F3B6C" w:rsidP="0010344F">
            <w:pPr>
              <w:jc w:val="left"/>
              <w:rPr>
                <w:rFonts w:ascii="GHEA Grapalat" w:hAnsi="GHEA Grapalat" w:cs="Arial"/>
                <w:color w:val="000000"/>
                <w:sz w:val="18"/>
                <w:szCs w:val="18"/>
                <w:lang w:val="en-GB"/>
              </w:rPr>
            </w:pPr>
          </w:p>
        </w:tc>
        <w:tc>
          <w:tcPr>
            <w:tcW w:w="2250" w:type="dxa"/>
            <w:tcBorders>
              <w:top w:val="nil"/>
              <w:left w:val="nil"/>
              <w:bottom w:val="single" w:sz="4" w:space="0" w:color="auto"/>
              <w:right w:val="single" w:sz="4" w:space="0" w:color="auto"/>
            </w:tcBorders>
            <w:shd w:val="clear" w:color="auto" w:fill="auto"/>
            <w:vAlign w:val="center"/>
            <w:hideMark/>
          </w:tcPr>
          <w:p w14:paraId="2DA0A0AB"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Market consultation / sounding process and early engagement of potential bidders.</w:t>
            </w:r>
          </w:p>
        </w:tc>
      </w:tr>
      <w:tr w:rsidR="007F3B6C" w:rsidRPr="00050549" w14:paraId="7EE9389F" w14:textId="77777777" w:rsidTr="0086551D">
        <w:trPr>
          <w:gridAfter w:val="1"/>
          <w:wAfter w:w="8" w:type="dxa"/>
          <w:trHeight w:val="480"/>
          <w:jc w:val="center"/>
        </w:trPr>
        <w:tc>
          <w:tcPr>
            <w:tcW w:w="535" w:type="dxa"/>
            <w:tcBorders>
              <w:top w:val="nil"/>
              <w:left w:val="single" w:sz="4" w:space="0" w:color="auto"/>
              <w:bottom w:val="single" w:sz="4" w:space="0" w:color="auto"/>
              <w:right w:val="single" w:sz="4" w:space="0" w:color="auto"/>
            </w:tcBorders>
            <w:shd w:val="clear" w:color="000000" w:fill="EDEDED"/>
            <w:vAlign w:val="center"/>
          </w:tcPr>
          <w:p w14:paraId="72B099F7"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2.</w:t>
            </w:r>
          </w:p>
        </w:tc>
        <w:tc>
          <w:tcPr>
            <w:tcW w:w="2011" w:type="dxa"/>
            <w:tcBorders>
              <w:top w:val="nil"/>
              <w:left w:val="nil"/>
              <w:bottom w:val="single" w:sz="4" w:space="0" w:color="auto"/>
              <w:right w:val="single" w:sz="4" w:space="0" w:color="auto"/>
            </w:tcBorders>
            <w:shd w:val="clear" w:color="000000" w:fill="E7E6E6"/>
            <w:vAlign w:val="center"/>
          </w:tcPr>
          <w:p w14:paraId="7C0F909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Selection of unreputable bidders / or change of the ownership of the selected reputable bidder</w:t>
            </w:r>
          </w:p>
        </w:tc>
        <w:tc>
          <w:tcPr>
            <w:tcW w:w="2991" w:type="dxa"/>
            <w:tcBorders>
              <w:top w:val="nil"/>
              <w:left w:val="nil"/>
              <w:bottom w:val="single" w:sz="4" w:space="0" w:color="auto"/>
              <w:right w:val="single" w:sz="4" w:space="0" w:color="auto"/>
            </w:tcBorders>
            <w:shd w:val="clear" w:color="auto" w:fill="auto"/>
            <w:vAlign w:val="center"/>
          </w:tcPr>
          <w:p w14:paraId="7C2BC8D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Selection of bidders or change in ownership rights of the selected bidders that may pose national security concerns.</w:t>
            </w:r>
          </w:p>
        </w:tc>
        <w:tc>
          <w:tcPr>
            <w:tcW w:w="838" w:type="dxa"/>
            <w:tcBorders>
              <w:top w:val="nil"/>
              <w:left w:val="nil"/>
              <w:bottom w:val="single" w:sz="4" w:space="0" w:color="auto"/>
              <w:right w:val="single" w:sz="4" w:space="0" w:color="auto"/>
            </w:tcBorders>
            <w:shd w:val="clear" w:color="auto" w:fill="auto"/>
            <w:vAlign w:val="center"/>
          </w:tcPr>
          <w:p w14:paraId="36C529BD"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831" w:type="dxa"/>
            <w:tcBorders>
              <w:top w:val="nil"/>
              <w:left w:val="nil"/>
              <w:bottom w:val="single" w:sz="4" w:space="0" w:color="auto"/>
              <w:right w:val="single" w:sz="4" w:space="0" w:color="auto"/>
            </w:tcBorders>
            <w:shd w:val="clear" w:color="auto" w:fill="auto"/>
            <w:vAlign w:val="center"/>
          </w:tcPr>
          <w:p w14:paraId="44DF09B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tcPr>
          <w:p w14:paraId="3B843A9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15-40 %</w:t>
            </w:r>
          </w:p>
        </w:tc>
        <w:tc>
          <w:tcPr>
            <w:tcW w:w="989" w:type="dxa"/>
            <w:tcBorders>
              <w:top w:val="nil"/>
              <w:left w:val="nil"/>
              <w:bottom w:val="single" w:sz="4" w:space="0" w:color="auto"/>
              <w:right w:val="single" w:sz="4" w:space="0" w:color="auto"/>
            </w:tcBorders>
            <w:shd w:val="clear" w:color="auto" w:fill="auto"/>
            <w:vAlign w:val="center"/>
          </w:tcPr>
          <w:p w14:paraId="5AC9C5B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tcPr>
          <w:p w14:paraId="09B3FE0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Selection of unreputable bidders or change of ownership rights of selected bidders may pose national security threats.</w:t>
            </w:r>
          </w:p>
        </w:tc>
        <w:tc>
          <w:tcPr>
            <w:tcW w:w="1890" w:type="dxa"/>
            <w:tcBorders>
              <w:top w:val="nil"/>
              <w:left w:val="single" w:sz="4" w:space="0" w:color="auto"/>
              <w:bottom w:val="single" w:sz="4" w:space="0" w:color="auto"/>
              <w:right w:val="single" w:sz="4" w:space="0" w:color="auto"/>
            </w:tcBorders>
            <w:shd w:val="clear" w:color="auto" w:fill="auto"/>
            <w:vAlign w:val="center"/>
          </w:tcPr>
          <w:p w14:paraId="592499D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tcPr>
          <w:p w14:paraId="6C2DFA3C"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NSS clearance for eligibility of bidders.</w:t>
            </w:r>
          </w:p>
          <w:p w14:paraId="3AE5ADAF"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MFA and Defence Ministry clearance for foreign and for foreign-owned bidders.</w:t>
            </w:r>
          </w:p>
          <w:p w14:paraId="1844DCFB" w14:textId="2FE24D51"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3. Qualification / eligibility criteria limits participation of </w:t>
            </w:r>
            <w:r w:rsidR="00F11965" w:rsidRPr="00050549">
              <w:rPr>
                <w:rFonts w:ascii="GHEA Grapalat" w:hAnsi="GHEA Grapalat" w:cs="Arial"/>
                <w:color w:val="000000"/>
                <w:sz w:val="18"/>
                <w:szCs w:val="18"/>
                <w:lang w:val="en-GB"/>
              </w:rPr>
              <w:t>state-owned</w:t>
            </w:r>
            <w:r w:rsidRPr="00050549">
              <w:rPr>
                <w:rFonts w:ascii="GHEA Grapalat" w:hAnsi="GHEA Grapalat" w:cs="Arial"/>
                <w:color w:val="000000"/>
                <w:sz w:val="18"/>
                <w:szCs w:val="18"/>
                <w:lang w:val="en-GB"/>
              </w:rPr>
              <w:t xml:space="preserve"> enterprises where the state has significant control through full, majority, or significant minority ownership.</w:t>
            </w:r>
          </w:p>
          <w:p w14:paraId="24DE4AD3"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4. No change in direct or indirect ownership of the Private Partner during the contract without </w:t>
            </w:r>
            <w:r w:rsidRPr="00050549">
              <w:rPr>
                <w:rFonts w:ascii="GHEA Grapalat" w:hAnsi="GHEA Grapalat" w:cs="Arial"/>
                <w:color w:val="000000"/>
                <w:sz w:val="18"/>
                <w:szCs w:val="18"/>
                <w:lang w:val="en-GB"/>
              </w:rPr>
              <w:lastRenderedPageBreak/>
              <w:t xml:space="preserve">written consent by the </w:t>
            </w:r>
            <w:proofErr w:type="spellStart"/>
            <w:r w:rsidRPr="00050549">
              <w:rPr>
                <w:rFonts w:ascii="GHEA Grapalat" w:hAnsi="GHEA Grapalat" w:cs="Arial"/>
                <w:color w:val="000000"/>
                <w:sz w:val="18"/>
                <w:szCs w:val="18"/>
                <w:lang w:val="en-GB"/>
              </w:rPr>
              <w:t>GoA</w:t>
            </w:r>
            <w:proofErr w:type="spellEnd"/>
            <w:r w:rsidRPr="00050549">
              <w:rPr>
                <w:rFonts w:ascii="GHEA Grapalat" w:hAnsi="GHEA Grapalat" w:cs="Arial"/>
                <w:color w:val="000000"/>
                <w:sz w:val="18"/>
                <w:szCs w:val="18"/>
                <w:lang w:val="en-GB"/>
              </w:rPr>
              <w:t>.</w:t>
            </w:r>
          </w:p>
        </w:tc>
      </w:tr>
      <w:tr w:rsidR="007F3B6C" w:rsidRPr="00050549" w14:paraId="5FDDA3E3" w14:textId="77777777" w:rsidTr="0086551D">
        <w:trPr>
          <w:gridAfter w:val="1"/>
          <w:wAfter w:w="8" w:type="dxa"/>
          <w:trHeight w:val="732"/>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542E1FE6"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3.</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088AA96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Selection of underqualified bidders</w:t>
            </w:r>
          </w:p>
        </w:tc>
        <w:tc>
          <w:tcPr>
            <w:tcW w:w="2991" w:type="dxa"/>
            <w:tcBorders>
              <w:top w:val="nil"/>
              <w:left w:val="nil"/>
              <w:bottom w:val="single" w:sz="4" w:space="0" w:color="auto"/>
              <w:right w:val="single" w:sz="4" w:space="0" w:color="auto"/>
            </w:tcBorders>
            <w:shd w:val="clear" w:color="auto" w:fill="auto"/>
            <w:vAlign w:val="center"/>
            <w:hideMark/>
          </w:tcPr>
          <w:p w14:paraId="4A90942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Can be caused due to improper selection method or other causes</w:t>
            </w:r>
          </w:p>
        </w:tc>
        <w:tc>
          <w:tcPr>
            <w:tcW w:w="838" w:type="dxa"/>
            <w:tcBorders>
              <w:top w:val="nil"/>
              <w:left w:val="nil"/>
              <w:bottom w:val="single" w:sz="4" w:space="0" w:color="auto"/>
              <w:right w:val="single" w:sz="4" w:space="0" w:color="auto"/>
            </w:tcBorders>
            <w:shd w:val="clear" w:color="auto" w:fill="auto"/>
            <w:vAlign w:val="center"/>
            <w:hideMark/>
          </w:tcPr>
          <w:p w14:paraId="27907290"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831" w:type="dxa"/>
            <w:tcBorders>
              <w:top w:val="nil"/>
              <w:left w:val="nil"/>
              <w:bottom w:val="single" w:sz="4" w:space="0" w:color="auto"/>
              <w:right w:val="single" w:sz="4" w:space="0" w:color="auto"/>
            </w:tcBorders>
            <w:shd w:val="clear" w:color="auto" w:fill="auto"/>
            <w:vAlign w:val="center"/>
            <w:hideMark/>
          </w:tcPr>
          <w:p w14:paraId="6B87C258"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hideMark/>
          </w:tcPr>
          <w:p w14:paraId="5237A77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3C20B06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vAlign w:val="center"/>
          </w:tcPr>
          <w:p w14:paraId="4D1BA13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May impact quality of project results and ability to realize expected benefits.</w:t>
            </w:r>
          </w:p>
        </w:tc>
        <w:tc>
          <w:tcPr>
            <w:tcW w:w="1890" w:type="dxa"/>
            <w:tcBorders>
              <w:top w:val="nil"/>
              <w:left w:val="single" w:sz="4" w:space="0" w:color="auto"/>
              <w:bottom w:val="single" w:sz="4" w:space="0" w:color="auto"/>
              <w:right w:val="single" w:sz="4" w:space="0" w:color="auto"/>
            </w:tcBorders>
            <w:shd w:val="clear" w:color="auto" w:fill="auto"/>
            <w:vAlign w:val="center"/>
          </w:tcPr>
          <w:p w14:paraId="3805110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356BF78A"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Independent third party (consultants) to provide technical evaluation of tenders, support in shortlisting procedures.</w:t>
            </w:r>
          </w:p>
          <w:p w14:paraId="0A043E7B"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Selection methods should be based on total economic value: quality of the proposal shall be scored higher than price.</w:t>
            </w:r>
          </w:p>
        </w:tc>
      </w:tr>
      <w:tr w:rsidR="007F3B6C" w:rsidRPr="00050549" w14:paraId="51AF668A" w14:textId="77777777" w:rsidTr="0086551D">
        <w:trPr>
          <w:gridAfter w:val="1"/>
          <w:wAfter w:w="8" w:type="dxa"/>
          <w:trHeight w:val="732"/>
          <w:jc w:val="center"/>
        </w:trPr>
        <w:tc>
          <w:tcPr>
            <w:tcW w:w="535" w:type="dxa"/>
            <w:tcBorders>
              <w:top w:val="nil"/>
              <w:left w:val="single" w:sz="4" w:space="0" w:color="auto"/>
              <w:bottom w:val="single" w:sz="4" w:space="0" w:color="auto"/>
              <w:right w:val="single" w:sz="4" w:space="0" w:color="auto"/>
            </w:tcBorders>
            <w:shd w:val="clear" w:color="000000" w:fill="EDEDED"/>
            <w:vAlign w:val="center"/>
          </w:tcPr>
          <w:p w14:paraId="54E525F0"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4.</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tcPr>
          <w:p w14:paraId="75ED464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Overpayment</w:t>
            </w:r>
          </w:p>
        </w:tc>
        <w:tc>
          <w:tcPr>
            <w:tcW w:w="2991" w:type="dxa"/>
            <w:tcBorders>
              <w:top w:val="nil"/>
              <w:left w:val="nil"/>
              <w:bottom w:val="single" w:sz="4" w:space="0" w:color="auto"/>
              <w:right w:val="single" w:sz="4" w:space="0" w:color="auto"/>
            </w:tcBorders>
            <w:shd w:val="clear" w:color="auto" w:fill="auto"/>
            <w:vAlign w:val="center"/>
          </w:tcPr>
          <w:p w14:paraId="2AAEB0D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High prices or margins set by the Private Partner </w:t>
            </w:r>
          </w:p>
        </w:tc>
        <w:tc>
          <w:tcPr>
            <w:tcW w:w="838" w:type="dxa"/>
            <w:tcBorders>
              <w:top w:val="nil"/>
              <w:left w:val="nil"/>
              <w:bottom w:val="single" w:sz="4" w:space="0" w:color="auto"/>
              <w:right w:val="single" w:sz="4" w:space="0" w:color="auto"/>
            </w:tcBorders>
            <w:shd w:val="clear" w:color="auto" w:fill="auto"/>
            <w:vAlign w:val="center"/>
          </w:tcPr>
          <w:p w14:paraId="0AC32337"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831" w:type="dxa"/>
            <w:tcBorders>
              <w:top w:val="nil"/>
              <w:left w:val="nil"/>
              <w:bottom w:val="single" w:sz="4" w:space="0" w:color="auto"/>
              <w:right w:val="single" w:sz="4" w:space="0" w:color="auto"/>
            </w:tcBorders>
            <w:shd w:val="clear" w:color="auto" w:fill="auto"/>
            <w:vAlign w:val="center"/>
          </w:tcPr>
          <w:p w14:paraId="7B2AB92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tcPr>
          <w:p w14:paraId="310E655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tcPr>
          <w:p w14:paraId="10526F6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vAlign w:val="center"/>
          </w:tcPr>
          <w:p w14:paraId="4589AAF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Setting a high price or margin results in overutilization of budgetary funds, as well as increases social and political risks.</w:t>
            </w:r>
          </w:p>
        </w:tc>
        <w:tc>
          <w:tcPr>
            <w:tcW w:w="1890" w:type="dxa"/>
            <w:tcBorders>
              <w:top w:val="nil"/>
              <w:left w:val="single" w:sz="4" w:space="0" w:color="auto"/>
              <w:bottom w:val="single" w:sz="4" w:space="0" w:color="auto"/>
              <w:right w:val="single" w:sz="4" w:space="0" w:color="auto"/>
            </w:tcBorders>
            <w:shd w:val="clear" w:color="auto" w:fill="auto"/>
            <w:vAlign w:val="center"/>
          </w:tcPr>
          <w:p w14:paraId="4D70EE65" w14:textId="77777777" w:rsidR="007F3B6C" w:rsidRPr="00050549" w:rsidRDefault="007F3B6C" w:rsidP="0010344F">
            <w:pPr>
              <w:jc w:val="left"/>
              <w:rPr>
                <w:rFonts w:ascii="GHEA Grapalat" w:hAnsi="GHEA Grapalat" w:cs="Arial"/>
                <w:color w:val="000000"/>
                <w:sz w:val="18"/>
                <w:szCs w:val="18"/>
                <w:lang w:val="en-GB"/>
              </w:rPr>
            </w:pPr>
            <w:r w:rsidRPr="00050549">
              <w:rPr>
                <w:rFonts w:ascii="Calibri" w:hAnsi="Calibri" w:cs="Calibri"/>
                <w:color w:val="000000"/>
                <w:sz w:val="18"/>
                <w:szCs w:val="18"/>
                <w:lang w:val="en-GB"/>
              </w:rPr>
              <w:t> </w:t>
            </w: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tcPr>
          <w:p w14:paraId="00766DAA" w14:textId="77777777" w:rsidR="007F3B6C" w:rsidRPr="00050549" w:rsidRDefault="007F3B6C" w:rsidP="00F11965">
            <w:pPr>
              <w:tabs>
                <w:tab w:val="left" w:pos="384"/>
              </w:tabs>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Competitive selection of the private partner (bidding procedure).</w:t>
            </w:r>
          </w:p>
          <w:p w14:paraId="5A59C57C" w14:textId="77777777" w:rsidR="007F3B6C" w:rsidRPr="00050549" w:rsidRDefault="007F3B6C" w:rsidP="00F11965">
            <w:pPr>
              <w:tabs>
                <w:tab w:val="left" w:pos="384"/>
              </w:tabs>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Communication to engage more bidders.</w:t>
            </w:r>
          </w:p>
          <w:p w14:paraId="40F9FEC3" w14:textId="77777777" w:rsidR="007F3B6C" w:rsidRPr="00050549" w:rsidRDefault="007F3B6C" w:rsidP="00F11965">
            <w:pPr>
              <w:tabs>
                <w:tab w:val="left" w:pos="384"/>
              </w:tabs>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3. Preliminary research by the public partner on costs of digitalized passports in other countries (part of the pre-feasibility study). </w:t>
            </w:r>
          </w:p>
        </w:tc>
      </w:tr>
      <w:tr w:rsidR="007F3B6C" w:rsidRPr="00050549" w14:paraId="2DAE2944"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50FDA4F5"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Regulatory and legal risks</w:t>
            </w:r>
          </w:p>
        </w:tc>
      </w:tr>
      <w:tr w:rsidR="007F3B6C" w:rsidRPr="00050549" w14:paraId="5F207DEC" w14:textId="77777777" w:rsidTr="0086551D">
        <w:trPr>
          <w:gridAfter w:val="1"/>
          <w:wAfter w:w="8" w:type="dxa"/>
          <w:trHeight w:val="924"/>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0D71DC84"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5.</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64255A0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General legal and regulatory risks</w:t>
            </w:r>
          </w:p>
        </w:tc>
        <w:tc>
          <w:tcPr>
            <w:tcW w:w="2991" w:type="dxa"/>
            <w:tcBorders>
              <w:top w:val="nil"/>
              <w:left w:val="nil"/>
              <w:bottom w:val="single" w:sz="4" w:space="0" w:color="auto"/>
              <w:right w:val="single" w:sz="4" w:space="0" w:color="auto"/>
            </w:tcBorders>
            <w:shd w:val="clear" w:color="auto" w:fill="auto"/>
            <w:vAlign w:val="center"/>
            <w:hideMark/>
          </w:tcPr>
          <w:p w14:paraId="07FB2FC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Changing the regulatory framework for ID card and passport issuance / requirements.</w:t>
            </w:r>
            <w:r w:rsidRPr="00050549">
              <w:rPr>
                <w:rFonts w:ascii="Calibri" w:hAnsi="Calibri" w:cs="Calibri"/>
                <w:color w:val="000000"/>
                <w:sz w:val="18"/>
                <w:szCs w:val="18"/>
                <w:lang w:val="en-GB"/>
              </w:rPr>
              <w:t> </w:t>
            </w:r>
            <w:r w:rsidRPr="00050549">
              <w:rPr>
                <w:rFonts w:ascii="GHEA Grapalat" w:hAnsi="GHEA Grapalat" w:cs="Arial"/>
                <w:color w:val="000000"/>
                <w:sz w:val="18"/>
                <w:szCs w:val="18"/>
                <w:lang w:val="en-GB"/>
              </w:rPr>
              <w:t xml:space="preserve"> Changing the normative base in the field of regulation of operational activities (tariffs, taxation etc.). The Public partner primarily bears the risk of unexpected changes in law which were not in the public domain before a specified cut-off date in the bid phase and which cause the Private Partner</w:t>
            </w:r>
            <w:r w:rsidRPr="00050549">
              <w:rPr>
                <w:rFonts w:ascii="GHEA Grapalat" w:hAnsi="GHEA Grapalat" w:cs="GHEA Grapalat"/>
                <w:color w:val="000000"/>
                <w:sz w:val="18"/>
                <w:szCs w:val="18"/>
                <w:lang w:val="en-GB"/>
              </w:rPr>
              <w:t>’</w:t>
            </w:r>
            <w:r w:rsidRPr="00050549">
              <w:rPr>
                <w:rFonts w:ascii="GHEA Grapalat" w:hAnsi="GHEA Grapalat" w:cs="Arial"/>
                <w:color w:val="000000"/>
                <w:sz w:val="18"/>
                <w:szCs w:val="18"/>
                <w:lang w:val="en-GB"/>
              </w:rPr>
              <w:t xml:space="preserve">s performance of its contractual obligations to be </w:t>
            </w:r>
            <w:r w:rsidRPr="00050549">
              <w:rPr>
                <w:rFonts w:ascii="GHEA Grapalat" w:hAnsi="GHEA Grapalat" w:cs="Arial"/>
                <w:color w:val="000000"/>
                <w:sz w:val="18"/>
                <w:szCs w:val="18"/>
                <w:lang w:val="en-GB"/>
              </w:rPr>
              <w:lastRenderedPageBreak/>
              <w:t>wholly or partly impossible, delayed or more expensive than anticipated (or impact its investors)</w:t>
            </w:r>
          </w:p>
        </w:tc>
        <w:tc>
          <w:tcPr>
            <w:tcW w:w="838" w:type="dxa"/>
            <w:tcBorders>
              <w:top w:val="nil"/>
              <w:left w:val="nil"/>
              <w:bottom w:val="single" w:sz="4" w:space="0" w:color="auto"/>
              <w:right w:val="single" w:sz="4" w:space="0" w:color="auto"/>
            </w:tcBorders>
            <w:shd w:val="clear" w:color="auto" w:fill="auto"/>
            <w:vAlign w:val="center"/>
            <w:hideMark/>
          </w:tcPr>
          <w:p w14:paraId="4A64EDD0"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100%</w:t>
            </w:r>
          </w:p>
        </w:tc>
        <w:tc>
          <w:tcPr>
            <w:tcW w:w="831" w:type="dxa"/>
            <w:tcBorders>
              <w:top w:val="nil"/>
              <w:left w:val="nil"/>
              <w:bottom w:val="single" w:sz="4" w:space="0" w:color="auto"/>
              <w:right w:val="single" w:sz="4" w:space="0" w:color="auto"/>
            </w:tcBorders>
            <w:shd w:val="clear" w:color="auto" w:fill="auto"/>
            <w:vAlign w:val="center"/>
            <w:hideMark/>
          </w:tcPr>
          <w:p w14:paraId="1D041C7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hideMark/>
          </w:tcPr>
          <w:p w14:paraId="41C46A7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50%-70%</w:t>
            </w:r>
          </w:p>
        </w:tc>
        <w:tc>
          <w:tcPr>
            <w:tcW w:w="989" w:type="dxa"/>
            <w:tcBorders>
              <w:top w:val="nil"/>
              <w:left w:val="nil"/>
              <w:bottom w:val="single" w:sz="4" w:space="0" w:color="auto"/>
              <w:right w:val="single" w:sz="4" w:space="0" w:color="auto"/>
            </w:tcBorders>
            <w:shd w:val="clear" w:color="auto" w:fill="auto"/>
            <w:vAlign w:val="center"/>
            <w:hideMark/>
          </w:tcPr>
          <w:p w14:paraId="2734B59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tcPr>
          <w:p w14:paraId="2C27265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Minimum requirements for vendor may not consider expected changes, thus vendor may request change and increase price. </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74F6B23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371EF2CB"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The Public partner’s risk can be mitigated by ensuring that the contract clearly defines what constitutes a change, the relevant cut-off date and what constitutes being in the public domain. This will vary according to the nature of the project and jurisdiction concerned.</w:t>
            </w:r>
          </w:p>
          <w:p w14:paraId="39552C4A"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2. Legal changes closely monitored by the </w:t>
            </w:r>
            <w:r w:rsidRPr="00050549">
              <w:rPr>
                <w:rFonts w:ascii="GHEA Grapalat" w:hAnsi="GHEA Grapalat" w:cs="Arial"/>
                <w:color w:val="000000"/>
                <w:sz w:val="18"/>
                <w:szCs w:val="18"/>
                <w:lang w:val="en-GB"/>
              </w:rPr>
              <w:lastRenderedPageBreak/>
              <w:t>contract monitoring committee.</w:t>
            </w:r>
          </w:p>
          <w:p w14:paraId="1390E4DB"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3. Communication links established with the private partner to discuss impact on their operations / to negotiate.</w:t>
            </w:r>
          </w:p>
          <w:p w14:paraId="38A87475"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4. Minimum requirements for vendor include requirements that services must meet the latest versions of specific international standards, so that private partner is obliged to keep services up to date – so if changes reflect only change in international standard, it is not considered a change.</w:t>
            </w:r>
          </w:p>
          <w:p w14:paraId="3188909C"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5. Regulatory framework for the identification system recommended to be updated before the tender.</w:t>
            </w:r>
          </w:p>
        </w:tc>
      </w:tr>
      <w:tr w:rsidR="007F3B6C" w:rsidRPr="00050549" w14:paraId="08043BBA" w14:textId="77777777" w:rsidTr="0086551D">
        <w:trPr>
          <w:gridAfter w:val="1"/>
          <w:wAfter w:w="8" w:type="dxa"/>
          <w:trHeight w:val="1380"/>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7C8BAAFC"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6.</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152B871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Specific legal risks associated with a PPP contract</w:t>
            </w:r>
          </w:p>
        </w:tc>
        <w:tc>
          <w:tcPr>
            <w:tcW w:w="2991" w:type="dxa"/>
            <w:tcBorders>
              <w:top w:val="nil"/>
              <w:left w:val="nil"/>
              <w:bottom w:val="single" w:sz="4" w:space="0" w:color="auto"/>
              <w:right w:val="single" w:sz="4" w:space="0" w:color="auto"/>
            </w:tcBorders>
            <w:shd w:val="clear" w:color="auto" w:fill="auto"/>
            <w:vAlign w:val="center"/>
            <w:hideMark/>
          </w:tcPr>
          <w:p w14:paraId="41EAA62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Legal risks related to the contract and other contractual relationships within the project (failure of the parties to fulfil obligations, early termination of the contract, untimely transfer of property, Lack or insufficient level of contractual settlement of certain issues, etc. </w:t>
            </w:r>
          </w:p>
        </w:tc>
        <w:tc>
          <w:tcPr>
            <w:tcW w:w="838" w:type="dxa"/>
            <w:tcBorders>
              <w:top w:val="nil"/>
              <w:left w:val="nil"/>
              <w:bottom w:val="single" w:sz="4" w:space="0" w:color="auto"/>
              <w:right w:val="single" w:sz="4" w:space="0" w:color="auto"/>
            </w:tcBorders>
            <w:shd w:val="clear" w:color="auto" w:fill="auto"/>
            <w:vAlign w:val="center"/>
            <w:hideMark/>
          </w:tcPr>
          <w:p w14:paraId="61F5A286"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50%</w:t>
            </w:r>
          </w:p>
        </w:tc>
        <w:tc>
          <w:tcPr>
            <w:tcW w:w="831" w:type="dxa"/>
            <w:tcBorders>
              <w:top w:val="nil"/>
              <w:left w:val="nil"/>
              <w:bottom w:val="single" w:sz="4" w:space="0" w:color="auto"/>
              <w:right w:val="single" w:sz="4" w:space="0" w:color="auto"/>
            </w:tcBorders>
            <w:shd w:val="clear" w:color="auto" w:fill="auto"/>
            <w:vAlign w:val="center"/>
            <w:hideMark/>
          </w:tcPr>
          <w:p w14:paraId="2768E5E4"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50%</w:t>
            </w:r>
          </w:p>
        </w:tc>
        <w:tc>
          <w:tcPr>
            <w:tcW w:w="1156" w:type="dxa"/>
            <w:tcBorders>
              <w:top w:val="nil"/>
              <w:left w:val="nil"/>
              <w:bottom w:val="single" w:sz="4" w:space="0" w:color="auto"/>
              <w:right w:val="single" w:sz="4" w:space="0" w:color="auto"/>
            </w:tcBorders>
            <w:shd w:val="clear" w:color="auto" w:fill="auto"/>
            <w:vAlign w:val="center"/>
            <w:hideMark/>
          </w:tcPr>
          <w:p w14:paraId="7E48354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3331537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tcPr>
          <w:p w14:paraId="065ADDC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Extent of impact may differ depending on specific legal risk – e.g., in some cases it may result in delay of project start, in other cases – it may result of failed project and interrupted operations. </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66FA2EC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26E2215A"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1. Independent third party (consultants) to provide technical support to draft PPP contract. </w:t>
            </w:r>
          </w:p>
          <w:p w14:paraId="4C2639FC"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Draft contract consulted with market participants.</w:t>
            </w:r>
          </w:p>
          <w:p w14:paraId="718B4C8A"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3. Relevant </w:t>
            </w:r>
            <w:proofErr w:type="spellStart"/>
            <w:r w:rsidRPr="00050549">
              <w:rPr>
                <w:rFonts w:ascii="GHEA Grapalat" w:hAnsi="GHEA Grapalat" w:cs="Arial"/>
                <w:color w:val="000000"/>
                <w:sz w:val="18"/>
                <w:szCs w:val="18"/>
                <w:lang w:val="en-GB"/>
              </w:rPr>
              <w:t>GoA</w:t>
            </w:r>
            <w:proofErr w:type="spellEnd"/>
            <w:r w:rsidRPr="00050549">
              <w:rPr>
                <w:rFonts w:ascii="GHEA Grapalat" w:hAnsi="GHEA Grapalat" w:cs="Arial"/>
                <w:color w:val="000000"/>
                <w:sz w:val="18"/>
                <w:szCs w:val="18"/>
                <w:lang w:val="en-GB"/>
              </w:rPr>
              <w:t xml:space="preserve"> bodies (according to PPP regulation) to delegate competent government specialists to cooperate and participate in </w:t>
            </w:r>
            <w:r w:rsidRPr="00050549">
              <w:rPr>
                <w:rFonts w:ascii="GHEA Grapalat" w:hAnsi="GHEA Grapalat" w:cs="Arial"/>
                <w:color w:val="000000"/>
                <w:sz w:val="18"/>
                <w:szCs w:val="18"/>
                <w:lang w:val="en-GB"/>
              </w:rPr>
              <w:lastRenderedPageBreak/>
              <w:t>contract drafting and review,</w:t>
            </w:r>
          </w:p>
        </w:tc>
      </w:tr>
      <w:tr w:rsidR="007F3B6C" w:rsidRPr="00050549" w14:paraId="709BBFB7"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25741022"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Project design and construction</w:t>
            </w:r>
          </w:p>
        </w:tc>
      </w:tr>
      <w:tr w:rsidR="007F3B6C" w:rsidRPr="00050549" w14:paraId="6B9FD91E"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2216C7BE"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7.</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5EF98C0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Inadequate design of the project</w:t>
            </w:r>
          </w:p>
        </w:tc>
        <w:tc>
          <w:tcPr>
            <w:tcW w:w="2991" w:type="dxa"/>
            <w:tcBorders>
              <w:top w:val="nil"/>
              <w:left w:val="nil"/>
              <w:bottom w:val="single" w:sz="4" w:space="0" w:color="auto"/>
              <w:right w:val="single" w:sz="4" w:space="0" w:color="auto"/>
            </w:tcBorders>
            <w:shd w:val="clear" w:color="auto" w:fill="auto"/>
            <w:vAlign w:val="center"/>
            <w:hideMark/>
          </w:tcPr>
          <w:p w14:paraId="267DD7B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The design of the project might be inadequate in terms of facilities, assets, equipment, operations, technology selection, etc. The Public partner usually aims to set a broad output driven specification in the tender documents, requiring the Private Partner to design and build the project in a way which satisfies the performance specifications and ensures compliance with applicable legal requirements, good industry practice standards and, where applicable, minimum quality standards. This allows for private sector innovation and efficiency gains in the design. With this approach, the Private Partner will have principal responsibility for adequacy of the design of the system and its compliance with the output / performance specification.</w:t>
            </w:r>
          </w:p>
        </w:tc>
        <w:tc>
          <w:tcPr>
            <w:tcW w:w="838" w:type="dxa"/>
            <w:tcBorders>
              <w:top w:val="nil"/>
              <w:left w:val="nil"/>
              <w:bottom w:val="single" w:sz="4" w:space="0" w:color="auto"/>
              <w:right w:val="single" w:sz="4" w:space="0" w:color="auto"/>
            </w:tcBorders>
            <w:shd w:val="clear" w:color="auto" w:fill="auto"/>
            <w:vAlign w:val="center"/>
            <w:hideMark/>
          </w:tcPr>
          <w:p w14:paraId="44CA366A"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25%</w:t>
            </w:r>
          </w:p>
        </w:tc>
        <w:tc>
          <w:tcPr>
            <w:tcW w:w="831" w:type="dxa"/>
            <w:tcBorders>
              <w:top w:val="nil"/>
              <w:left w:val="nil"/>
              <w:bottom w:val="single" w:sz="4" w:space="0" w:color="auto"/>
              <w:right w:val="single" w:sz="4" w:space="0" w:color="auto"/>
            </w:tcBorders>
            <w:shd w:val="clear" w:color="auto" w:fill="auto"/>
            <w:vAlign w:val="center"/>
            <w:hideMark/>
          </w:tcPr>
          <w:p w14:paraId="1C9668A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75%</w:t>
            </w:r>
          </w:p>
        </w:tc>
        <w:tc>
          <w:tcPr>
            <w:tcW w:w="1156" w:type="dxa"/>
            <w:tcBorders>
              <w:top w:val="nil"/>
              <w:left w:val="nil"/>
              <w:bottom w:val="single" w:sz="4" w:space="0" w:color="auto"/>
              <w:right w:val="single" w:sz="4" w:space="0" w:color="auto"/>
            </w:tcBorders>
            <w:shd w:val="clear" w:color="auto" w:fill="auto"/>
            <w:vAlign w:val="center"/>
            <w:hideMark/>
          </w:tcPr>
          <w:p w14:paraId="5139E14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348532D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tcPr>
          <w:p w14:paraId="74FD5E1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Inadequate design may lead to increased costs (e.g., inefficient processes, technology selected, design of geographical network), failures to meet SLAs (resulting in reduction of revenues). </w:t>
            </w:r>
          </w:p>
          <w:p w14:paraId="370E8FD6" w14:textId="77777777" w:rsidR="007F3B6C" w:rsidRPr="00050549" w:rsidRDefault="007F3B6C" w:rsidP="0010344F">
            <w:pPr>
              <w:jc w:val="left"/>
              <w:rPr>
                <w:rFonts w:ascii="GHEA Grapalat" w:hAnsi="GHEA Grapalat" w:cs="Arial"/>
                <w:color w:val="000000"/>
                <w:sz w:val="18"/>
                <w:szCs w:val="18"/>
                <w:lang w:val="en-GB"/>
              </w:rPr>
            </w:pPr>
          </w:p>
          <w:p w14:paraId="44B0E0A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The Public partner should bear the risk of technical information provided by it proving inaccurate to the extent the Private Partner was allowed to rely on it for design purposes. If such risk is realized, it may result in compensation event.</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50A8482E" w14:textId="19219D9C"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b/>
                <w:color w:val="000000"/>
                <w:sz w:val="18"/>
                <w:szCs w:val="18"/>
                <w:lang w:val="en-GB"/>
              </w:rPr>
              <w:t>1,640,000</w:t>
            </w:r>
            <w:r w:rsidR="003E209C">
              <w:rPr>
                <w:rFonts w:ascii="GHEA Grapalat" w:hAnsi="GHEA Grapalat" w:cs="Arial"/>
                <w:b/>
                <w:color w:val="000000"/>
                <w:sz w:val="18"/>
                <w:szCs w:val="18"/>
              </w:rPr>
              <w:t xml:space="preserve"> </w:t>
            </w:r>
            <w:r w:rsidRPr="00050549">
              <w:rPr>
                <w:rFonts w:ascii="GHEA Grapalat" w:hAnsi="GHEA Grapalat" w:cs="Arial"/>
                <w:color w:val="000000"/>
                <w:sz w:val="18"/>
                <w:szCs w:val="18"/>
                <w:lang w:val="en-GB"/>
              </w:rPr>
              <w:t>(calculated based on CAPEX increase probability – several consequences options for cost overruns are considered)</w:t>
            </w:r>
          </w:p>
        </w:tc>
        <w:tc>
          <w:tcPr>
            <w:tcW w:w="2250" w:type="dxa"/>
            <w:tcBorders>
              <w:top w:val="nil"/>
              <w:left w:val="nil"/>
              <w:bottom w:val="single" w:sz="4" w:space="0" w:color="auto"/>
              <w:right w:val="single" w:sz="4" w:space="0" w:color="auto"/>
            </w:tcBorders>
            <w:shd w:val="clear" w:color="auto" w:fill="auto"/>
            <w:vAlign w:val="center"/>
            <w:hideMark/>
          </w:tcPr>
          <w:p w14:paraId="62E5E5CD" w14:textId="40E8E922"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1.Technical requirements will be provided for the market consultation with potential bidders.</w:t>
            </w:r>
          </w:p>
          <w:p w14:paraId="28ADC231" w14:textId="5A3B5D90"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w:t>
            </w:r>
            <w:r w:rsidR="009B2F16">
              <w:rPr>
                <w:rFonts w:ascii="GHEA Grapalat" w:hAnsi="GHEA Grapalat" w:cs="Arial"/>
                <w:color w:val="000000"/>
                <w:sz w:val="18"/>
                <w:szCs w:val="18"/>
              </w:rPr>
              <w:t xml:space="preserve"> </w:t>
            </w:r>
            <w:r w:rsidRPr="00050549">
              <w:rPr>
                <w:rFonts w:ascii="GHEA Grapalat" w:hAnsi="GHEA Grapalat" w:cs="Arial"/>
                <w:color w:val="000000"/>
                <w:sz w:val="18"/>
                <w:szCs w:val="18"/>
                <w:lang w:val="en-GB"/>
              </w:rPr>
              <w:t>Bidders will be requested to provide preliminary designs during the tender process.</w:t>
            </w:r>
          </w:p>
          <w:p w14:paraId="2CFF87AD" w14:textId="77777777" w:rsidR="007F3B6C" w:rsidRPr="00050549" w:rsidRDefault="007F3B6C" w:rsidP="00F11965">
            <w:pPr>
              <w:jc w:val="left"/>
              <w:rPr>
                <w:rFonts w:ascii="GHEA Grapalat" w:hAnsi="GHEA Grapalat" w:cs="Arial"/>
                <w:color w:val="000000"/>
                <w:sz w:val="18"/>
                <w:szCs w:val="18"/>
                <w:lang w:val="en-GB"/>
              </w:rPr>
            </w:pPr>
          </w:p>
          <w:p w14:paraId="6204C253" w14:textId="77777777" w:rsidR="007F3B6C" w:rsidRPr="00050549" w:rsidRDefault="007F3B6C" w:rsidP="00F11965">
            <w:pPr>
              <w:jc w:val="left"/>
              <w:rPr>
                <w:rFonts w:ascii="GHEA Grapalat" w:hAnsi="GHEA Grapalat" w:cs="Arial"/>
                <w:color w:val="000000"/>
                <w:sz w:val="18"/>
                <w:szCs w:val="18"/>
                <w:lang w:val="en-GB"/>
              </w:rPr>
            </w:pPr>
          </w:p>
        </w:tc>
      </w:tr>
      <w:tr w:rsidR="007F3B6C" w:rsidRPr="00050549" w14:paraId="2800ACBF"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tcPr>
          <w:p w14:paraId="6E595479"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8.</w:t>
            </w:r>
          </w:p>
        </w:tc>
        <w:tc>
          <w:tcPr>
            <w:tcW w:w="2011" w:type="dxa"/>
            <w:tcBorders>
              <w:top w:val="nil"/>
              <w:left w:val="nil"/>
              <w:bottom w:val="single" w:sz="4" w:space="0" w:color="auto"/>
              <w:right w:val="single" w:sz="4" w:space="0" w:color="auto"/>
            </w:tcBorders>
            <w:shd w:val="clear" w:color="000000" w:fill="E7E6E6"/>
            <w:vAlign w:val="center"/>
          </w:tcPr>
          <w:p w14:paraId="740A9A7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Technical obsolescence risk</w:t>
            </w:r>
          </w:p>
        </w:tc>
        <w:tc>
          <w:tcPr>
            <w:tcW w:w="2991" w:type="dxa"/>
            <w:tcBorders>
              <w:top w:val="nil"/>
              <w:left w:val="nil"/>
              <w:bottom w:val="single" w:sz="4" w:space="0" w:color="auto"/>
              <w:right w:val="single" w:sz="4" w:space="0" w:color="auto"/>
            </w:tcBorders>
            <w:shd w:val="clear" w:color="auto" w:fill="auto"/>
            <w:vAlign w:val="center"/>
          </w:tcPr>
          <w:p w14:paraId="55D4D8D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Certain technical infrastructure becoming inadequate for the purpose of the service — or the service becoming poorer in comparison with more recent services being provided </w:t>
            </w:r>
            <w:proofErr w:type="gramStart"/>
            <w:r w:rsidRPr="00050549">
              <w:rPr>
                <w:rFonts w:ascii="GHEA Grapalat" w:hAnsi="GHEA Grapalat" w:cs="Arial"/>
                <w:color w:val="000000"/>
                <w:sz w:val="18"/>
                <w:szCs w:val="18"/>
                <w:lang w:val="en-GB"/>
              </w:rPr>
              <w:t>in the course of</w:t>
            </w:r>
            <w:proofErr w:type="gramEnd"/>
            <w:r w:rsidRPr="00050549">
              <w:rPr>
                <w:rFonts w:ascii="GHEA Grapalat" w:hAnsi="GHEA Grapalat" w:cs="Arial"/>
                <w:color w:val="000000"/>
                <w:sz w:val="18"/>
                <w:szCs w:val="18"/>
                <w:lang w:val="en-GB"/>
              </w:rPr>
              <w:t xml:space="preserve"> the project.</w:t>
            </w:r>
          </w:p>
        </w:tc>
        <w:tc>
          <w:tcPr>
            <w:tcW w:w="838" w:type="dxa"/>
            <w:tcBorders>
              <w:top w:val="nil"/>
              <w:left w:val="nil"/>
              <w:bottom w:val="single" w:sz="4" w:space="0" w:color="auto"/>
              <w:right w:val="single" w:sz="4" w:space="0" w:color="auto"/>
            </w:tcBorders>
            <w:shd w:val="clear" w:color="auto" w:fill="auto"/>
            <w:vAlign w:val="center"/>
          </w:tcPr>
          <w:p w14:paraId="618EA111" w14:textId="77777777" w:rsidR="007F3B6C" w:rsidRPr="00050549" w:rsidRDefault="007F3B6C" w:rsidP="0010344F">
            <w:pPr>
              <w:jc w:val="right"/>
              <w:rPr>
                <w:rFonts w:ascii="GHEA Grapalat" w:hAnsi="GHEA Grapalat" w:cs="Arial"/>
                <w:color w:val="000000"/>
                <w:sz w:val="18"/>
                <w:szCs w:val="18"/>
              </w:rPr>
            </w:pPr>
            <w:r w:rsidRPr="00050549">
              <w:rPr>
                <w:rFonts w:ascii="GHEA Grapalat" w:hAnsi="GHEA Grapalat" w:cs="Arial"/>
                <w:color w:val="000000"/>
                <w:sz w:val="18"/>
                <w:szCs w:val="18"/>
                <w:lang w:val="en-GB"/>
              </w:rPr>
              <w:t xml:space="preserve">0 </w:t>
            </w:r>
            <w:r w:rsidRPr="00050549">
              <w:rPr>
                <w:rFonts w:ascii="GHEA Grapalat" w:hAnsi="GHEA Grapalat" w:cs="Arial"/>
                <w:color w:val="000000"/>
                <w:sz w:val="18"/>
                <w:szCs w:val="18"/>
              </w:rPr>
              <w:t>%</w:t>
            </w:r>
          </w:p>
        </w:tc>
        <w:tc>
          <w:tcPr>
            <w:tcW w:w="831" w:type="dxa"/>
            <w:tcBorders>
              <w:top w:val="nil"/>
              <w:left w:val="nil"/>
              <w:bottom w:val="single" w:sz="4" w:space="0" w:color="auto"/>
              <w:right w:val="single" w:sz="4" w:space="0" w:color="auto"/>
            </w:tcBorders>
            <w:shd w:val="clear" w:color="auto" w:fill="auto"/>
            <w:vAlign w:val="center"/>
          </w:tcPr>
          <w:p w14:paraId="37C5EC88"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100 %</w:t>
            </w:r>
          </w:p>
        </w:tc>
        <w:tc>
          <w:tcPr>
            <w:tcW w:w="1156" w:type="dxa"/>
            <w:tcBorders>
              <w:top w:val="nil"/>
              <w:left w:val="nil"/>
              <w:bottom w:val="single" w:sz="4" w:space="0" w:color="auto"/>
              <w:right w:val="single" w:sz="4" w:space="0" w:color="auto"/>
            </w:tcBorders>
            <w:shd w:val="clear" w:color="auto" w:fill="auto"/>
            <w:vAlign w:val="center"/>
          </w:tcPr>
          <w:p w14:paraId="3F0FF1B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tcPr>
          <w:p w14:paraId="61B8472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758D946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impact efficiency of operations of the Private Partner and thus reduce NPV.</w:t>
            </w:r>
          </w:p>
          <w:p w14:paraId="538418D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At the hand over stage, technically obsolete infrastructure would impact efficiency of future </w:t>
            </w:r>
            <w:r w:rsidRPr="00050549">
              <w:rPr>
                <w:rFonts w:ascii="GHEA Grapalat" w:hAnsi="GHEA Grapalat" w:cs="Arial"/>
                <w:color w:val="000000"/>
                <w:sz w:val="18"/>
                <w:szCs w:val="18"/>
                <w:lang w:val="en-GB"/>
              </w:rPr>
              <w:lastRenderedPageBreak/>
              <w:t xml:space="preserve">operations of the government, </w:t>
            </w:r>
          </w:p>
        </w:tc>
        <w:tc>
          <w:tcPr>
            <w:tcW w:w="1890" w:type="dxa"/>
            <w:tcBorders>
              <w:top w:val="nil"/>
              <w:left w:val="single" w:sz="4" w:space="0" w:color="auto"/>
              <w:bottom w:val="single" w:sz="4" w:space="0" w:color="auto"/>
              <w:right w:val="single" w:sz="4" w:space="0" w:color="auto"/>
            </w:tcBorders>
            <w:shd w:val="clear" w:color="auto" w:fill="auto"/>
            <w:vAlign w:val="center"/>
          </w:tcPr>
          <w:p w14:paraId="0DB940FB"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w:t>
            </w:r>
          </w:p>
        </w:tc>
        <w:tc>
          <w:tcPr>
            <w:tcW w:w="2250" w:type="dxa"/>
            <w:tcBorders>
              <w:top w:val="nil"/>
              <w:left w:val="nil"/>
              <w:bottom w:val="single" w:sz="4" w:space="0" w:color="auto"/>
              <w:right w:val="single" w:sz="4" w:space="0" w:color="auto"/>
            </w:tcBorders>
            <w:shd w:val="clear" w:color="auto" w:fill="auto"/>
            <w:vAlign w:val="center"/>
          </w:tcPr>
          <w:p w14:paraId="16FE86FF" w14:textId="70AE0480"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Requirements for hand over included in the Contract to oblige that infrastructure hand over to the Government is in a good shape (specific requirement to define a good shape to be included).</w:t>
            </w:r>
          </w:p>
          <w:p w14:paraId="3D8DA5C0"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2. Contract provide clauses to negotiate introduction of new requirements for additional fees.</w:t>
            </w:r>
          </w:p>
          <w:p w14:paraId="7E1C8AAB" w14:textId="77777777" w:rsidR="007F3B6C" w:rsidRPr="00050549" w:rsidRDefault="007F3B6C" w:rsidP="00F11965">
            <w:pPr>
              <w:jc w:val="left"/>
              <w:rPr>
                <w:rFonts w:ascii="GHEA Grapalat" w:hAnsi="GHEA Grapalat" w:cs="Arial"/>
                <w:color w:val="000000"/>
                <w:sz w:val="18"/>
                <w:szCs w:val="18"/>
                <w:lang w:val="en-GB"/>
              </w:rPr>
            </w:pPr>
          </w:p>
        </w:tc>
      </w:tr>
      <w:tr w:rsidR="007F3B6C" w:rsidRPr="00050549" w14:paraId="33A8E021"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tcPr>
          <w:p w14:paraId="3CEFE125"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9.</w:t>
            </w:r>
          </w:p>
        </w:tc>
        <w:tc>
          <w:tcPr>
            <w:tcW w:w="2011" w:type="dxa"/>
            <w:tcBorders>
              <w:top w:val="nil"/>
              <w:left w:val="nil"/>
              <w:bottom w:val="single" w:sz="4" w:space="0" w:color="auto"/>
              <w:right w:val="single" w:sz="4" w:space="0" w:color="auto"/>
            </w:tcBorders>
            <w:shd w:val="clear" w:color="000000" w:fill="E7E6E6"/>
            <w:vAlign w:val="center"/>
          </w:tcPr>
          <w:p w14:paraId="599D266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Innovation risk</w:t>
            </w:r>
          </w:p>
        </w:tc>
        <w:tc>
          <w:tcPr>
            <w:tcW w:w="2991" w:type="dxa"/>
            <w:tcBorders>
              <w:top w:val="nil"/>
              <w:left w:val="nil"/>
              <w:bottom w:val="single" w:sz="4" w:space="0" w:color="auto"/>
              <w:right w:val="single" w:sz="4" w:space="0" w:color="auto"/>
            </w:tcBorders>
            <w:shd w:val="clear" w:color="auto" w:fill="auto"/>
            <w:vAlign w:val="center"/>
          </w:tcPr>
          <w:p w14:paraId="7CD70EB6" w14:textId="77777777" w:rsidR="007F3B6C" w:rsidRPr="00050549" w:rsidRDefault="007F3B6C" w:rsidP="0010344F">
            <w:pPr>
              <w:pBdr>
                <w:top w:val="single" w:sz="2" w:space="0" w:color="D9D9E3"/>
                <w:left w:val="single" w:sz="2" w:space="0" w:color="D9D9E3"/>
                <w:bottom w:val="single" w:sz="2" w:space="0" w:color="D9D9E3"/>
                <w:right w:val="single" w:sz="2" w:space="0" w:color="D9D9E3"/>
              </w:pBd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Innovation risk refers to the potential financial and operational consequences of pursuing new ideas, technologies, or business models. It is the risk associated with the uncertainty and unpredictability of the outcome of innovation efforts.</w:t>
            </w:r>
          </w:p>
          <w:p w14:paraId="615C5F64" w14:textId="77777777" w:rsidR="007F3B6C" w:rsidRPr="00050549" w:rsidRDefault="007F3B6C" w:rsidP="0010344F">
            <w:pPr>
              <w:pBdr>
                <w:top w:val="single" w:sz="2" w:space="0" w:color="D9D9E3"/>
                <w:left w:val="single" w:sz="2" w:space="0" w:color="D9D9E3"/>
                <w:bottom w:val="single" w:sz="2" w:space="0" w:color="D9D9E3"/>
                <w:right w:val="single" w:sz="2" w:space="0" w:color="D9D9E3"/>
              </w:pBdr>
              <w:spacing w:before="300"/>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Innovation involves developing new products, services, or processes that are not currently in the market or improving existing ones. When companies pursue innovation, they must invest time, resources, and money in research and development, which can be costly and time-consuming. Additionally, there is no guarantee that the innovations will be successful, leading to a potential loss of resources and investment</w:t>
            </w:r>
          </w:p>
        </w:tc>
        <w:tc>
          <w:tcPr>
            <w:tcW w:w="838" w:type="dxa"/>
            <w:tcBorders>
              <w:top w:val="nil"/>
              <w:left w:val="nil"/>
              <w:bottom w:val="single" w:sz="4" w:space="0" w:color="auto"/>
              <w:right w:val="single" w:sz="4" w:space="0" w:color="auto"/>
            </w:tcBorders>
            <w:shd w:val="clear" w:color="auto" w:fill="auto"/>
            <w:vAlign w:val="center"/>
          </w:tcPr>
          <w:p w14:paraId="2FC4622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0 </w:t>
            </w:r>
            <w:r w:rsidRPr="00050549">
              <w:rPr>
                <w:rFonts w:ascii="GHEA Grapalat" w:hAnsi="GHEA Grapalat" w:cs="Arial"/>
                <w:color w:val="000000"/>
                <w:sz w:val="18"/>
                <w:szCs w:val="18"/>
              </w:rPr>
              <w:t>%</w:t>
            </w:r>
          </w:p>
        </w:tc>
        <w:tc>
          <w:tcPr>
            <w:tcW w:w="831" w:type="dxa"/>
            <w:tcBorders>
              <w:top w:val="nil"/>
              <w:left w:val="nil"/>
              <w:bottom w:val="single" w:sz="4" w:space="0" w:color="auto"/>
              <w:right w:val="single" w:sz="4" w:space="0" w:color="auto"/>
            </w:tcBorders>
            <w:shd w:val="clear" w:color="auto" w:fill="auto"/>
            <w:vAlign w:val="center"/>
          </w:tcPr>
          <w:p w14:paraId="1BF688C7"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100 %</w:t>
            </w:r>
          </w:p>
        </w:tc>
        <w:tc>
          <w:tcPr>
            <w:tcW w:w="1156" w:type="dxa"/>
            <w:tcBorders>
              <w:top w:val="nil"/>
              <w:left w:val="nil"/>
              <w:bottom w:val="single" w:sz="4" w:space="0" w:color="auto"/>
              <w:right w:val="single" w:sz="4" w:space="0" w:color="auto"/>
            </w:tcBorders>
            <w:shd w:val="clear" w:color="auto" w:fill="auto"/>
            <w:vAlign w:val="center"/>
          </w:tcPr>
          <w:p w14:paraId="5BE9F18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tcPr>
          <w:p w14:paraId="38E329C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vAlign w:val="center"/>
          </w:tcPr>
          <w:p w14:paraId="7DC65C1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impact efficiency of operations of the Private Partner and thus reduce NPV.</w:t>
            </w:r>
          </w:p>
        </w:tc>
        <w:tc>
          <w:tcPr>
            <w:tcW w:w="1890" w:type="dxa"/>
            <w:tcBorders>
              <w:top w:val="nil"/>
              <w:left w:val="single" w:sz="4" w:space="0" w:color="auto"/>
              <w:bottom w:val="single" w:sz="4" w:space="0" w:color="auto"/>
              <w:right w:val="single" w:sz="4" w:space="0" w:color="auto"/>
            </w:tcBorders>
            <w:shd w:val="clear" w:color="auto" w:fill="auto"/>
            <w:vAlign w:val="center"/>
          </w:tcPr>
          <w:p w14:paraId="3DC77296"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tcPr>
          <w:p w14:paraId="2783C022" w14:textId="26B82DCD"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1. Technical requirements formulated to </w:t>
            </w:r>
            <w:r w:rsidR="00FE2D24" w:rsidRPr="00050549">
              <w:rPr>
                <w:rFonts w:ascii="GHEA Grapalat" w:hAnsi="GHEA Grapalat" w:cs="Arial"/>
                <w:color w:val="000000"/>
                <w:sz w:val="18"/>
                <w:szCs w:val="18"/>
                <w:lang w:val="en-GB"/>
              </w:rPr>
              <w:t>consider</w:t>
            </w:r>
            <w:r w:rsidRPr="00050549">
              <w:rPr>
                <w:rFonts w:ascii="GHEA Grapalat" w:hAnsi="GHEA Grapalat" w:cs="Arial"/>
                <w:color w:val="000000"/>
                <w:sz w:val="18"/>
                <w:szCs w:val="18"/>
                <w:lang w:val="en-GB"/>
              </w:rPr>
              <w:t xml:space="preserve"> the technologies and other improvements in the operations that are mature and tested in the market.</w:t>
            </w:r>
          </w:p>
          <w:p w14:paraId="046E9173"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2. Market sounding with potential bidders to make sure technical requirements meet the global market standard and practices. </w:t>
            </w:r>
          </w:p>
          <w:p w14:paraId="20CEABFE" w14:textId="77777777" w:rsidR="007F3B6C" w:rsidRPr="00050549" w:rsidRDefault="007F3B6C" w:rsidP="00F11965">
            <w:pPr>
              <w:jc w:val="left"/>
              <w:rPr>
                <w:rFonts w:ascii="GHEA Grapalat" w:hAnsi="GHEA Grapalat" w:cs="Arial"/>
                <w:color w:val="000000"/>
                <w:sz w:val="18"/>
                <w:szCs w:val="18"/>
                <w:lang w:val="en-GB"/>
              </w:rPr>
            </w:pPr>
          </w:p>
        </w:tc>
      </w:tr>
      <w:tr w:rsidR="007F3B6C" w:rsidRPr="00050549" w14:paraId="692D1027"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70AB15F2"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10.</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6E75DB7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Inappropriate Project performance specifications</w:t>
            </w:r>
          </w:p>
        </w:tc>
        <w:tc>
          <w:tcPr>
            <w:tcW w:w="2991" w:type="dxa"/>
            <w:tcBorders>
              <w:top w:val="nil"/>
              <w:left w:val="nil"/>
              <w:bottom w:val="single" w:sz="4" w:space="0" w:color="auto"/>
              <w:right w:val="single" w:sz="4" w:space="0" w:color="auto"/>
            </w:tcBorders>
            <w:shd w:val="clear" w:color="auto" w:fill="auto"/>
            <w:vAlign w:val="center"/>
            <w:hideMark/>
          </w:tcPr>
          <w:p w14:paraId="3A70B26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The performance of the Project might be projected unrealistically (i.e., impossible to reach)</w:t>
            </w:r>
          </w:p>
        </w:tc>
        <w:tc>
          <w:tcPr>
            <w:tcW w:w="838" w:type="dxa"/>
            <w:tcBorders>
              <w:top w:val="nil"/>
              <w:left w:val="nil"/>
              <w:bottom w:val="single" w:sz="4" w:space="0" w:color="auto"/>
              <w:right w:val="single" w:sz="4" w:space="0" w:color="auto"/>
            </w:tcBorders>
            <w:shd w:val="clear" w:color="auto" w:fill="auto"/>
            <w:vAlign w:val="center"/>
            <w:hideMark/>
          </w:tcPr>
          <w:p w14:paraId="1078FB5A"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25%</w:t>
            </w:r>
          </w:p>
        </w:tc>
        <w:tc>
          <w:tcPr>
            <w:tcW w:w="831" w:type="dxa"/>
            <w:tcBorders>
              <w:top w:val="nil"/>
              <w:left w:val="nil"/>
              <w:bottom w:val="single" w:sz="4" w:space="0" w:color="auto"/>
              <w:right w:val="single" w:sz="4" w:space="0" w:color="auto"/>
            </w:tcBorders>
            <w:shd w:val="clear" w:color="auto" w:fill="auto"/>
            <w:vAlign w:val="center"/>
            <w:hideMark/>
          </w:tcPr>
          <w:p w14:paraId="0C4F6EAF"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75%</w:t>
            </w:r>
          </w:p>
        </w:tc>
        <w:tc>
          <w:tcPr>
            <w:tcW w:w="1156" w:type="dxa"/>
            <w:tcBorders>
              <w:top w:val="nil"/>
              <w:left w:val="nil"/>
              <w:bottom w:val="single" w:sz="4" w:space="0" w:color="auto"/>
              <w:right w:val="single" w:sz="4" w:space="0" w:color="auto"/>
            </w:tcBorders>
            <w:shd w:val="clear" w:color="auto" w:fill="auto"/>
            <w:vAlign w:val="center"/>
            <w:hideMark/>
          </w:tcPr>
          <w:p w14:paraId="5E55F1E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222D61C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420D516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Inappropriate Project performance specifications may result in Private Partner difficulty to meet defined SLA / contractual obligation, thus may result in reduced fees (revenues) for the Private Partner.</w:t>
            </w:r>
          </w:p>
          <w:p w14:paraId="13F9DB01" w14:textId="77777777" w:rsidR="007F3B6C" w:rsidRPr="00050549" w:rsidRDefault="007F3B6C" w:rsidP="0010344F">
            <w:pPr>
              <w:jc w:val="left"/>
              <w:rPr>
                <w:rFonts w:ascii="GHEA Grapalat" w:hAnsi="GHEA Grapalat" w:cs="Arial"/>
                <w:color w:val="000000"/>
                <w:sz w:val="18"/>
                <w:szCs w:val="18"/>
                <w:lang w:val="en-GB"/>
              </w:rPr>
            </w:pPr>
          </w:p>
          <w:p w14:paraId="73537A5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Also, inappropriate Project performance specifications </w:t>
            </w:r>
            <w:r w:rsidRPr="00050549">
              <w:rPr>
                <w:rFonts w:ascii="GHEA Grapalat" w:hAnsi="GHEA Grapalat" w:cs="Arial"/>
                <w:color w:val="000000"/>
                <w:sz w:val="18"/>
                <w:szCs w:val="18"/>
                <w:lang w:val="en-GB"/>
              </w:rPr>
              <w:lastRenderedPageBreak/>
              <w:t>(e.g., too high SLA requirements) may result in higher bid prices and increase cost of project for the Public Partner.</w:t>
            </w:r>
          </w:p>
          <w:p w14:paraId="648A7383" w14:textId="77777777" w:rsidR="007F3B6C" w:rsidRPr="00050549" w:rsidRDefault="007F3B6C" w:rsidP="0010344F">
            <w:pPr>
              <w:jc w:val="left"/>
              <w:rPr>
                <w:rFonts w:ascii="GHEA Grapalat" w:hAnsi="GHEA Grapalat" w:cs="Arial"/>
                <w:color w:val="000000"/>
                <w:sz w:val="18"/>
                <w:szCs w:val="18"/>
                <w:lang w:val="en-GB"/>
              </w:rPr>
            </w:pPr>
          </w:p>
          <w:p w14:paraId="2E7E631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In some cases, performance of Private Party may result in inputs provided by the </w:t>
            </w:r>
            <w:proofErr w:type="gramStart"/>
            <w:r w:rsidRPr="00050549">
              <w:rPr>
                <w:rFonts w:ascii="GHEA Grapalat" w:hAnsi="GHEA Grapalat" w:cs="Arial"/>
                <w:color w:val="000000"/>
                <w:sz w:val="18"/>
                <w:szCs w:val="18"/>
                <w:lang w:val="en-GB"/>
              </w:rPr>
              <w:t>Public</w:t>
            </w:r>
            <w:proofErr w:type="gramEnd"/>
            <w:r w:rsidRPr="00050549">
              <w:rPr>
                <w:rFonts w:ascii="GHEA Grapalat" w:hAnsi="GHEA Grapalat" w:cs="Arial"/>
                <w:color w:val="000000"/>
                <w:sz w:val="18"/>
                <w:szCs w:val="18"/>
                <w:lang w:val="en-GB"/>
              </w:rPr>
              <w:t xml:space="preserve"> partner. In such cases, reduction of fees for not meeting SLAs shall not be applied. </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41AC8F3F" w14:textId="26FB07A5"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w:t>
            </w:r>
          </w:p>
        </w:tc>
        <w:tc>
          <w:tcPr>
            <w:tcW w:w="2250" w:type="dxa"/>
            <w:tcBorders>
              <w:top w:val="nil"/>
              <w:left w:val="nil"/>
              <w:bottom w:val="single" w:sz="4" w:space="0" w:color="auto"/>
              <w:right w:val="single" w:sz="4" w:space="0" w:color="auto"/>
            </w:tcBorders>
            <w:shd w:val="clear" w:color="auto" w:fill="auto"/>
            <w:vAlign w:val="center"/>
            <w:hideMark/>
          </w:tcPr>
          <w:p w14:paraId="14004393"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Market consultation with potential bidders.</w:t>
            </w:r>
          </w:p>
        </w:tc>
      </w:tr>
      <w:tr w:rsidR="007F3B6C" w:rsidRPr="00050549" w14:paraId="4978119D" w14:textId="77777777" w:rsidTr="0086551D">
        <w:trPr>
          <w:gridAfter w:val="1"/>
          <w:wAfter w:w="8" w:type="dxa"/>
          <w:trHeight w:val="87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00D19964"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11.</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03F6300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Delay in Project completion</w:t>
            </w:r>
          </w:p>
        </w:tc>
        <w:tc>
          <w:tcPr>
            <w:tcW w:w="2991" w:type="dxa"/>
            <w:tcBorders>
              <w:top w:val="nil"/>
              <w:left w:val="nil"/>
              <w:bottom w:val="single" w:sz="4" w:space="0" w:color="auto"/>
              <w:right w:val="single" w:sz="4" w:space="0" w:color="auto"/>
            </w:tcBorders>
            <w:shd w:val="clear" w:color="auto" w:fill="auto"/>
            <w:vAlign w:val="center"/>
            <w:hideMark/>
          </w:tcPr>
          <w:p w14:paraId="169E285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The risks of design and construction are closely linked to the risk of commissioning the planned facilities on time and within the budget. Delays in delivering the project by the relevant works completion date as at financial close can have a variety of causes, such as unavailability of construction materials and equipment, delays in shipping, variations, and mistakes in programme scheduling, as well as weather events, civil unrest or industrial action and actions of the </w:t>
            </w:r>
            <w:proofErr w:type="gramStart"/>
            <w:r w:rsidRPr="00050549">
              <w:rPr>
                <w:rFonts w:ascii="GHEA Grapalat" w:hAnsi="GHEA Grapalat" w:cs="Arial"/>
                <w:color w:val="000000"/>
                <w:sz w:val="18"/>
                <w:szCs w:val="18"/>
                <w:lang w:val="en-GB"/>
              </w:rPr>
              <w:t>Public</w:t>
            </w:r>
            <w:proofErr w:type="gramEnd"/>
            <w:r w:rsidRPr="00050549">
              <w:rPr>
                <w:rFonts w:ascii="GHEA Grapalat" w:hAnsi="GHEA Grapalat" w:cs="Arial"/>
                <w:color w:val="000000"/>
                <w:sz w:val="18"/>
                <w:szCs w:val="18"/>
                <w:lang w:val="en-GB"/>
              </w:rPr>
              <w:t xml:space="preserve"> partner or government.</w:t>
            </w:r>
          </w:p>
          <w:p w14:paraId="4C7E206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The Private Partner typically assumes the risk of delays to the extent they are not caused by the Public Partner’s failure to meet commitments necessary to complete the Project.</w:t>
            </w:r>
            <w:r w:rsidRPr="00050549">
              <w:rPr>
                <w:rFonts w:ascii="GHEA Grapalat" w:hAnsi="GHEA Grapalat" w:cs="Arial"/>
                <w:sz w:val="18"/>
                <w:szCs w:val="18"/>
                <w:lang w:val="en-GB"/>
              </w:rPr>
              <w:t xml:space="preserve"> </w:t>
            </w:r>
          </w:p>
        </w:tc>
        <w:tc>
          <w:tcPr>
            <w:tcW w:w="838" w:type="dxa"/>
            <w:tcBorders>
              <w:top w:val="nil"/>
              <w:left w:val="nil"/>
              <w:bottom w:val="single" w:sz="4" w:space="0" w:color="auto"/>
              <w:right w:val="single" w:sz="4" w:space="0" w:color="auto"/>
            </w:tcBorders>
            <w:shd w:val="clear" w:color="auto" w:fill="auto"/>
            <w:vAlign w:val="center"/>
            <w:hideMark/>
          </w:tcPr>
          <w:p w14:paraId="1DADC99F"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25%</w:t>
            </w:r>
          </w:p>
        </w:tc>
        <w:tc>
          <w:tcPr>
            <w:tcW w:w="831" w:type="dxa"/>
            <w:tcBorders>
              <w:top w:val="nil"/>
              <w:left w:val="nil"/>
              <w:bottom w:val="single" w:sz="4" w:space="0" w:color="auto"/>
              <w:right w:val="single" w:sz="4" w:space="0" w:color="auto"/>
            </w:tcBorders>
            <w:shd w:val="clear" w:color="auto" w:fill="auto"/>
            <w:vAlign w:val="center"/>
            <w:hideMark/>
          </w:tcPr>
          <w:p w14:paraId="2F1C9947"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75%</w:t>
            </w:r>
          </w:p>
        </w:tc>
        <w:tc>
          <w:tcPr>
            <w:tcW w:w="1156" w:type="dxa"/>
            <w:tcBorders>
              <w:top w:val="nil"/>
              <w:left w:val="nil"/>
              <w:bottom w:val="single" w:sz="4" w:space="0" w:color="auto"/>
              <w:right w:val="single" w:sz="4" w:space="0" w:color="auto"/>
            </w:tcBorders>
            <w:shd w:val="clear" w:color="auto" w:fill="auto"/>
            <w:vAlign w:val="center"/>
            <w:hideMark/>
          </w:tcPr>
          <w:p w14:paraId="7730FB5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hideMark/>
          </w:tcPr>
          <w:p w14:paraId="2D26AAB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3F712426" w14:textId="77777777" w:rsidR="007F3B6C" w:rsidRPr="00050549" w:rsidRDefault="007F3B6C" w:rsidP="0010344F">
            <w:pPr>
              <w:jc w:val="left"/>
              <w:rPr>
                <w:rFonts w:ascii="GHEA Grapalat" w:hAnsi="GHEA Grapalat" w:cs="Arial"/>
                <w:sz w:val="18"/>
                <w:szCs w:val="18"/>
                <w:lang w:val="en-GB"/>
              </w:rPr>
            </w:pPr>
            <w:r w:rsidRPr="00050549">
              <w:rPr>
                <w:rFonts w:ascii="GHEA Grapalat" w:hAnsi="GHEA Grapalat" w:cs="Arial"/>
                <w:sz w:val="18"/>
                <w:szCs w:val="18"/>
                <w:lang w:val="en-GB"/>
              </w:rPr>
              <w:t>The consequences for the Private Partner of delays to the relevant works completion date are loss of expected revenue due to the rise of costs of prolonged ongoing construction and financing costs. This may result in reduced project NPV.</w:t>
            </w:r>
          </w:p>
          <w:p w14:paraId="72849992" w14:textId="77777777" w:rsidR="007F3B6C" w:rsidRPr="00050549" w:rsidRDefault="007F3B6C" w:rsidP="0010344F">
            <w:pPr>
              <w:jc w:val="left"/>
              <w:rPr>
                <w:rFonts w:ascii="GHEA Grapalat" w:hAnsi="GHEA Grapalat" w:cs="Arial"/>
                <w:sz w:val="18"/>
                <w:szCs w:val="18"/>
                <w:lang w:val="en-GB"/>
              </w:rPr>
            </w:pPr>
            <w:r w:rsidRPr="00050549">
              <w:rPr>
                <w:rFonts w:ascii="GHEA Grapalat" w:hAnsi="GHEA Grapalat" w:cs="Arial"/>
                <w:sz w:val="18"/>
                <w:szCs w:val="18"/>
                <w:lang w:val="en-GB"/>
              </w:rPr>
              <w:t xml:space="preserve">Until the Project is implemented, the Gov can operate as business as usual, however, in extreme cases, delays in Project completion may limit </w:t>
            </w:r>
            <w:proofErr w:type="spellStart"/>
            <w:r w:rsidRPr="00050549">
              <w:rPr>
                <w:rFonts w:ascii="GHEA Grapalat" w:hAnsi="GHEA Grapalat" w:cs="Arial"/>
                <w:sz w:val="18"/>
                <w:szCs w:val="18"/>
                <w:lang w:val="en-GB"/>
              </w:rPr>
              <w:t>GoA</w:t>
            </w:r>
            <w:proofErr w:type="spellEnd"/>
            <w:r w:rsidRPr="00050549">
              <w:rPr>
                <w:rFonts w:ascii="GHEA Grapalat" w:hAnsi="GHEA Grapalat" w:cs="Arial"/>
                <w:sz w:val="18"/>
                <w:szCs w:val="18"/>
                <w:lang w:val="en-GB"/>
              </w:rPr>
              <w:t xml:space="preserve"> ability to continue undisrupted operations (e.g., due to shortage of supplies).</w:t>
            </w:r>
          </w:p>
          <w:p w14:paraId="64047916" w14:textId="77777777" w:rsidR="007F3B6C" w:rsidRPr="00050549" w:rsidRDefault="007F3B6C" w:rsidP="0010344F">
            <w:pPr>
              <w:jc w:val="left"/>
              <w:rPr>
                <w:rFonts w:ascii="GHEA Grapalat" w:hAnsi="GHEA Grapalat" w:cs="Arial"/>
                <w:sz w:val="18"/>
                <w:szCs w:val="18"/>
                <w:lang w:val="en-GB"/>
              </w:rPr>
            </w:pPr>
          </w:p>
          <w:p w14:paraId="1AA6355C" w14:textId="77777777" w:rsidR="007F3B6C" w:rsidRPr="00050549" w:rsidRDefault="007F3B6C" w:rsidP="0010344F">
            <w:pPr>
              <w:jc w:val="left"/>
              <w:rPr>
                <w:rFonts w:ascii="GHEA Grapalat" w:hAnsi="GHEA Grapalat" w:cs="Arial"/>
                <w:sz w:val="18"/>
                <w:szCs w:val="18"/>
                <w:lang w:val="en-GB"/>
              </w:rPr>
            </w:pPr>
            <w:r w:rsidRPr="00050549">
              <w:rPr>
                <w:rFonts w:ascii="GHEA Grapalat" w:hAnsi="GHEA Grapalat" w:cs="Arial"/>
                <w:sz w:val="18"/>
                <w:szCs w:val="18"/>
                <w:lang w:val="en-GB"/>
              </w:rPr>
              <w:t xml:space="preserve">Public Partner assumes the risks in cases when delay in project completion is due to the failed </w:t>
            </w:r>
            <w:r w:rsidRPr="00050549">
              <w:rPr>
                <w:rFonts w:ascii="GHEA Grapalat" w:hAnsi="GHEA Grapalat" w:cs="Arial"/>
                <w:sz w:val="18"/>
                <w:szCs w:val="18"/>
                <w:lang w:val="en-GB"/>
              </w:rPr>
              <w:lastRenderedPageBreak/>
              <w:t xml:space="preserve">commitments of the </w:t>
            </w:r>
            <w:proofErr w:type="spellStart"/>
            <w:r w:rsidRPr="00050549">
              <w:rPr>
                <w:rFonts w:ascii="GHEA Grapalat" w:hAnsi="GHEA Grapalat" w:cs="Arial"/>
                <w:sz w:val="18"/>
                <w:szCs w:val="18"/>
                <w:lang w:val="en-GB"/>
              </w:rPr>
              <w:t>GoA</w:t>
            </w:r>
            <w:proofErr w:type="spellEnd"/>
            <w:r w:rsidRPr="00050549">
              <w:rPr>
                <w:rFonts w:ascii="GHEA Grapalat" w:hAnsi="GHEA Grapalat" w:cs="Arial"/>
                <w:sz w:val="18"/>
                <w:szCs w:val="18"/>
                <w:lang w:val="en-GB"/>
              </w:rPr>
              <w:t xml:space="preserve"> (e.g., to transfer facilities on agreed schedule, to provide esthetical design specification for document blanks). </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7559C144" w14:textId="77777777" w:rsidR="007F3B6C" w:rsidRPr="00050549" w:rsidRDefault="007F3B6C" w:rsidP="0010344F">
            <w:pPr>
              <w:jc w:val="left"/>
              <w:rPr>
                <w:rFonts w:ascii="GHEA Grapalat" w:hAnsi="GHEA Grapalat" w:cs="Arial"/>
                <w:sz w:val="18"/>
                <w:szCs w:val="18"/>
                <w:lang w:val="en-GB"/>
              </w:rPr>
            </w:pPr>
            <w:r w:rsidRPr="00050549">
              <w:rPr>
                <w:rFonts w:ascii="GHEA Grapalat" w:hAnsi="GHEA Grapalat" w:cs="Arial"/>
                <w:b/>
                <w:sz w:val="18"/>
                <w:szCs w:val="18"/>
                <w:lang w:val="en-GB"/>
              </w:rPr>
              <w:lastRenderedPageBreak/>
              <w:t xml:space="preserve"> 2,140,000</w:t>
            </w:r>
            <w:r w:rsidRPr="00050549">
              <w:rPr>
                <w:rFonts w:ascii="GHEA Grapalat" w:hAnsi="GHEA Grapalat" w:cs="Calibri"/>
                <w:sz w:val="18"/>
                <w:szCs w:val="18"/>
                <w:lang w:val="en-GB"/>
              </w:rPr>
              <w:t xml:space="preserve"> </w:t>
            </w:r>
            <w:r w:rsidRPr="00050549">
              <w:rPr>
                <w:rFonts w:ascii="GHEA Grapalat" w:hAnsi="GHEA Grapalat" w:cs="Arial"/>
                <w:sz w:val="18"/>
                <w:szCs w:val="18"/>
                <w:lang w:val="en-GB"/>
              </w:rPr>
              <w:t>(calculated based on lost opportunity to receive revenues from the Project – several consequences options with given probabilities are considered)</w:t>
            </w:r>
          </w:p>
        </w:tc>
        <w:tc>
          <w:tcPr>
            <w:tcW w:w="2250" w:type="dxa"/>
            <w:tcBorders>
              <w:top w:val="nil"/>
              <w:left w:val="nil"/>
              <w:bottom w:val="single" w:sz="4" w:space="0" w:color="auto"/>
              <w:right w:val="single" w:sz="4" w:space="0" w:color="auto"/>
            </w:tcBorders>
            <w:shd w:val="clear" w:color="auto" w:fill="auto"/>
            <w:vAlign w:val="center"/>
            <w:hideMark/>
          </w:tcPr>
          <w:p w14:paraId="0F584C69" w14:textId="0E673FBE"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Close monitoring of contract implementation</w:t>
            </w:r>
            <w:r w:rsidR="00AD54E3">
              <w:rPr>
                <w:rFonts w:ascii="GHEA Grapalat" w:hAnsi="GHEA Grapalat" w:cs="Arial"/>
                <w:color w:val="000000"/>
                <w:sz w:val="18"/>
                <w:szCs w:val="18"/>
              </w:rPr>
              <w:t xml:space="preserve"> </w:t>
            </w:r>
            <w:r w:rsidRPr="00050549">
              <w:rPr>
                <w:rFonts w:ascii="GHEA Grapalat" w:hAnsi="GHEA Grapalat" w:cs="Arial"/>
                <w:color w:val="000000"/>
                <w:sz w:val="18"/>
                <w:szCs w:val="18"/>
                <w:lang w:val="en-GB"/>
              </w:rPr>
              <w:t xml:space="preserve">by the Contract monitoring committee. </w:t>
            </w:r>
          </w:p>
        </w:tc>
      </w:tr>
      <w:tr w:rsidR="007F3B6C" w:rsidRPr="00050549" w14:paraId="2EA7B255" w14:textId="77777777" w:rsidTr="0086551D">
        <w:trPr>
          <w:gridAfter w:val="1"/>
          <w:wAfter w:w="8" w:type="dxa"/>
          <w:trHeight w:val="684"/>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1E489A17"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12.</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624C26F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Over-utilization of funds (costs overrun)</w:t>
            </w:r>
          </w:p>
        </w:tc>
        <w:tc>
          <w:tcPr>
            <w:tcW w:w="2991" w:type="dxa"/>
            <w:tcBorders>
              <w:top w:val="nil"/>
              <w:left w:val="nil"/>
              <w:bottom w:val="single" w:sz="4" w:space="0" w:color="auto"/>
              <w:right w:val="single" w:sz="4" w:space="0" w:color="auto"/>
            </w:tcBorders>
            <w:shd w:val="clear" w:color="auto" w:fill="auto"/>
            <w:vAlign w:val="center"/>
            <w:hideMark/>
          </w:tcPr>
          <w:p w14:paraId="1E7FBDE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The risks of design and construction are closely linked to the risk of commissioning the planned facilities on time and within the budget.</w:t>
            </w:r>
          </w:p>
          <w:p w14:paraId="25A6120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Over-utilization of funds (i.e., costs exceeding the construction costs assumed in the project’s financial model as at financial close) can have a variety of causes, such as mistakes in construction cost estimates, increased cost of materials, actions of the </w:t>
            </w:r>
            <w:proofErr w:type="gramStart"/>
            <w:r w:rsidRPr="00050549">
              <w:rPr>
                <w:rFonts w:ascii="GHEA Grapalat" w:hAnsi="GHEA Grapalat" w:cs="Arial"/>
                <w:color w:val="000000"/>
                <w:sz w:val="18"/>
                <w:szCs w:val="18"/>
                <w:lang w:val="en-GB"/>
              </w:rPr>
              <w:t>Public</w:t>
            </w:r>
            <w:proofErr w:type="gramEnd"/>
            <w:r w:rsidRPr="00050549">
              <w:rPr>
                <w:rFonts w:ascii="GHEA Grapalat" w:hAnsi="GHEA Grapalat" w:cs="Arial"/>
                <w:color w:val="000000"/>
                <w:sz w:val="18"/>
                <w:szCs w:val="18"/>
                <w:lang w:val="en-GB"/>
              </w:rPr>
              <w:t xml:space="preserve"> partner or government, variations, as well as delays in - or mitigating potential delays in - the construction programme.</w:t>
            </w:r>
          </w:p>
          <w:p w14:paraId="6F0E63B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The Private Partner typically assumes the risk of cost increases to the extent these are not caused by force majeure, compensation events (such as in relation to </w:t>
            </w:r>
            <w:proofErr w:type="spellStart"/>
            <w:r w:rsidRPr="00050549">
              <w:rPr>
                <w:rFonts w:ascii="GHEA Grapalat" w:hAnsi="GHEA Grapalat" w:cs="Arial"/>
                <w:color w:val="000000"/>
                <w:sz w:val="18"/>
                <w:szCs w:val="18"/>
                <w:lang w:val="en-GB"/>
              </w:rPr>
              <w:t>unsurveyed</w:t>
            </w:r>
            <w:proofErr w:type="spellEnd"/>
            <w:r w:rsidRPr="00050549">
              <w:rPr>
                <w:rFonts w:ascii="GHEA Grapalat" w:hAnsi="GHEA Grapalat" w:cs="Arial"/>
                <w:color w:val="000000"/>
                <w:sz w:val="18"/>
                <w:szCs w:val="18"/>
                <w:lang w:val="en-GB"/>
              </w:rPr>
              <w:t xml:space="preserve"> site conditions</w:t>
            </w:r>
            <w:proofErr w:type="gramStart"/>
            <w:r w:rsidRPr="00050549">
              <w:rPr>
                <w:rFonts w:ascii="GHEA Grapalat" w:hAnsi="GHEA Grapalat" w:cs="Arial"/>
                <w:color w:val="000000"/>
                <w:sz w:val="18"/>
                <w:szCs w:val="18"/>
                <w:lang w:val="en-GB"/>
              </w:rPr>
              <w:t>), and</w:t>
            </w:r>
            <w:proofErr w:type="gramEnd"/>
            <w:r w:rsidRPr="00050549">
              <w:rPr>
                <w:rFonts w:ascii="GHEA Grapalat" w:hAnsi="GHEA Grapalat" w:cs="Arial"/>
                <w:color w:val="000000"/>
                <w:sz w:val="18"/>
                <w:szCs w:val="18"/>
                <w:lang w:val="en-GB"/>
              </w:rPr>
              <w:t xml:space="preserve"> are not addressed through other bespoke provisions.</w:t>
            </w:r>
          </w:p>
        </w:tc>
        <w:tc>
          <w:tcPr>
            <w:tcW w:w="838" w:type="dxa"/>
            <w:tcBorders>
              <w:top w:val="nil"/>
              <w:left w:val="nil"/>
              <w:bottom w:val="single" w:sz="4" w:space="0" w:color="auto"/>
              <w:right w:val="single" w:sz="4" w:space="0" w:color="auto"/>
            </w:tcBorders>
            <w:shd w:val="clear" w:color="auto" w:fill="auto"/>
            <w:vAlign w:val="center"/>
            <w:hideMark/>
          </w:tcPr>
          <w:p w14:paraId="16146722"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25%</w:t>
            </w:r>
          </w:p>
        </w:tc>
        <w:tc>
          <w:tcPr>
            <w:tcW w:w="831" w:type="dxa"/>
            <w:tcBorders>
              <w:top w:val="nil"/>
              <w:left w:val="nil"/>
              <w:bottom w:val="single" w:sz="4" w:space="0" w:color="auto"/>
              <w:right w:val="single" w:sz="4" w:space="0" w:color="auto"/>
            </w:tcBorders>
            <w:shd w:val="clear" w:color="auto" w:fill="auto"/>
            <w:vAlign w:val="center"/>
            <w:hideMark/>
          </w:tcPr>
          <w:p w14:paraId="27C53C60"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75%</w:t>
            </w:r>
          </w:p>
        </w:tc>
        <w:tc>
          <w:tcPr>
            <w:tcW w:w="1156" w:type="dxa"/>
            <w:tcBorders>
              <w:top w:val="nil"/>
              <w:left w:val="nil"/>
              <w:bottom w:val="single" w:sz="4" w:space="0" w:color="auto"/>
              <w:right w:val="single" w:sz="4" w:space="0" w:color="auto"/>
            </w:tcBorders>
            <w:shd w:val="clear" w:color="auto" w:fill="auto"/>
            <w:vAlign w:val="center"/>
            <w:hideMark/>
          </w:tcPr>
          <w:p w14:paraId="54A9EB1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hideMark/>
          </w:tcPr>
          <w:p w14:paraId="15ADB93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44A81CB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reduced project NPV for the Private Partner.</w:t>
            </w:r>
          </w:p>
          <w:p w14:paraId="00639F16" w14:textId="77777777" w:rsidR="007F3B6C" w:rsidRPr="00050549" w:rsidRDefault="007F3B6C" w:rsidP="0010344F">
            <w:pPr>
              <w:jc w:val="left"/>
              <w:rPr>
                <w:rFonts w:ascii="GHEA Grapalat" w:hAnsi="GHEA Grapalat" w:cs="Arial"/>
                <w:color w:val="000000"/>
                <w:sz w:val="18"/>
                <w:szCs w:val="18"/>
                <w:lang w:val="en-GB"/>
              </w:rPr>
            </w:pPr>
          </w:p>
          <w:p w14:paraId="08DABE5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sz w:val="18"/>
                <w:szCs w:val="18"/>
                <w:lang w:val="en-GB"/>
              </w:rPr>
              <w:t xml:space="preserve">Public Partner assumes the risks in cases when cost-overrun </w:t>
            </w:r>
            <w:r w:rsidRPr="00050549">
              <w:rPr>
                <w:rFonts w:ascii="GHEA Grapalat" w:hAnsi="GHEA Grapalat" w:cs="Arial"/>
                <w:color w:val="000000"/>
                <w:sz w:val="18"/>
                <w:szCs w:val="18"/>
                <w:lang w:val="en-GB"/>
              </w:rPr>
              <w:t xml:space="preserve">is caused by the </w:t>
            </w:r>
            <w:r w:rsidRPr="00050549">
              <w:rPr>
                <w:rFonts w:ascii="GHEA Grapalat" w:hAnsi="GHEA Grapalat" w:cs="Arial"/>
                <w:sz w:val="18"/>
                <w:szCs w:val="18"/>
                <w:lang w:val="en-GB"/>
              </w:rPr>
              <w:t>Public Partner failure to meet their commitments (e.g., delays in project due to the fault of the Public Partner).</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4AC52E6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b/>
                <w:color w:val="000000"/>
                <w:sz w:val="18"/>
                <w:szCs w:val="18"/>
                <w:lang w:val="en-GB"/>
              </w:rPr>
              <w:t>2,190,000</w:t>
            </w:r>
          </w:p>
          <w:p w14:paraId="0991237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(calculated based on CAPEX increase probability – several consequences options for cost overruns are considered)</w:t>
            </w:r>
          </w:p>
        </w:tc>
        <w:tc>
          <w:tcPr>
            <w:tcW w:w="2250" w:type="dxa"/>
            <w:tcBorders>
              <w:top w:val="nil"/>
              <w:left w:val="nil"/>
              <w:bottom w:val="single" w:sz="4" w:space="0" w:color="auto"/>
              <w:right w:val="single" w:sz="4" w:space="0" w:color="auto"/>
            </w:tcBorders>
            <w:shd w:val="clear" w:color="auto" w:fill="auto"/>
            <w:vAlign w:val="center"/>
            <w:hideMark/>
          </w:tcPr>
          <w:p w14:paraId="200B17F4"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rPr>
              <w:t xml:space="preserve">1. </w:t>
            </w:r>
            <w:r w:rsidRPr="00050549">
              <w:rPr>
                <w:rFonts w:ascii="GHEA Grapalat" w:hAnsi="GHEA Grapalat" w:cs="Arial"/>
                <w:color w:val="000000"/>
                <w:sz w:val="18"/>
                <w:szCs w:val="18"/>
                <w:lang w:val="en-GB"/>
              </w:rPr>
              <w:t xml:space="preserve">Close monitoring of contract implementation by the Contract monitoring committee. </w:t>
            </w:r>
          </w:p>
          <w:p w14:paraId="64A29F30"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Fixed price contracts for supply of</w:t>
            </w:r>
          </w:p>
          <w:p w14:paraId="4DC1F371"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construction materials.</w:t>
            </w:r>
          </w:p>
          <w:p w14:paraId="24A50B52"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3. Contract provisions for contingencies.</w:t>
            </w:r>
          </w:p>
          <w:p w14:paraId="6AB01763" w14:textId="32C45D64"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4. In certain markets, risk is considered manageable by the Private Partner through robust </w:t>
            </w:r>
            <w:r w:rsidR="00342DD9" w:rsidRPr="00050549">
              <w:rPr>
                <w:rFonts w:ascii="GHEA Grapalat" w:hAnsi="GHEA Grapalat" w:cs="Arial"/>
                <w:color w:val="000000"/>
                <w:sz w:val="18"/>
                <w:szCs w:val="18"/>
                <w:lang w:val="en-GB"/>
              </w:rPr>
              <w:t>pass-through</w:t>
            </w:r>
            <w:r w:rsidRPr="00050549">
              <w:rPr>
                <w:rFonts w:ascii="GHEA Grapalat" w:hAnsi="GHEA Grapalat" w:cs="Arial"/>
                <w:color w:val="000000"/>
                <w:sz w:val="18"/>
                <w:szCs w:val="18"/>
                <w:lang w:val="en-GB"/>
              </w:rPr>
              <w:t xml:space="preserve"> obligations to credible and experienced sub-contractors and by allowing appropriate timetable and budget contingency and obtaining appropriate security to the risk of non-performance.</w:t>
            </w:r>
          </w:p>
          <w:p w14:paraId="007E1F90"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5. The Private Partner can mitigate the risk of sub-contractor non-performance by obtaining appropriate security from the sub-contractors (for example, parent company guarantees and/or performance bonds).</w:t>
            </w:r>
          </w:p>
          <w:p w14:paraId="018D8EB0"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6. The Public partner may sometimes seek </w:t>
            </w:r>
            <w:r w:rsidRPr="00050549">
              <w:rPr>
                <w:rFonts w:ascii="GHEA Grapalat" w:hAnsi="GHEA Grapalat" w:cs="Arial"/>
                <w:color w:val="000000"/>
                <w:sz w:val="18"/>
                <w:szCs w:val="18"/>
                <w:lang w:val="en-GB"/>
              </w:rPr>
              <w:lastRenderedPageBreak/>
              <w:t>additional security itself to ensure such costs can be met.</w:t>
            </w:r>
          </w:p>
        </w:tc>
      </w:tr>
      <w:tr w:rsidR="007F3B6C" w:rsidRPr="00050549" w14:paraId="52C888B1"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72713549"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13.</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7C16313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Availability and terms of use of assets</w:t>
            </w:r>
          </w:p>
        </w:tc>
        <w:tc>
          <w:tcPr>
            <w:tcW w:w="2991" w:type="dxa"/>
            <w:tcBorders>
              <w:top w:val="nil"/>
              <w:left w:val="nil"/>
              <w:bottom w:val="single" w:sz="4" w:space="0" w:color="auto"/>
              <w:right w:val="single" w:sz="4" w:space="0" w:color="auto"/>
            </w:tcBorders>
            <w:shd w:val="clear" w:color="auto" w:fill="auto"/>
            <w:vAlign w:val="center"/>
            <w:hideMark/>
          </w:tcPr>
          <w:p w14:paraId="7A6BA8D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Risks related to the transfer to the Private Partner of the rights to manage / use the assets and / or land plots</w:t>
            </w:r>
          </w:p>
        </w:tc>
        <w:tc>
          <w:tcPr>
            <w:tcW w:w="838" w:type="dxa"/>
            <w:tcBorders>
              <w:top w:val="nil"/>
              <w:left w:val="nil"/>
              <w:bottom w:val="single" w:sz="4" w:space="0" w:color="auto"/>
              <w:right w:val="single" w:sz="4" w:space="0" w:color="auto"/>
            </w:tcBorders>
            <w:shd w:val="clear" w:color="auto" w:fill="auto"/>
            <w:vAlign w:val="center"/>
            <w:hideMark/>
          </w:tcPr>
          <w:p w14:paraId="0F38CBB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10EC31AE"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503A9FE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7415238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vAlign w:val="center"/>
          </w:tcPr>
          <w:p w14:paraId="6A00DE3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delay of project</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3E5AAF17" w14:textId="77777777" w:rsidR="007F3B6C" w:rsidRPr="00050549" w:rsidRDefault="007F3B6C" w:rsidP="0010344F">
            <w:pPr>
              <w:jc w:val="left"/>
              <w:rPr>
                <w:rFonts w:ascii="GHEA Grapalat" w:hAnsi="GHEA Grapalat" w:cs="Arial"/>
                <w:color w:val="000000"/>
                <w:sz w:val="18"/>
                <w:szCs w:val="18"/>
                <w:lang w:val="en-GB"/>
              </w:rPr>
            </w:pPr>
            <w:r w:rsidRPr="00050549">
              <w:rPr>
                <w:rFonts w:ascii="Calibri" w:hAnsi="Calibri" w:cs="Calibri"/>
                <w:color w:val="000000"/>
                <w:sz w:val="18"/>
                <w:szCs w:val="18"/>
                <w:lang w:val="en-GB"/>
              </w:rPr>
              <w:t> </w:t>
            </w:r>
          </w:p>
        </w:tc>
        <w:tc>
          <w:tcPr>
            <w:tcW w:w="2250" w:type="dxa"/>
            <w:tcBorders>
              <w:top w:val="nil"/>
              <w:left w:val="nil"/>
              <w:bottom w:val="single" w:sz="4" w:space="0" w:color="auto"/>
              <w:right w:val="single" w:sz="4" w:space="0" w:color="auto"/>
            </w:tcBorders>
            <w:shd w:val="clear" w:color="auto" w:fill="auto"/>
            <w:vAlign w:val="center"/>
            <w:hideMark/>
          </w:tcPr>
          <w:p w14:paraId="37FBD288"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Detailed analysis and preparation of transfer conditions in the stage of the PPP design.</w:t>
            </w:r>
          </w:p>
        </w:tc>
      </w:tr>
      <w:tr w:rsidR="007F3B6C" w:rsidRPr="00050549" w14:paraId="554CB54F"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7230CD9B"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Operational</w:t>
            </w:r>
          </w:p>
        </w:tc>
      </w:tr>
      <w:tr w:rsidR="007F3B6C" w:rsidRPr="00050549" w14:paraId="49741280"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tcPr>
          <w:p w14:paraId="7AD4773B"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14.</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tcPr>
          <w:p w14:paraId="43EF02F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Increased operating costs</w:t>
            </w:r>
          </w:p>
        </w:tc>
        <w:tc>
          <w:tcPr>
            <w:tcW w:w="2991" w:type="dxa"/>
            <w:tcBorders>
              <w:top w:val="nil"/>
              <w:left w:val="nil"/>
              <w:bottom w:val="single" w:sz="4" w:space="0" w:color="auto"/>
              <w:right w:val="single" w:sz="4" w:space="0" w:color="auto"/>
            </w:tcBorders>
            <w:shd w:val="clear" w:color="auto" w:fill="auto"/>
            <w:vAlign w:val="center"/>
          </w:tcPr>
          <w:p w14:paraId="4352041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Incorrect assessment of future costs that might arise during the life cycle of the project. Increased costs and delays in the operating phase can have a variety of causes, ranging from mistakes in maintenance cost estimates or variations to extreme weather events. Aside from adjustments for inflation, the Private Partner broadly assumes the risk of events which inhibit performance and/or give rise to cost increases beyond modelled costs (investor estimate at the time of the bid</w:t>
            </w:r>
            <w:proofErr w:type="gramStart"/>
            <w:r w:rsidRPr="00050549">
              <w:rPr>
                <w:rFonts w:ascii="GHEA Grapalat" w:hAnsi="GHEA Grapalat" w:cs="Arial"/>
                <w:color w:val="000000"/>
                <w:sz w:val="18"/>
                <w:szCs w:val="18"/>
                <w:lang w:val="en-GB"/>
              </w:rPr>
              <w:t>) ,</w:t>
            </w:r>
            <w:proofErr w:type="gramEnd"/>
            <w:r w:rsidRPr="00050549">
              <w:rPr>
                <w:rFonts w:ascii="GHEA Grapalat" w:hAnsi="GHEA Grapalat" w:cs="Arial"/>
                <w:color w:val="000000"/>
                <w:sz w:val="18"/>
                <w:szCs w:val="18"/>
                <w:lang w:val="en-GB"/>
              </w:rPr>
              <w:t xml:space="preserve"> to the extent these are not relief, force majeure, compensation, and are not addressed through other bespoke provisions</w:t>
            </w:r>
          </w:p>
        </w:tc>
        <w:tc>
          <w:tcPr>
            <w:tcW w:w="838" w:type="dxa"/>
            <w:tcBorders>
              <w:top w:val="nil"/>
              <w:left w:val="nil"/>
              <w:bottom w:val="single" w:sz="4" w:space="0" w:color="auto"/>
              <w:right w:val="single" w:sz="4" w:space="0" w:color="auto"/>
            </w:tcBorders>
            <w:shd w:val="clear" w:color="auto" w:fill="auto"/>
            <w:vAlign w:val="center"/>
          </w:tcPr>
          <w:p w14:paraId="3C72D273"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tcPr>
          <w:p w14:paraId="1C004A30"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tcPr>
          <w:p w14:paraId="522AE70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tcPr>
          <w:p w14:paraId="52EEF93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vAlign w:val="center"/>
          </w:tcPr>
          <w:p w14:paraId="34DAEFB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reduced project NPV.</w:t>
            </w:r>
          </w:p>
        </w:tc>
        <w:tc>
          <w:tcPr>
            <w:tcW w:w="1890" w:type="dxa"/>
            <w:tcBorders>
              <w:top w:val="nil"/>
              <w:left w:val="single" w:sz="4" w:space="0" w:color="auto"/>
              <w:bottom w:val="single" w:sz="4" w:space="0" w:color="auto"/>
              <w:right w:val="single" w:sz="4" w:space="0" w:color="auto"/>
            </w:tcBorders>
            <w:shd w:val="clear" w:color="auto" w:fill="auto"/>
            <w:vAlign w:val="center"/>
          </w:tcPr>
          <w:p w14:paraId="4E2A5528" w14:textId="77777777" w:rsidR="007F3B6C" w:rsidRPr="00050549" w:rsidDel="00774D26" w:rsidRDefault="007F3B6C" w:rsidP="0010344F">
            <w:pPr>
              <w:jc w:val="left"/>
              <w:rPr>
                <w:rFonts w:ascii="GHEA Grapalat" w:hAnsi="GHEA Grapalat" w:cs="Arial"/>
                <w:color w:val="000000"/>
                <w:sz w:val="18"/>
                <w:szCs w:val="18"/>
                <w:lang w:val="en-GB"/>
              </w:rPr>
            </w:pPr>
            <w:r w:rsidRPr="00050549">
              <w:rPr>
                <w:rFonts w:ascii="GHEA Grapalat" w:hAnsi="GHEA Grapalat" w:cs="Arial"/>
                <w:b/>
                <w:color w:val="000000"/>
                <w:sz w:val="18"/>
                <w:szCs w:val="18"/>
                <w:lang w:val="en-GB"/>
              </w:rPr>
              <w:t xml:space="preserve">7,640,000 </w:t>
            </w:r>
            <w:r w:rsidRPr="00050549">
              <w:rPr>
                <w:rFonts w:ascii="GHEA Grapalat" w:hAnsi="GHEA Grapalat" w:cs="Arial"/>
                <w:color w:val="000000"/>
                <w:sz w:val="18"/>
                <w:szCs w:val="18"/>
                <w:lang w:val="en-GB"/>
              </w:rPr>
              <w:t>(calculated based on probability of increase in OPEX for the Project period – several consequences options for cost overruns are considered)</w:t>
            </w:r>
          </w:p>
        </w:tc>
        <w:tc>
          <w:tcPr>
            <w:tcW w:w="2250" w:type="dxa"/>
            <w:tcBorders>
              <w:top w:val="nil"/>
              <w:left w:val="nil"/>
              <w:bottom w:val="single" w:sz="4" w:space="0" w:color="auto"/>
              <w:right w:val="single" w:sz="4" w:space="0" w:color="auto"/>
            </w:tcBorders>
            <w:shd w:val="clear" w:color="auto" w:fill="auto"/>
            <w:vAlign w:val="center"/>
          </w:tcPr>
          <w:p w14:paraId="4911C309"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Market consultation regarding project costs in the stage of pre-feasibility.</w:t>
            </w:r>
          </w:p>
        </w:tc>
      </w:tr>
      <w:tr w:rsidR="007F3B6C" w:rsidRPr="00050549" w14:paraId="40A33C74"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04F6975D"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15.</w:t>
            </w:r>
          </w:p>
        </w:tc>
        <w:tc>
          <w:tcPr>
            <w:tcW w:w="2011" w:type="dxa"/>
            <w:tcBorders>
              <w:top w:val="nil"/>
              <w:left w:val="nil"/>
              <w:bottom w:val="single" w:sz="4" w:space="0" w:color="auto"/>
              <w:right w:val="single" w:sz="4" w:space="0" w:color="auto"/>
            </w:tcBorders>
            <w:shd w:val="clear" w:color="000000" w:fill="E7E6E6"/>
            <w:vAlign w:val="center"/>
            <w:hideMark/>
          </w:tcPr>
          <w:p w14:paraId="03197C9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Vendor lock-in</w:t>
            </w:r>
          </w:p>
        </w:tc>
        <w:tc>
          <w:tcPr>
            <w:tcW w:w="2991" w:type="dxa"/>
            <w:tcBorders>
              <w:top w:val="nil"/>
              <w:left w:val="nil"/>
              <w:bottom w:val="single" w:sz="4" w:space="0" w:color="auto"/>
              <w:right w:val="single" w:sz="4" w:space="0" w:color="auto"/>
            </w:tcBorders>
            <w:shd w:val="clear" w:color="auto" w:fill="auto"/>
            <w:vAlign w:val="center"/>
            <w:hideMark/>
          </w:tcPr>
          <w:p w14:paraId="03CE64D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Risks related to the dependency on proprietary software, hardware, and systems – from both sides</w:t>
            </w:r>
          </w:p>
        </w:tc>
        <w:tc>
          <w:tcPr>
            <w:tcW w:w="838" w:type="dxa"/>
            <w:tcBorders>
              <w:top w:val="nil"/>
              <w:left w:val="nil"/>
              <w:bottom w:val="single" w:sz="4" w:space="0" w:color="auto"/>
              <w:right w:val="single" w:sz="4" w:space="0" w:color="auto"/>
            </w:tcBorders>
            <w:shd w:val="clear" w:color="auto" w:fill="auto"/>
            <w:vAlign w:val="center"/>
            <w:hideMark/>
          </w:tcPr>
          <w:p w14:paraId="20000CE4"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3CFB3D71"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0D70F29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4117D84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Low</w:t>
            </w:r>
          </w:p>
        </w:tc>
        <w:tc>
          <w:tcPr>
            <w:tcW w:w="2344" w:type="dxa"/>
            <w:tcBorders>
              <w:top w:val="single" w:sz="4" w:space="0" w:color="auto"/>
              <w:left w:val="nil"/>
              <w:bottom w:val="single" w:sz="4" w:space="0" w:color="auto"/>
              <w:right w:val="single" w:sz="4" w:space="0" w:color="auto"/>
            </w:tcBorders>
          </w:tcPr>
          <w:p w14:paraId="4AD22AC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increased operational costs for specific technological solutions – due to vendor lock in, lack of competition may drive up maintenance or license costs.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7BC043E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19FAABF3"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Consultations with potential bidders when designing technical requirements to prevent requirements that may be implying only specific technological solutions</w:t>
            </w:r>
          </w:p>
        </w:tc>
      </w:tr>
      <w:tr w:rsidR="007F3B6C" w:rsidRPr="00050549" w14:paraId="552E034C" w14:textId="77777777" w:rsidTr="0086551D">
        <w:trPr>
          <w:gridAfter w:val="1"/>
          <w:wAfter w:w="8" w:type="dxa"/>
          <w:trHeight w:val="684"/>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51530A4D"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16.</w:t>
            </w:r>
            <w:r w:rsidRPr="00050549">
              <w:rPr>
                <w:rFonts w:ascii="Calibri" w:hAnsi="Calibri" w:cs="Calibri"/>
                <w:b/>
                <w:bCs/>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79BF15D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Security breach </w:t>
            </w:r>
          </w:p>
        </w:tc>
        <w:tc>
          <w:tcPr>
            <w:tcW w:w="2991" w:type="dxa"/>
            <w:tcBorders>
              <w:top w:val="nil"/>
              <w:left w:val="nil"/>
              <w:bottom w:val="single" w:sz="4" w:space="0" w:color="auto"/>
              <w:right w:val="single" w:sz="4" w:space="0" w:color="auto"/>
            </w:tcBorders>
            <w:shd w:val="clear" w:color="auto" w:fill="auto"/>
            <w:vAlign w:val="center"/>
            <w:hideMark/>
          </w:tcPr>
          <w:p w14:paraId="32B5F28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Including physical and informational, such as: Cybersecurity attacks, privacy breaches, leading to security breaches</w:t>
            </w:r>
          </w:p>
        </w:tc>
        <w:tc>
          <w:tcPr>
            <w:tcW w:w="838" w:type="dxa"/>
            <w:tcBorders>
              <w:top w:val="nil"/>
              <w:left w:val="nil"/>
              <w:bottom w:val="single" w:sz="4" w:space="0" w:color="auto"/>
              <w:right w:val="single" w:sz="4" w:space="0" w:color="auto"/>
            </w:tcBorders>
            <w:shd w:val="clear" w:color="auto" w:fill="auto"/>
            <w:vAlign w:val="center"/>
            <w:hideMark/>
          </w:tcPr>
          <w:p w14:paraId="092731CB"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3FADE40E"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0D12C67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2455048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vAlign w:val="center"/>
          </w:tcPr>
          <w:p w14:paraId="6C9C3A9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contractual penalties, or in some cases to additional costs to restore interrupted operations.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4081650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To the extent of the penalties foreseen in the contract.</w:t>
            </w:r>
          </w:p>
        </w:tc>
        <w:tc>
          <w:tcPr>
            <w:tcW w:w="2250" w:type="dxa"/>
            <w:tcBorders>
              <w:top w:val="nil"/>
              <w:left w:val="nil"/>
              <w:bottom w:val="single" w:sz="4" w:space="0" w:color="auto"/>
              <w:right w:val="single" w:sz="4" w:space="0" w:color="auto"/>
            </w:tcBorders>
            <w:shd w:val="clear" w:color="auto" w:fill="auto"/>
            <w:vAlign w:val="center"/>
            <w:hideMark/>
          </w:tcPr>
          <w:p w14:paraId="3F0D051F"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Private Partner liability to cover direct and indirect costs foreseen in the contract.</w:t>
            </w:r>
          </w:p>
          <w:p w14:paraId="718A58B7"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2. Requirements for insurance foreseen in the contract.</w:t>
            </w:r>
          </w:p>
          <w:p w14:paraId="637A583E"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3. Requirements for security (incl. cyber security) certification by </w:t>
            </w:r>
            <w:proofErr w:type="gramStart"/>
            <w:r w:rsidRPr="00050549">
              <w:rPr>
                <w:rFonts w:ascii="GHEA Grapalat" w:hAnsi="GHEA Grapalat" w:cs="Arial"/>
                <w:color w:val="000000"/>
                <w:sz w:val="18"/>
                <w:szCs w:val="18"/>
                <w:lang w:val="en-GB"/>
              </w:rPr>
              <w:t>third-parties</w:t>
            </w:r>
            <w:proofErr w:type="gramEnd"/>
            <w:r w:rsidRPr="00050549">
              <w:rPr>
                <w:rFonts w:ascii="GHEA Grapalat" w:hAnsi="GHEA Grapalat" w:cs="Arial"/>
                <w:color w:val="000000"/>
                <w:sz w:val="18"/>
                <w:szCs w:val="18"/>
                <w:lang w:val="en-GB"/>
              </w:rPr>
              <w:t xml:space="preserve">, confirming compliance included in the technical requirements, technical audits foreseen. </w:t>
            </w:r>
          </w:p>
          <w:p w14:paraId="679834C9"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4. Qualification criteria to include track-record of non-performing contracts and litigations, incl. for the security breaches.</w:t>
            </w:r>
          </w:p>
        </w:tc>
      </w:tr>
      <w:tr w:rsidR="007F3B6C" w:rsidRPr="00050549" w14:paraId="3A3E4597"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6141533F"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17.</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22239385"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Incomplete / poor performance by the contractor</w:t>
            </w:r>
          </w:p>
        </w:tc>
        <w:tc>
          <w:tcPr>
            <w:tcW w:w="2991" w:type="dxa"/>
            <w:tcBorders>
              <w:top w:val="nil"/>
              <w:left w:val="nil"/>
              <w:bottom w:val="single" w:sz="4" w:space="0" w:color="auto"/>
              <w:right w:val="single" w:sz="4" w:space="0" w:color="auto"/>
            </w:tcBorders>
            <w:shd w:val="clear" w:color="auto" w:fill="auto"/>
            <w:vAlign w:val="center"/>
            <w:hideMark/>
          </w:tcPr>
          <w:p w14:paraId="49DF23E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Including failure of operational indicators and lower quality of services compared to pre-agreed/ required by the contract, incl. capacity to produce and distribute defined volumes of travel and identity documents according to SLA.</w:t>
            </w:r>
          </w:p>
        </w:tc>
        <w:tc>
          <w:tcPr>
            <w:tcW w:w="838" w:type="dxa"/>
            <w:tcBorders>
              <w:top w:val="nil"/>
              <w:left w:val="nil"/>
              <w:bottom w:val="single" w:sz="4" w:space="0" w:color="auto"/>
              <w:right w:val="single" w:sz="4" w:space="0" w:color="auto"/>
            </w:tcBorders>
            <w:shd w:val="clear" w:color="auto" w:fill="auto"/>
            <w:vAlign w:val="center"/>
            <w:hideMark/>
          </w:tcPr>
          <w:p w14:paraId="1071B69B"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75770FAD"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73A168F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1244B52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70E688E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limit realization of benefits for the government and for private partner and shall result in penalties for not meeting SLAs.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571E3FA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To the extent of the penalties foreseen in the contract.</w:t>
            </w:r>
          </w:p>
        </w:tc>
        <w:tc>
          <w:tcPr>
            <w:tcW w:w="2250" w:type="dxa"/>
            <w:tcBorders>
              <w:top w:val="nil"/>
              <w:left w:val="nil"/>
              <w:bottom w:val="single" w:sz="4" w:space="0" w:color="auto"/>
              <w:right w:val="single" w:sz="4" w:space="0" w:color="auto"/>
            </w:tcBorders>
            <w:shd w:val="clear" w:color="auto" w:fill="auto"/>
            <w:vAlign w:val="center"/>
            <w:hideMark/>
          </w:tcPr>
          <w:p w14:paraId="3E7C1BAB"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Potential penalties in the contract based on unfulfilled SLAs.</w:t>
            </w:r>
          </w:p>
        </w:tc>
      </w:tr>
      <w:tr w:rsidR="007F3B6C" w:rsidRPr="00050549" w14:paraId="53AFF153" w14:textId="77777777" w:rsidTr="0086551D">
        <w:trPr>
          <w:gridAfter w:val="1"/>
          <w:wAfter w:w="8" w:type="dxa"/>
          <w:trHeight w:val="924"/>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02007CDD"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18.</w:t>
            </w:r>
          </w:p>
        </w:tc>
        <w:tc>
          <w:tcPr>
            <w:tcW w:w="2011" w:type="dxa"/>
            <w:tcBorders>
              <w:top w:val="nil"/>
              <w:left w:val="nil"/>
              <w:bottom w:val="single" w:sz="4" w:space="0" w:color="auto"/>
              <w:right w:val="single" w:sz="4" w:space="0" w:color="auto"/>
            </w:tcBorders>
            <w:shd w:val="clear" w:color="000000" w:fill="E7E6E6"/>
            <w:vAlign w:val="center"/>
            <w:hideMark/>
          </w:tcPr>
          <w:p w14:paraId="67C2D6F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Supply and input materials shortage</w:t>
            </w:r>
          </w:p>
        </w:tc>
        <w:tc>
          <w:tcPr>
            <w:tcW w:w="2991" w:type="dxa"/>
            <w:tcBorders>
              <w:top w:val="nil"/>
              <w:left w:val="nil"/>
              <w:bottom w:val="single" w:sz="4" w:space="0" w:color="auto"/>
              <w:right w:val="single" w:sz="4" w:space="0" w:color="auto"/>
            </w:tcBorders>
            <w:shd w:val="clear" w:color="auto" w:fill="auto"/>
            <w:vAlign w:val="center"/>
            <w:hideMark/>
          </w:tcPr>
          <w:p w14:paraId="38BCBF4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Risks of poor performance of sub-contractors due to improper control of the operational process by the Private Partner or any other factors </w:t>
            </w:r>
          </w:p>
        </w:tc>
        <w:tc>
          <w:tcPr>
            <w:tcW w:w="838" w:type="dxa"/>
            <w:tcBorders>
              <w:top w:val="nil"/>
              <w:left w:val="nil"/>
              <w:bottom w:val="single" w:sz="4" w:space="0" w:color="auto"/>
              <w:right w:val="single" w:sz="4" w:space="0" w:color="auto"/>
            </w:tcBorders>
            <w:shd w:val="clear" w:color="auto" w:fill="auto"/>
            <w:vAlign w:val="center"/>
            <w:hideMark/>
          </w:tcPr>
          <w:p w14:paraId="3C0314EF"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5D46DE41"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02C93DC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7D52DC4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Low</w:t>
            </w:r>
          </w:p>
        </w:tc>
        <w:tc>
          <w:tcPr>
            <w:tcW w:w="2344" w:type="dxa"/>
            <w:tcBorders>
              <w:top w:val="single" w:sz="4" w:space="0" w:color="auto"/>
              <w:left w:val="nil"/>
              <w:bottom w:val="single" w:sz="4" w:space="0" w:color="auto"/>
              <w:right w:val="single" w:sz="4" w:space="0" w:color="auto"/>
            </w:tcBorders>
          </w:tcPr>
          <w:p w14:paraId="6EDA188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limit ability of Private partner to meet SLAs and result in penalties / reduced fees.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3FEB66A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To the extent of the penalties foreseen in the contract.</w:t>
            </w:r>
          </w:p>
        </w:tc>
        <w:tc>
          <w:tcPr>
            <w:tcW w:w="2250" w:type="dxa"/>
            <w:tcBorders>
              <w:top w:val="nil"/>
              <w:left w:val="nil"/>
              <w:bottom w:val="single" w:sz="4" w:space="0" w:color="auto"/>
              <w:right w:val="single" w:sz="4" w:space="0" w:color="auto"/>
            </w:tcBorders>
            <w:shd w:val="clear" w:color="auto" w:fill="auto"/>
            <w:vAlign w:val="center"/>
            <w:hideMark/>
          </w:tcPr>
          <w:p w14:paraId="44CEFC40"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Potential penalties foreseen in the contract based on unfulfilled SLAs.</w:t>
            </w:r>
          </w:p>
        </w:tc>
      </w:tr>
      <w:tr w:rsidR="007F3B6C" w:rsidRPr="00050549" w14:paraId="048D4A13" w14:textId="77777777" w:rsidTr="0086551D">
        <w:trPr>
          <w:gridAfter w:val="1"/>
          <w:wAfter w:w="8" w:type="dxa"/>
          <w:trHeight w:val="684"/>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1FC9E155"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19.</w:t>
            </w:r>
          </w:p>
        </w:tc>
        <w:tc>
          <w:tcPr>
            <w:tcW w:w="2011" w:type="dxa"/>
            <w:tcBorders>
              <w:top w:val="nil"/>
              <w:left w:val="nil"/>
              <w:bottom w:val="single" w:sz="4" w:space="0" w:color="auto"/>
              <w:right w:val="single" w:sz="4" w:space="0" w:color="auto"/>
            </w:tcBorders>
            <w:shd w:val="clear" w:color="000000" w:fill="E7E6E6"/>
            <w:vAlign w:val="center"/>
            <w:hideMark/>
          </w:tcPr>
          <w:p w14:paraId="1ED64E1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Risk of discontinued operations (hand-back phase)</w:t>
            </w:r>
          </w:p>
        </w:tc>
        <w:tc>
          <w:tcPr>
            <w:tcW w:w="2991" w:type="dxa"/>
            <w:tcBorders>
              <w:top w:val="nil"/>
              <w:left w:val="nil"/>
              <w:bottom w:val="single" w:sz="4" w:space="0" w:color="auto"/>
              <w:right w:val="single" w:sz="4" w:space="0" w:color="auto"/>
            </w:tcBorders>
            <w:shd w:val="clear" w:color="auto" w:fill="auto"/>
            <w:vAlign w:val="center"/>
            <w:hideMark/>
          </w:tcPr>
          <w:p w14:paraId="1E7EF53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Risk of inability to establish a flawless process during hand-back phase or hand back of asset of unappropriated condition to continue operations (transferring to the Public Partner). Majority of risk is assumed by the Private Partner, but discontinued operations may happen due to the Public Partner failure to </w:t>
            </w:r>
            <w:r w:rsidRPr="00050549">
              <w:rPr>
                <w:rFonts w:ascii="GHEA Grapalat" w:hAnsi="GHEA Grapalat" w:cs="Arial"/>
                <w:color w:val="000000"/>
                <w:sz w:val="18"/>
                <w:szCs w:val="18"/>
                <w:lang w:val="en-GB"/>
              </w:rPr>
              <w:lastRenderedPageBreak/>
              <w:t xml:space="preserve">successfully take over operations (e.g., poor governance, etc.). </w:t>
            </w:r>
            <w:r w:rsidRPr="00050549" w:rsidDel="006D0828">
              <w:rPr>
                <w:rFonts w:ascii="GHEA Grapalat" w:hAnsi="GHEA Grapalat" w:cs="Arial"/>
                <w:color w:val="000000"/>
                <w:sz w:val="18"/>
                <w:szCs w:val="18"/>
                <w:lang w:val="en-GB"/>
              </w:rPr>
              <w:t>t</w:t>
            </w:r>
            <w:r w:rsidRPr="00050549">
              <w:rPr>
                <w:rFonts w:ascii="GHEA Grapalat" w:hAnsi="GHEA Grapalat" w:cs="Arial"/>
                <w:color w:val="000000"/>
                <w:sz w:val="18"/>
                <w:szCs w:val="18"/>
                <w:lang w:val="en-GB"/>
              </w:rPr>
              <w:t>o facilitate an effective handover, the Public Partner should prepare in advance, conduct technical audit before the hand-back, and cooperate with the Private Partner so that the operations continue.</w:t>
            </w:r>
          </w:p>
        </w:tc>
        <w:tc>
          <w:tcPr>
            <w:tcW w:w="838" w:type="dxa"/>
            <w:tcBorders>
              <w:top w:val="nil"/>
              <w:left w:val="nil"/>
              <w:bottom w:val="single" w:sz="4" w:space="0" w:color="auto"/>
              <w:right w:val="single" w:sz="4" w:space="0" w:color="auto"/>
            </w:tcBorders>
            <w:shd w:val="clear" w:color="auto" w:fill="auto"/>
            <w:vAlign w:val="center"/>
            <w:hideMark/>
          </w:tcPr>
          <w:p w14:paraId="07921A8C"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25%</w:t>
            </w:r>
          </w:p>
        </w:tc>
        <w:tc>
          <w:tcPr>
            <w:tcW w:w="831" w:type="dxa"/>
            <w:tcBorders>
              <w:top w:val="nil"/>
              <w:left w:val="nil"/>
              <w:bottom w:val="single" w:sz="4" w:space="0" w:color="auto"/>
              <w:right w:val="single" w:sz="4" w:space="0" w:color="auto"/>
            </w:tcBorders>
            <w:shd w:val="clear" w:color="auto" w:fill="auto"/>
            <w:vAlign w:val="center"/>
            <w:hideMark/>
          </w:tcPr>
          <w:p w14:paraId="0B111EFD"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75%</w:t>
            </w:r>
          </w:p>
        </w:tc>
        <w:tc>
          <w:tcPr>
            <w:tcW w:w="1156" w:type="dxa"/>
            <w:tcBorders>
              <w:top w:val="nil"/>
              <w:left w:val="nil"/>
              <w:bottom w:val="single" w:sz="4" w:space="0" w:color="auto"/>
              <w:right w:val="single" w:sz="4" w:space="0" w:color="auto"/>
            </w:tcBorders>
            <w:shd w:val="clear" w:color="auto" w:fill="auto"/>
            <w:vAlign w:val="center"/>
            <w:hideMark/>
          </w:tcPr>
          <w:p w14:paraId="2ADE973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385CFC5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624A69A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For private partner it may result in penalties, should they be not able to meet hand over requirements. </w:t>
            </w:r>
          </w:p>
          <w:p w14:paraId="5BC32A44" w14:textId="77777777" w:rsidR="007F3B6C" w:rsidRPr="00050549" w:rsidRDefault="007F3B6C" w:rsidP="0010344F">
            <w:pPr>
              <w:jc w:val="left"/>
              <w:rPr>
                <w:rFonts w:ascii="GHEA Grapalat" w:hAnsi="GHEA Grapalat" w:cs="Arial"/>
                <w:color w:val="000000"/>
                <w:sz w:val="18"/>
                <w:szCs w:val="18"/>
                <w:lang w:val="en-GB"/>
              </w:rPr>
            </w:pPr>
          </w:p>
          <w:p w14:paraId="6939584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For </w:t>
            </w:r>
            <w:proofErr w:type="spellStart"/>
            <w:r w:rsidRPr="00050549">
              <w:rPr>
                <w:rFonts w:ascii="GHEA Grapalat" w:hAnsi="GHEA Grapalat" w:cs="Arial"/>
                <w:color w:val="000000"/>
                <w:sz w:val="18"/>
                <w:szCs w:val="18"/>
                <w:lang w:val="en-GB"/>
              </w:rPr>
              <w:t>GoA</w:t>
            </w:r>
            <w:proofErr w:type="spellEnd"/>
            <w:r w:rsidRPr="00050549">
              <w:rPr>
                <w:rFonts w:ascii="GHEA Grapalat" w:hAnsi="GHEA Grapalat" w:cs="Arial"/>
                <w:color w:val="000000"/>
                <w:sz w:val="18"/>
                <w:szCs w:val="18"/>
                <w:lang w:val="en-GB"/>
              </w:rPr>
              <w:t xml:space="preserve"> it may result in disrupted operations of passport and ID card issuance.</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57FD8DD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To the extent of the penalties foreseen in the contract – for the private partner</w:t>
            </w:r>
          </w:p>
        </w:tc>
        <w:tc>
          <w:tcPr>
            <w:tcW w:w="2250" w:type="dxa"/>
            <w:tcBorders>
              <w:top w:val="nil"/>
              <w:left w:val="nil"/>
              <w:bottom w:val="single" w:sz="4" w:space="0" w:color="auto"/>
              <w:right w:val="single" w:sz="4" w:space="0" w:color="auto"/>
            </w:tcBorders>
            <w:shd w:val="clear" w:color="auto" w:fill="auto"/>
            <w:vAlign w:val="center"/>
            <w:hideMark/>
          </w:tcPr>
          <w:p w14:paraId="353835D8"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Detailed hand-over-procedure defined in the contract.</w:t>
            </w:r>
          </w:p>
          <w:p w14:paraId="48768226"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Investment obligations defined to maintain asset quality.</w:t>
            </w:r>
          </w:p>
          <w:p w14:paraId="056BCE1D"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3. Penalties foreseen in case private partner cannot meet handover requirements.</w:t>
            </w:r>
          </w:p>
          <w:p w14:paraId="13CEEE01"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4. Contract monitoring process established to understand early warning signs.</w:t>
            </w:r>
          </w:p>
        </w:tc>
      </w:tr>
      <w:tr w:rsidR="007F3B6C" w:rsidRPr="00050549" w14:paraId="42D8A60D"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3B5F66BC"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20.</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55F51E1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Risk of discontinued operations</w:t>
            </w:r>
            <w:r w:rsidRPr="00050549">
              <w:rPr>
                <w:rFonts w:ascii="Calibri" w:hAnsi="Calibri" w:cs="Calibri"/>
                <w:color w:val="000000"/>
                <w:sz w:val="18"/>
                <w:szCs w:val="18"/>
                <w:lang w:val="en-GB"/>
              </w:rPr>
              <w:t> </w:t>
            </w:r>
            <w:r w:rsidRPr="00050549">
              <w:rPr>
                <w:rFonts w:ascii="GHEA Grapalat" w:hAnsi="GHEA Grapalat" w:cs="Arial"/>
                <w:color w:val="000000"/>
                <w:sz w:val="18"/>
                <w:szCs w:val="18"/>
                <w:lang w:val="en-GB"/>
              </w:rPr>
              <w:t>(operational phase)</w:t>
            </w:r>
          </w:p>
        </w:tc>
        <w:tc>
          <w:tcPr>
            <w:tcW w:w="2991" w:type="dxa"/>
            <w:tcBorders>
              <w:top w:val="nil"/>
              <w:left w:val="nil"/>
              <w:bottom w:val="single" w:sz="4" w:space="0" w:color="auto"/>
              <w:right w:val="single" w:sz="4" w:space="0" w:color="auto"/>
            </w:tcBorders>
            <w:shd w:val="clear" w:color="auto" w:fill="auto"/>
            <w:vAlign w:val="center"/>
            <w:hideMark/>
          </w:tcPr>
          <w:p w14:paraId="3790A33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Inability to establish a flawless process during the operational phase. This also include the issue of the ownership change.</w:t>
            </w:r>
          </w:p>
        </w:tc>
        <w:tc>
          <w:tcPr>
            <w:tcW w:w="838" w:type="dxa"/>
            <w:tcBorders>
              <w:top w:val="nil"/>
              <w:left w:val="nil"/>
              <w:bottom w:val="single" w:sz="4" w:space="0" w:color="auto"/>
              <w:right w:val="single" w:sz="4" w:space="0" w:color="auto"/>
            </w:tcBorders>
            <w:shd w:val="clear" w:color="auto" w:fill="auto"/>
            <w:vAlign w:val="center"/>
            <w:hideMark/>
          </w:tcPr>
          <w:p w14:paraId="42D136D0"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6F30A340"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37F3B85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1BF40FF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Low</w:t>
            </w:r>
          </w:p>
        </w:tc>
        <w:tc>
          <w:tcPr>
            <w:tcW w:w="2344" w:type="dxa"/>
            <w:tcBorders>
              <w:top w:val="single" w:sz="4" w:space="0" w:color="auto"/>
              <w:left w:val="nil"/>
              <w:bottom w:val="single" w:sz="4" w:space="0" w:color="auto"/>
              <w:right w:val="single" w:sz="4" w:space="0" w:color="auto"/>
            </w:tcBorders>
          </w:tcPr>
          <w:p w14:paraId="7D15443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For private partner it may result in penalties, should they be not able to meet operational requirements. </w:t>
            </w:r>
          </w:p>
          <w:p w14:paraId="33E6780D" w14:textId="77777777" w:rsidR="007F3B6C" w:rsidRPr="00050549" w:rsidRDefault="007F3B6C" w:rsidP="0010344F">
            <w:pPr>
              <w:jc w:val="left"/>
              <w:rPr>
                <w:rFonts w:ascii="GHEA Grapalat" w:hAnsi="GHEA Grapalat" w:cs="Arial"/>
                <w:color w:val="000000"/>
                <w:sz w:val="18"/>
                <w:szCs w:val="18"/>
                <w:lang w:val="en-GB"/>
              </w:rPr>
            </w:pPr>
          </w:p>
          <w:p w14:paraId="2B9859A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For </w:t>
            </w:r>
            <w:proofErr w:type="spellStart"/>
            <w:r w:rsidRPr="00050549">
              <w:rPr>
                <w:rFonts w:ascii="GHEA Grapalat" w:hAnsi="GHEA Grapalat" w:cs="Arial"/>
                <w:color w:val="000000"/>
                <w:sz w:val="18"/>
                <w:szCs w:val="18"/>
                <w:lang w:val="en-GB"/>
              </w:rPr>
              <w:t>GoA</w:t>
            </w:r>
            <w:proofErr w:type="spellEnd"/>
            <w:r w:rsidRPr="00050549">
              <w:rPr>
                <w:rFonts w:ascii="GHEA Grapalat" w:hAnsi="GHEA Grapalat" w:cs="Arial"/>
                <w:color w:val="000000"/>
                <w:sz w:val="18"/>
                <w:szCs w:val="18"/>
                <w:lang w:val="en-GB"/>
              </w:rPr>
              <w:t xml:space="preserve"> it may result in disrupted operations of passport and ID card issuance, failure to realize benefits.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0EB30CD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To the extent of the penalties foreseen in the contract for the private partner.</w:t>
            </w:r>
          </w:p>
        </w:tc>
        <w:tc>
          <w:tcPr>
            <w:tcW w:w="2250" w:type="dxa"/>
            <w:tcBorders>
              <w:top w:val="nil"/>
              <w:left w:val="nil"/>
              <w:bottom w:val="single" w:sz="4" w:space="0" w:color="auto"/>
              <w:right w:val="single" w:sz="4" w:space="0" w:color="auto"/>
            </w:tcBorders>
            <w:shd w:val="clear" w:color="auto" w:fill="auto"/>
            <w:vAlign w:val="center"/>
            <w:hideMark/>
          </w:tcPr>
          <w:p w14:paraId="06016DE7"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Potential penalties foreseen in the contract in case on unfulfilled obligations, other than due to force majeure events.</w:t>
            </w:r>
          </w:p>
          <w:p w14:paraId="7FE1F4CE"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Technical requirements include the obligation to prepare and maintain an adequate business continuity plan by the Private Partner.</w:t>
            </w:r>
          </w:p>
          <w:p w14:paraId="1A798464"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3. Well prepared tender documents (RFQ, RFP and the PPP contract) will provide the requirements regarding the SPV to address this risk (incl. the rules re SPV's ownership structure prior to conclusion of the contract and during the contract period, the period during which no changes are allowed, the preliminary approval procedures for changes in ownership from the grantor etc.)</w:t>
            </w:r>
          </w:p>
        </w:tc>
      </w:tr>
      <w:tr w:rsidR="007F3B6C" w:rsidRPr="00050549" w14:paraId="492107E2" w14:textId="77777777" w:rsidTr="0086551D">
        <w:trPr>
          <w:gridAfter w:val="1"/>
          <w:wAfter w:w="8" w:type="dxa"/>
          <w:trHeight w:val="492"/>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0C6723A2"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21.</w:t>
            </w:r>
          </w:p>
        </w:tc>
        <w:tc>
          <w:tcPr>
            <w:tcW w:w="2011" w:type="dxa"/>
            <w:tcBorders>
              <w:top w:val="nil"/>
              <w:left w:val="nil"/>
              <w:bottom w:val="single" w:sz="4" w:space="0" w:color="auto"/>
              <w:right w:val="single" w:sz="4" w:space="0" w:color="auto"/>
            </w:tcBorders>
            <w:shd w:val="clear" w:color="000000" w:fill="E7E6E6"/>
            <w:vAlign w:val="center"/>
            <w:hideMark/>
          </w:tcPr>
          <w:p w14:paraId="6BCEA855"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System failures</w:t>
            </w:r>
          </w:p>
        </w:tc>
        <w:tc>
          <w:tcPr>
            <w:tcW w:w="2991" w:type="dxa"/>
            <w:tcBorders>
              <w:top w:val="nil"/>
              <w:left w:val="nil"/>
              <w:bottom w:val="single" w:sz="4" w:space="0" w:color="auto"/>
              <w:right w:val="single" w:sz="4" w:space="0" w:color="auto"/>
            </w:tcBorders>
            <w:shd w:val="clear" w:color="auto" w:fill="auto"/>
            <w:vAlign w:val="center"/>
            <w:hideMark/>
          </w:tcPr>
          <w:p w14:paraId="721CC4B4"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System or its’ component failures leading to discontinued operations</w:t>
            </w:r>
          </w:p>
        </w:tc>
        <w:tc>
          <w:tcPr>
            <w:tcW w:w="838" w:type="dxa"/>
            <w:tcBorders>
              <w:top w:val="nil"/>
              <w:left w:val="nil"/>
              <w:bottom w:val="single" w:sz="4" w:space="0" w:color="auto"/>
              <w:right w:val="single" w:sz="4" w:space="0" w:color="auto"/>
            </w:tcBorders>
            <w:shd w:val="clear" w:color="auto" w:fill="auto"/>
            <w:vAlign w:val="center"/>
            <w:hideMark/>
          </w:tcPr>
          <w:p w14:paraId="54B3291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783C79B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43169FA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55F77D7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vAlign w:val="center"/>
          </w:tcPr>
          <w:p w14:paraId="1294459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private partners ability to meet defined SLAs.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5D3EC77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To the extent of the penalties foreseen in the contract.</w:t>
            </w:r>
          </w:p>
        </w:tc>
        <w:tc>
          <w:tcPr>
            <w:tcW w:w="2250" w:type="dxa"/>
            <w:tcBorders>
              <w:top w:val="nil"/>
              <w:left w:val="nil"/>
              <w:bottom w:val="single" w:sz="4" w:space="0" w:color="auto"/>
              <w:right w:val="single" w:sz="4" w:space="0" w:color="auto"/>
            </w:tcBorders>
            <w:shd w:val="clear" w:color="auto" w:fill="auto"/>
            <w:vAlign w:val="center"/>
            <w:hideMark/>
          </w:tcPr>
          <w:p w14:paraId="4C77D622"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To provide continuous maintenance and quality assurance as part of requirements in RFP.</w:t>
            </w:r>
          </w:p>
          <w:p w14:paraId="2C5EBA62"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 Technical requirements include the obligation to prepare and maintain an adequate business continuity plan by the Private Partner.</w:t>
            </w:r>
          </w:p>
        </w:tc>
      </w:tr>
      <w:tr w:rsidR="007F3B6C" w:rsidRPr="00050549" w14:paraId="2C52A2CD" w14:textId="77777777" w:rsidTr="0086551D">
        <w:trPr>
          <w:gridAfter w:val="1"/>
          <w:wAfter w:w="8" w:type="dxa"/>
          <w:trHeight w:val="684"/>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1338517B"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22.</w:t>
            </w:r>
          </w:p>
        </w:tc>
        <w:tc>
          <w:tcPr>
            <w:tcW w:w="2011" w:type="dxa"/>
            <w:tcBorders>
              <w:top w:val="nil"/>
              <w:left w:val="nil"/>
              <w:bottom w:val="single" w:sz="4" w:space="0" w:color="auto"/>
              <w:right w:val="single" w:sz="4" w:space="0" w:color="auto"/>
            </w:tcBorders>
            <w:shd w:val="clear" w:color="000000" w:fill="E7E6E6"/>
            <w:vAlign w:val="center"/>
            <w:hideMark/>
          </w:tcPr>
          <w:p w14:paraId="729A902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Talent acquisition</w:t>
            </w:r>
          </w:p>
        </w:tc>
        <w:tc>
          <w:tcPr>
            <w:tcW w:w="2991" w:type="dxa"/>
            <w:tcBorders>
              <w:top w:val="nil"/>
              <w:left w:val="nil"/>
              <w:bottom w:val="single" w:sz="4" w:space="0" w:color="auto"/>
              <w:right w:val="single" w:sz="4" w:space="0" w:color="auto"/>
            </w:tcBorders>
            <w:shd w:val="clear" w:color="auto" w:fill="auto"/>
            <w:vAlign w:val="center"/>
            <w:hideMark/>
          </w:tcPr>
          <w:p w14:paraId="2E9847E3"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Risk of not be able to attract required high-profile specialists to develop and maintain new technology systems </w:t>
            </w:r>
          </w:p>
        </w:tc>
        <w:tc>
          <w:tcPr>
            <w:tcW w:w="838" w:type="dxa"/>
            <w:tcBorders>
              <w:top w:val="nil"/>
              <w:left w:val="nil"/>
              <w:bottom w:val="single" w:sz="4" w:space="0" w:color="auto"/>
              <w:right w:val="single" w:sz="4" w:space="0" w:color="auto"/>
            </w:tcBorders>
            <w:shd w:val="clear" w:color="auto" w:fill="auto"/>
            <w:vAlign w:val="center"/>
            <w:hideMark/>
          </w:tcPr>
          <w:p w14:paraId="230A99B9"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68B801E8"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762E07D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5EF04FF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4437ECA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This may result in private partners ability to meet defined SLAs or increased costs of running operations (due to need to correct mistakes, etc.)</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307D9DAD"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5E16D0BC"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Risk is low </w:t>
            </w:r>
            <w:proofErr w:type="gramStart"/>
            <w:r w:rsidRPr="00050549">
              <w:rPr>
                <w:rFonts w:ascii="GHEA Grapalat" w:hAnsi="GHEA Grapalat" w:cs="Arial"/>
                <w:color w:val="000000"/>
                <w:sz w:val="18"/>
                <w:szCs w:val="18"/>
                <w:lang w:val="en-GB"/>
              </w:rPr>
              <w:t>due to the fact that</w:t>
            </w:r>
            <w:proofErr w:type="gramEnd"/>
            <w:r w:rsidRPr="00050549">
              <w:rPr>
                <w:rFonts w:ascii="GHEA Grapalat" w:hAnsi="GHEA Grapalat" w:cs="Arial"/>
                <w:color w:val="000000"/>
                <w:sz w:val="18"/>
                <w:szCs w:val="18"/>
                <w:lang w:val="en-GB"/>
              </w:rPr>
              <w:t xml:space="preserve"> high-profile specialists locally are required on limited scale, while international expertise and training is expected to be sourced from international team.</w:t>
            </w:r>
          </w:p>
        </w:tc>
      </w:tr>
      <w:tr w:rsidR="007F3B6C" w:rsidRPr="00050549" w14:paraId="1B1D2CE1"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793C5887"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Commercial</w:t>
            </w:r>
          </w:p>
        </w:tc>
      </w:tr>
      <w:tr w:rsidR="007F3B6C" w:rsidRPr="00050549" w14:paraId="34119C41" w14:textId="77777777" w:rsidTr="0086551D">
        <w:trPr>
          <w:gridAfter w:val="1"/>
          <w:wAfter w:w="8" w:type="dxa"/>
          <w:trHeight w:val="800"/>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494F74B3"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23.</w:t>
            </w:r>
          </w:p>
        </w:tc>
        <w:tc>
          <w:tcPr>
            <w:tcW w:w="2011" w:type="dxa"/>
            <w:tcBorders>
              <w:top w:val="nil"/>
              <w:left w:val="nil"/>
              <w:bottom w:val="single" w:sz="4" w:space="0" w:color="auto"/>
              <w:right w:val="single" w:sz="4" w:space="0" w:color="auto"/>
            </w:tcBorders>
            <w:shd w:val="clear" w:color="000000" w:fill="E7E6E6"/>
            <w:vAlign w:val="center"/>
            <w:hideMark/>
          </w:tcPr>
          <w:p w14:paraId="083CE36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Volume risk </w:t>
            </w:r>
          </w:p>
        </w:tc>
        <w:tc>
          <w:tcPr>
            <w:tcW w:w="2991" w:type="dxa"/>
            <w:tcBorders>
              <w:top w:val="nil"/>
              <w:left w:val="nil"/>
              <w:bottom w:val="single" w:sz="4" w:space="0" w:color="auto"/>
              <w:right w:val="single" w:sz="4" w:space="0" w:color="auto"/>
            </w:tcBorders>
            <w:shd w:val="clear" w:color="auto" w:fill="auto"/>
            <w:vAlign w:val="center"/>
            <w:hideMark/>
          </w:tcPr>
          <w:p w14:paraId="22EBA661" w14:textId="77777777" w:rsidR="007F3B6C" w:rsidRPr="00050549" w:rsidRDefault="007F3B6C" w:rsidP="0010344F">
            <w:pPr>
              <w:jc w:val="left"/>
              <w:rPr>
                <w:rFonts w:ascii="GHEA Grapalat" w:hAnsi="GHEA Grapalat" w:cs="Arial"/>
                <w:color w:val="000000"/>
                <w:sz w:val="18"/>
                <w:szCs w:val="18"/>
              </w:rPr>
            </w:pPr>
            <w:r w:rsidRPr="00050549">
              <w:rPr>
                <w:rFonts w:ascii="GHEA Grapalat" w:hAnsi="GHEA Grapalat" w:cs="Arial"/>
                <w:color w:val="000000"/>
                <w:sz w:val="18"/>
                <w:szCs w:val="18"/>
                <w:lang w:val="en-GB"/>
              </w:rPr>
              <w:t>The Private Partner is paid on per-service basis. At the same time, the Government should guarantee the certain minimum volume of services to ensure that project is viable for the Private Partner. Certain demand risks may be created where the Private Partner is permitted to run commercial activities (in addition to the core service under the contract), however this will typically form a smaller part of the project’s expected revenues (up to 20 %).</w:t>
            </w:r>
          </w:p>
        </w:tc>
        <w:tc>
          <w:tcPr>
            <w:tcW w:w="838" w:type="dxa"/>
            <w:tcBorders>
              <w:top w:val="nil"/>
              <w:left w:val="nil"/>
              <w:bottom w:val="single" w:sz="4" w:space="0" w:color="auto"/>
              <w:right w:val="single" w:sz="4" w:space="0" w:color="auto"/>
            </w:tcBorders>
            <w:shd w:val="clear" w:color="auto" w:fill="auto"/>
            <w:vAlign w:val="center"/>
            <w:hideMark/>
          </w:tcPr>
          <w:p w14:paraId="455A9C2C"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75%</w:t>
            </w:r>
          </w:p>
        </w:tc>
        <w:tc>
          <w:tcPr>
            <w:tcW w:w="831" w:type="dxa"/>
            <w:tcBorders>
              <w:top w:val="nil"/>
              <w:left w:val="nil"/>
              <w:bottom w:val="single" w:sz="4" w:space="0" w:color="auto"/>
              <w:right w:val="single" w:sz="4" w:space="0" w:color="auto"/>
            </w:tcBorders>
            <w:shd w:val="clear" w:color="auto" w:fill="auto"/>
            <w:vAlign w:val="center"/>
            <w:hideMark/>
          </w:tcPr>
          <w:p w14:paraId="4026220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25%</w:t>
            </w:r>
          </w:p>
        </w:tc>
        <w:tc>
          <w:tcPr>
            <w:tcW w:w="1156" w:type="dxa"/>
            <w:tcBorders>
              <w:top w:val="nil"/>
              <w:left w:val="nil"/>
              <w:bottom w:val="single" w:sz="4" w:space="0" w:color="auto"/>
              <w:right w:val="single" w:sz="4" w:space="0" w:color="auto"/>
            </w:tcBorders>
            <w:shd w:val="clear" w:color="auto" w:fill="auto"/>
            <w:vAlign w:val="center"/>
            <w:hideMark/>
          </w:tcPr>
          <w:p w14:paraId="11F3F21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569AE86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0FD33414" w14:textId="2007BDBC"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Without introducing the profit-sharing mechanism</w:t>
            </w:r>
            <w:r w:rsidR="00F11965" w:rsidRPr="00050549">
              <w:rPr>
                <w:rFonts w:ascii="GHEA Grapalat" w:hAnsi="GHEA Grapalat" w:cs="Arial"/>
                <w:color w:val="000000"/>
                <w:sz w:val="18"/>
                <w:szCs w:val="18"/>
                <w:lang w:val="en-GB"/>
              </w:rPr>
              <w:t>,</w:t>
            </w:r>
            <w:r w:rsidR="00F11965">
              <w:rPr>
                <w:rFonts w:ascii="GHEA Grapalat" w:hAnsi="GHEA Grapalat" w:cs="Arial"/>
                <w:color w:val="000000"/>
                <w:sz w:val="18"/>
                <w:szCs w:val="18"/>
                <w:lang w:val="en-GB"/>
              </w:rPr>
              <w:t xml:space="preserve"> </w:t>
            </w:r>
            <w:r w:rsidRPr="00050549">
              <w:rPr>
                <w:rFonts w:ascii="GHEA Grapalat" w:hAnsi="GHEA Grapalat" w:cs="Arial"/>
                <w:color w:val="000000"/>
                <w:sz w:val="18"/>
                <w:szCs w:val="18"/>
                <w:lang w:val="en-GB"/>
              </w:rPr>
              <w:t xml:space="preserve">the public partner will bear the risk, meaning that the public side would be required to make compensation payments to the Private Partner if the actual volumes are lower than pre-agreed ones. Alternatively, if commercial activity ceases to be possible due to regulatory reasons or other factors attributable to the Public </w:t>
            </w:r>
            <w:r w:rsidR="00F11965">
              <w:rPr>
                <w:rFonts w:ascii="GHEA Grapalat" w:hAnsi="GHEA Grapalat" w:cs="Arial"/>
                <w:color w:val="000000"/>
                <w:sz w:val="18"/>
                <w:szCs w:val="18"/>
                <w:lang w:val="en-GB"/>
              </w:rPr>
              <w:t>P</w:t>
            </w:r>
            <w:r w:rsidRPr="00050549">
              <w:rPr>
                <w:rFonts w:ascii="GHEA Grapalat" w:hAnsi="GHEA Grapalat" w:cs="Arial"/>
                <w:color w:val="000000"/>
                <w:sz w:val="18"/>
                <w:szCs w:val="18"/>
                <w:lang w:val="en-GB"/>
              </w:rPr>
              <w:t xml:space="preserve">artner or government, the contract will provide for the consequences. This may </w:t>
            </w:r>
            <w:r w:rsidRPr="00050549">
              <w:rPr>
                <w:rFonts w:ascii="GHEA Grapalat" w:hAnsi="GHEA Grapalat" w:cs="Arial"/>
                <w:color w:val="000000"/>
                <w:sz w:val="18"/>
                <w:szCs w:val="18"/>
                <w:lang w:val="en-GB"/>
              </w:rPr>
              <w:lastRenderedPageBreak/>
              <w:t>include amending certain provisions, including price.</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3481A9A0" w14:textId="51A73DE0"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For the Volume risk assessment, two cases</w:t>
            </w:r>
            <w:r w:rsidR="00C30BB4">
              <w:rPr>
                <w:rFonts w:ascii="GHEA Grapalat" w:hAnsi="GHEA Grapalat" w:cs="Arial"/>
                <w:color w:val="000000"/>
                <w:sz w:val="18"/>
                <w:szCs w:val="18"/>
              </w:rPr>
              <w:t xml:space="preserve"> </w:t>
            </w:r>
            <w:r w:rsidR="00C30BB4">
              <w:rPr>
                <w:rFonts w:ascii="GHEA Grapalat" w:hAnsi="GHEA Grapalat" w:cs="Arial"/>
                <w:color w:val="000000"/>
                <w:sz w:val="18"/>
                <w:szCs w:val="18"/>
                <w:lang w:val="en-US"/>
              </w:rPr>
              <w:t>are considered</w:t>
            </w:r>
            <w:r w:rsidRPr="00050549">
              <w:rPr>
                <w:rFonts w:ascii="GHEA Grapalat" w:hAnsi="GHEA Grapalat" w:cs="Arial"/>
                <w:color w:val="000000"/>
                <w:sz w:val="18"/>
                <w:szCs w:val="18"/>
                <w:lang w:val="en-GB"/>
              </w:rPr>
              <w:t>: (</w:t>
            </w:r>
            <w:proofErr w:type="spellStart"/>
            <w:r w:rsidRPr="00050549">
              <w:rPr>
                <w:rFonts w:ascii="GHEA Grapalat" w:hAnsi="GHEA Grapalat" w:cs="Arial"/>
                <w:color w:val="000000"/>
                <w:sz w:val="18"/>
                <w:szCs w:val="18"/>
                <w:lang w:val="en-GB"/>
              </w:rPr>
              <w:t>i</w:t>
            </w:r>
            <w:proofErr w:type="spellEnd"/>
            <w:r w:rsidRPr="00050549">
              <w:rPr>
                <w:rFonts w:ascii="GHEA Grapalat" w:hAnsi="GHEA Grapalat" w:cs="Arial"/>
                <w:color w:val="000000"/>
                <w:sz w:val="18"/>
                <w:szCs w:val="18"/>
                <w:lang w:val="en-GB"/>
              </w:rPr>
              <w:t>) with the mitigation mechanism introduced within a PPP contract and (ii) without them. On one hand, the first option implies the provision of the Volume Guarantee to the Private partner to ensure minimum inflow to cover at least their costs.</w:t>
            </w:r>
          </w:p>
          <w:p w14:paraId="6D55281A" w14:textId="2F2ADE68"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On the other hand, the first option also includes the profit-</w:t>
            </w:r>
            <w:r w:rsidRPr="00050549">
              <w:rPr>
                <w:rFonts w:ascii="GHEA Grapalat" w:hAnsi="GHEA Grapalat" w:cs="Arial"/>
                <w:color w:val="000000"/>
                <w:sz w:val="18"/>
                <w:szCs w:val="18"/>
                <w:lang w:val="en-GB"/>
              </w:rPr>
              <w:lastRenderedPageBreak/>
              <w:t xml:space="preserve">sharing mechanism, which allows the Private partner to share benefits with the </w:t>
            </w:r>
            <w:proofErr w:type="gramStart"/>
            <w:r w:rsidRPr="00050549">
              <w:rPr>
                <w:rFonts w:ascii="GHEA Grapalat" w:hAnsi="GHEA Grapalat" w:cs="Arial"/>
                <w:color w:val="000000"/>
                <w:sz w:val="18"/>
                <w:szCs w:val="18"/>
                <w:lang w:val="en-GB"/>
              </w:rPr>
              <w:t>Public</w:t>
            </w:r>
            <w:proofErr w:type="gramEnd"/>
            <w:r w:rsidRPr="00050549">
              <w:rPr>
                <w:rFonts w:ascii="GHEA Grapalat" w:hAnsi="GHEA Grapalat" w:cs="Arial"/>
                <w:color w:val="000000"/>
                <w:sz w:val="18"/>
                <w:szCs w:val="18"/>
                <w:lang w:val="en-GB"/>
              </w:rPr>
              <w:t xml:space="preserve"> side </w:t>
            </w:r>
            <w:r w:rsidR="00894047">
              <w:rPr>
                <w:rFonts w:ascii="GHEA Grapalat" w:hAnsi="GHEA Grapalat" w:cs="Arial"/>
                <w:color w:val="000000"/>
                <w:sz w:val="18"/>
                <w:szCs w:val="18"/>
                <w:lang w:val="en-GB"/>
              </w:rPr>
              <w:t>Thus,</w:t>
            </w:r>
            <w:r w:rsidRPr="00050549">
              <w:rPr>
                <w:rFonts w:ascii="GHEA Grapalat" w:hAnsi="GHEA Grapalat" w:cs="Arial"/>
                <w:color w:val="000000"/>
                <w:sz w:val="18"/>
                <w:szCs w:val="18"/>
                <w:lang w:val="en-GB"/>
              </w:rPr>
              <w:t xml:space="preserve"> the value of volume risk is estimated at</w:t>
            </w:r>
            <w:r w:rsidRPr="00050549">
              <w:rPr>
                <w:rFonts w:ascii="Calibri" w:hAnsi="Calibri" w:cs="Calibri"/>
                <w:color w:val="000000"/>
                <w:sz w:val="18"/>
                <w:szCs w:val="18"/>
                <w:lang w:val="en-GB"/>
              </w:rPr>
              <w:t> </w:t>
            </w:r>
          </w:p>
          <w:p w14:paraId="76F06A7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b/>
                <w:color w:val="000000"/>
                <w:sz w:val="18"/>
                <w:szCs w:val="18"/>
                <w:lang w:val="en-GB"/>
              </w:rPr>
              <w:t xml:space="preserve">0 </w:t>
            </w:r>
            <w:r w:rsidRPr="00050549">
              <w:rPr>
                <w:rFonts w:ascii="GHEA Grapalat" w:hAnsi="GHEA Grapalat" w:cs="Arial"/>
                <w:color w:val="000000"/>
                <w:sz w:val="18"/>
                <w:szCs w:val="18"/>
                <w:lang w:val="en-GB"/>
              </w:rPr>
              <w:t>(zero – due to positive effect of profit</w:t>
            </w:r>
            <w:r w:rsidRPr="00050549">
              <w:rPr>
                <w:rFonts w:ascii="GHEA Grapalat" w:hAnsi="GHEA Grapalat" w:cs="Arial"/>
                <w:bCs/>
                <w:color w:val="000000"/>
                <w:sz w:val="18"/>
                <w:szCs w:val="18"/>
                <w:lang w:val="en-GB"/>
              </w:rPr>
              <w:t>-sharing mechanism)</w:t>
            </w:r>
            <w:r w:rsidRPr="00050549">
              <w:rPr>
                <w:rFonts w:ascii="GHEA Grapalat" w:hAnsi="GHEA Grapalat" w:cs="Arial"/>
                <w:b/>
                <w:color w:val="000000"/>
                <w:sz w:val="18"/>
                <w:szCs w:val="18"/>
                <w:lang w:val="en-GB"/>
              </w:rPr>
              <w:t xml:space="preserve"> </w:t>
            </w:r>
            <w:r w:rsidRPr="00050549">
              <w:rPr>
                <w:rFonts w:ascii="GHEA Grapalat" w:hAnsi="GHEA Grapalat" w:cs="Arial"/>
                <w:color w:val="000000"/>
                <w:sz w:val="18"/>
                <w:szCs w:val="18"/>
                <w:lang w:val="en-GB"/>
              </w:rPr>
              <w:t>for the Project period.</w:t>
            </w:r>
          </w:p>
          <w:p w14:paraId="3AB989E6" w14:textId="77777777" w:rsidR="005E7FD2" w:rsidRDefault="007F3B6C" w:rsidP="005E7FD2">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The second option implies no risk mitigation mechanisms. </w:t>
            </w:r>
            <w:r w:rsidR="005E7FD2">
              <w:rPr>
                <w:rFonts w:ascii="GHEA Grapalat" w:hAnsi="GHEA Grapalat" w:cs="Arial"/>
                <w:color w:val="000000"/>
                <w:sz w:val="18"/>
                <w:szCs w:val="18"/>
                <w:lang w:val="en-GB"/>
              </w:rPr>
              <w:t xml:space="preserve"> </w:t>
            </w:r>
          </w:p>
          <w:p w14:paraId="0A1F3118" w14:textId="36AA34D4" w:rsidR="007F3B6C" w:rsidRPr="00050549" w:rsidRDefault="007F3B6C" w:rsidP="005E7FD2">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Based on preliminary estimations, the decrease of the volume guarantee from 1.6 million to 1 million passports (-50% from the estimated volumes) may result in up to 37.9% increase of the price of services, which may cost an additional approx.</w:t>
            </w:r>
            <w:r w:rsidRPr="00050549">
              <w:rPr>
                <w:rFonts w:ascii="Calibri" w:hAnsi="Calibri" w:cs="Calibri"/>
                <w:color w:val="000000"/>
                <w:sz w:val="18"/>
                <w:szCs w:val="18"/>
                <w:lang w:val="en-GB"/>
              </w:rPr>
              <w:t> </w:t>
            </w:r>
            <w:r w:rsidRPr="00050549">
              <w:rPr>
                <w:rFonts w:ascii="GHEA Grapalat" w:hAnsi="GHEA Grapalat" w:cs="Arial"/>
                <w:b/>
                <w:color w:val="000000"/>
                <w:sz w:val="18"/>
                <w:szCs w:val="18"/>
                <w:lang w:val="en-GB"/>
              </w:rPr>
              <w:t xml:space="preserve">USD 83,990,000 </w:t>
            </w:r>
            <w:r w:rsidRPr="00050549">
              <w:rPr>
                <w:rFonts w:ascii="GHEA Grapalat" w:hAnsi="GHEA Grapalat" w:cs="Arial"/>
                <w:color w:val="000000"/>
                <w:sz w:val="18"/>
                <w:szCs w:val="18"/>
                <w:lang w:val="en-GB"/>
              </w:rPr>
              <w:t>for the Government during the project period.</w:t>
            </w:r>
          </w:p>
        </w:tc>
        <w:tc>
          <w:tcPr>
            <w:tcW w:w="2250" w:type="dxa"/>
            <w:tcBorders>
              <w:top w:val="nil"/>
              <w:left w:val="nil"/>
              <w:bottom w:val="single" w:sz="4" w:space="0" w:color="auto"/>
              <w:right w:val="single" w:sz="4" w:space="0" w:color="auto"/>
            </w:tcBorders>
            <w:shd w:val="clear" w:color="auto" w:fill="auto"/>
            <w:vAlign w:val="center"/>
            <w:hideMark/>
          </w:tcPr>
          <w:p w14:paraId="69AB1033"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 xml:space="preserve">Volume guarantees foreseen in the contract, Profit sharing payment mechanism. </w:t>
            </w:r>
          </w:p>
          <w:p w14:paraId="6299745A" w14:textId="77777777" w:rsidR="007F3B6C" w:rsidRPr="00050549" w:rsidRDefault="007F3B6C" w:rsidP="00F11965">
            <w:pPr>
              <w:jc w:val="left"/>
              <w:rPr>
                <w:rFonts w:ascii="GHEA Grapalat" w:hAnsi="GHEA Grapalat" w:cs="Arial"/>
                <w:color w:val="000000"/>
                <w:sz w:val="18"/>
                <w:szCs w:val="18"/>
                <w:lang w:val="en-GB"/>
              </w:rPr>
            </w:pPr>
          </w:p>
        </w:tc>
      </w:tr>
      <w:tr w:rsidR="007F3B6C" w:rsidRPr="00050549" w14:paraId="10020A3E"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22A4313F"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Financial and Macroeconomic</w:t>
            </w:r>
          </w:p>
        </w:tc>
      </w:tr>
      <w:tr w:rsidR="007F3B6C" w:rsidRPr="00050549" w14:paraId="038AA144" w14:textId="77777777" w:rsidTr="0086551D">
        <w:trPr>
          <w:gridAfter w:val="1"/>
          <w:wAfter w:w="8" w:type="dxa"/>
          <w:trHeight w:val="1152"/>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394FA386"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24.</w:t>
            </w:r>
          </w:p>
        </w:tc>
        <w:tc>
          <w:tcPr>
            <w:tcW w:w="2011" w:type="dxa"/>
            <w:tcBorders>
              <w:top w:val="nil"/>
              <w:left w:val="nil"/>
              <w:bottom w:val="single" w:sz="4" w:space="0" w:color="auto"/>
              <w:right w:val="single" w:sz="4" w:space="0" w:color="auto"/>
            </w:tcBorders>
            <w:shd w:val="clear" w:color="000000" w:fill="E7E6E6"/>
            <w:vAlign w:val="center"/>
            <w:hideMark/>
          </w:tcPr>
          <w:p w14:paraId="3F410B9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Availability of financing</w:t>
            </w:r>
          </w:p>
        </w:tc>
        <w:tc>
          <w:tcPr>
            <w:tcW w:w="2991" w:type="dxa"/>
            <w:tcBorders>
              <w:top w:val="nil"/>
              <w:left w:val="nil"/>
              <w:bottom w:val="single" w:sz="4" w:space="0" w:color="auto"/>
              <w:right w:val="single" w:sz="4" w:space="0" w:color="auto"/>
            </w:tcBorders>
            <w:shd w:val="clear" w:color="auto" w:fill="auto"/>
            <w:vAlign w:val="center"/>
            <w:hideMark/>
          </w:tcPr>
          <w:p w14:paraId="3D669DB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The financial efficiency of the Project depends significantly on the value of capital that needs to be attracted for its implementation, which includes both equity and </w:t>
            </w:r>
            <w:r w:rsidRPr="00050549">
              <w:rPr>
                <w:rFonts w:ascii="GHEA Grapalat" w:hAnsi="GHEA Grapalat" w:cs="Arial"/>
                <w:color w:val="000000"/>
                <w:sz w:val="18"/>
                <w:szCs w:val="18"/>
                <w:lang w:val="en-GB"/>
              </w:rPr>
              <w:lastRenderedPageBreak/>
              <w:t>debt financing. Another part of it is the ability of the Private Partner to attract such funding for a reasonable period</w:t>
            </w:r>
          </w:p>
        </w:tc>
        <w:tc>
          <w:tcPr>
            <w:tcW w:w="838" w:type="dxa"/>
            <w:tcBorders>
              <w:top w:val="nil"/>
              <w:left w:val="nil"/>
              <w:bottom w:val="single" w:sz="4" w:space="0" w:color="auto"/>
              <w:right w:val="single" w:sz="4" w:space="0" w:color="auto"/>
            </w:tcBorders>
            <w:shd w:val="clear" w:color="auto" w:fill="auto"/>
            <w:vAlign w:val="center"/>
            <w:hideMark/>
          </w:tcPr>
          <w:p w14:paraId="24BE1522"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0%</w:t>
            </w:r>
          </w:p>
        </w:tc>
        <w:tc>
          <w:tcPr>
            <w:tcW w:w="831" w:type="dxa"/>
            <w:tcBorders>
              <w:top w:val="nil"/>
              <w:left w:val="nil"/>
              <w:bottom w:val="single" w:sz="4" w:space="0" w:color="auto"/>
              <w:right w:val="single" w:sz="4" w:space="0" w:color="auto"/>
            </w:tcBorders>
            <w:shd w:val="clear" w:color="auto" w:fill="auto"/>
            <w:vAlign w:val="center"/>
            <w:hideMark/>
          </w:tcPr>
          <w:p w14:paraId="2B3D790B"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70595D9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2F68EF8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Low</w:t>
            </w:r>
          </w:p>
        </w:tc>
        <w:tc>
          <w:tcPr>
            <w:tcW w:w="2344" w:type="dxa"/>
            <w:tcBorders>
              <w:top w:val="single" w:sz="4" w:space="0" w:color="auto"/>
              <w:left w:val="nil"/>
              <w:bottom w:val="single" w:sz="4" w:space="0" w:color="auto"/>
              <w:right w:val="single" w:sz="4" w:space="0" w:color="auto"/>
            </w:tcBorders>
          </w:tcPr>
          <w:p w14:paraId="67B90CC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The ability to raise financing impact on the cost of capital for the investor, thus the total cost of the project for the </w:t>
            </w:r>
            <w:r w:rsidRPr="00050549">
              <w:rPr>
                <w:rFonts w:ascii="GHEA Grapalat" w:hAnsi="GHEA Grapalat" w:cs="Arial"/>
                <w:color w:val="000000"/>
                <w:sz w:val="18"/>
                <w:szCs w:val="18"/>
                <w:lang w:val="en-GB"/>
              </w:rPr>
              <w:lastRenderedPageBreak/>
              <w:t>investor, the expected rate return, etc.</w:t>
            </w:r>
          </w:p>
          <w:p w14:paraId="412C94E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For the Public Partner it may result in a delay of the Project start and thus generation of Project benefits.</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6659FF05" w14:textId="77777777" w:rsidR="007F3B6C" w:rsidRPr="00050549" w:rsidRDefault="007F3B6C" w:rsidP="0010344F">
            <w:pPr>
              <w:jc w:val="left"/>
              <w:rPr>
                <w:rFonts w:ascii="GHEA Grapalat" w:hAnsi="GHEA Grapalat" w:cs="Arial"/>
                <w:color w:val="000000"/>
                <w:sz w:val="18"/>
                <w:szCs w:val="18"/>
                <w:lang w:val="en-GB"/>
              </w:rPr>
            </w:pPr>
            <w:r w:rsidRPr="00050549">
              <w:rPr>
                <w:rFonts w:ascii="Calibri" w:hAnsi="Calibri" w:cs="Calibri"/>
                <w:color w:val="000000"/>
                <w:sz w:val="18"/>
                <w:szCs w:val="18"/>
                <w:lang w:val="en-GB"/>
              </w:rPr>
              <w:lastRenderedPageBreak/>
              <w:t> </w:t>
            </w: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25994221"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Transparent selection procedure to attract international investors with good credibility, introduction of stable </w:t>
            </w:r>
            <w:r w:rsidRPr="00050549">
              <w:rPr>
                <w:rFonts w:ascii="GHEA Grapalat" w:hAnsi="GHEA Grapalat" w:cs="Arial"/>
                <w:color w:val="000000"/>
                <w:sz w:val="18"/>
                <w:szCs w:val="18"/>
                <w:lang w:val="en-GB"/>
              </w:rPr>
              <w:lastRenderedPageBreak/>
              <w:t>PPP contract, existence of volume guarantee – all these measures increase the private partner’s capability to attract sufficient funding for a reasonable period.</w:t>
            </w:r>
            <w:r w:rsidRPr="00050549">
              <w:rPr>
                <w:rFonts w:ascii="GHEA Grapalat" w:hAnsi="GHEA Grapalat"/>
                <w:sz w:val="18"/>
                <w:szCs w:val="18"/>
              </w:rPr>
              <w:t xml:space="preserve"> </w:t>
            </w:r>
            <w:r w:rsidRPr="00050549">
              <w:rPr>
                <w:rFonts w:ascii="GHEA Grapalat" w:hAnsi="GHEA Grapalat" w:cs="Arial"/>
                <w:color w:val="000000"/>
                <w:sz w:val="18"/>
                <w:szCs w:val="18"/>
                <w:lang w:val="en-GB"/>
              </w:rPr>
              <w:t xml:space="preserve">Potential mitigation mechanisms may be that one of the bidding criteria might be that the private partner has at least specific amount </w:t>
            </w:r>
            <w:proofErr w:type="gramStart"/>
            <w:r w:rsidRPr="00050549">
              <w:rPr>
                <w:rFonts w:ascii="GHEA Grapalat" w:hAnsi="GHEA Grapalat" w:cs="Arial"/>
                <w:color w:val="000000"/>
                <w:sz w:val="18"/>
                <w:szCs w:val="18"/>
                <w:lang w:val="en-GB"/>
              </w:rPr>
              <w:t>of  equity</w:t>
            </w:r>
            <w:proofErr w:type="gramEnd"/>
            <w:r w:rsidRPr="00050549">
              <w:rPr>
                <w:rFonts w:ascii="GHEA Grapalat" w:hAnsi="GHEA Grapalat" w:cs="Arial"/>
                <w:color w:val="000000"/>
                <w:sz w:val="18"/>
                <w:szCs w:val="18"/>
                <w:lang w:val="en-GB"/>
              </w:rPr>
              <w:t xml:space="preserve"> financing disbursed up-front – thus allowing to avoid over-leveraged structures.</w:t>
            </w:r>
          </w:p>
        </w:tc>
      </w:tr>
      <w:tr w:rsidR="007F3B6C" w:rsidRPr="00050549" w14:paraId="3A42C9F7" w14:textId="77777777" w:rsidTr="0086551D">
        <w:trPr>
          <w:gridAfter w:val="1"/>
          <w:wAfter w:w="8" w:type="dxa"/>
          <w:trHeight w:val="1152"/>
          <w:jc w:val="center"/>
        </w:trPr>
        <w:tc>
          <w:tcPr>
            <w:tcW w:w="535" w:type="dxa"/>
            <w:tcBorders>
              <w:top w:val="nil"/>
              <w:left w:val="single" w:sz="4" w:space="0" w:color="auto"/>
              <w:bottom w:val="single" w:sz="4" w:space="0" w:color="auto"/>
              <w:right w:val="single" w:sz="4" w:space="0" w:color="auto"/>
            </w:tcBorders>
            <w:shd w:val="clear" w:color="000000" w:fill="EDEDED"/>
            <w:vAlign w:val="center"/>
          </w:tcPr>
          <w:p w14:paraId="785966CC"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25.</w:t>
            </w:r>
          </w:p>
        </w:tc>
        <w:tc>
          <w:tcPr>
            <w:tcW w:w="2011" w:type="dxa"/>
            <w:tcBorders>
              <w:top w:val="nil"/>
              <w:left w:val="nil"/>
              <w:bottom w:val="single" w:sz="4" w:space="0" w:color="auto"/>
              <w:right w:val="single" w:sz="4" w:space="0" w:color="auto"/>
            </w:tcBorders>
            <w:shd w:val="clear" w:color="000000" w:fill="E7E6E6"/>
            <w:vAlign w:val="center"/>
          </w:tcPr>
          <w:p w14:paraId="18C989B0"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Interest rate risk</w:t>
            </w:r>
          </w:p>
        </w:tc>
        <w:tc>
          <w:tcPr>
            <w:tcW w:w="2991" w:type="dxa"/>
            <w:tcBorders>
              <w:top w:val="nil"/>
              <w:left w:val="nil"/>
              <w:bottom w:val="single" w:sz="4" w:space="0" w:color="auto"/>
              <w:right w:val="single" w:sz="4" w:space="0" w:color="auto"/>
            </w:tcBorders>
            <w:shd w:val="clear" w:color="auto" w:fill="auto"/>
            <w:vAlign w:val="center"/>
          </w:tcPr>
          <w:p w14:paraId="06B3D5D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 some markets (especially in less stable) the risk of interest rate fluctuations is possible due to interest rate volatility or lack of long-term hedging availability. The Private Partner will typically bear the risk of interest rate fluctuations over the life of the project, but this will depend on the specific project and its jurisdiction.</w:t>
            </w:r>
          </w:p>
        </w:tc>
        <w:tc>
          <w:tcPr>
            <w:tcW w:w="838" w:type="dxa"/>
            <w:tcBorders>
              <w:top w:val="nil"/>
              <w:left w:val="nil"/>
              <w:bottom w:val="single" w:sz="4" w:space="0" w:color="auto"/>
              <w:right w:val="single" w:sz="4" w:space="0" w:color="auto"/>
            </w:tcBorders>
            <w:shd w:val="clear" w:color="auto" w:fill="auto"/>
            <w:vAlign w:val="center"/>
          </w:tcPr>
          <w:p w14:paraId="3C207094"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tcPr>
          <w:p w14:paraId="438BA9D1"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tcPr>
          <w:p w14:paraId="5FFE9EC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tcPr>
          <w:p w14:paraId="461E08B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09404452" w14:textId="77777777" w:rsidR="007F3B6C" w:rsidRPr="00050549" w:rsidRDefault="007F3B6C" w:rsidP="0010344F">
            <w:pPr>
              <w:jc w:val="left"/>
              <w:rPr>
                <w:rFonts w:ascii="GHEA Grapalat" w:hAnsi="GHEA Grapalat" w:cs="Arial"/>
                <w:color w:val="000000"/>
                <w:sz w:val="18"/>
                <w:szCs w:val="18"/>
                <w:lang w:val="en-GB"/>
              </w:rPr>
            </w:pPr>
          </w:p>
        </w:tc>
        <w:tc>
          <w:tcPr>
            <w:tcW w:w="1890" w:type="dxa"/>
            <w:tcBorders>
              <w:top w:val="nil"/>
              <w:left w:val="single" w:sz="4" w:space="0" w:color="auto"/>
              <w:bottom w:val="single" w:sz="4" w:space="0" w:color="auto"/>
              <w:right w:val="single" w:sz="4" w:space="0" w:color="auto"/>
            </w:tcBorders>
            <w:shd w:val="clear" w:color="auto" w:fill="auto"/>
            <w:vAlign w:val="center"/>
          </w:tcPr>
          <w:p w14:paraId="0189C55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An adverse change in interest rate due to significant period between prices submitted </w:t>
            </w:r>
            <w:proofErr w:type="spellStart"/>
            <w:r w:rsidRPr="00050549">
              <w:rPr>
                <w:rFonts w:ascii="GHEA Grapalat" w:hAnsi="GHEA Grapalat" w:cs="Arial"/>
                <w:color w:val="000000"/>
                <w:sz w:val="18"/>
                <w:szCs w:val="18"/>
                <w:lang w:val="en-GB"/>
              </w:rPr>
              <w:t>at</w:t>
            </w:r>
            <w:proofErr w:type="spellEnd"/>
            <w:r w:rsidRPr="00050549">
              <w:rPr>
                <w:rFonts w:ascii="GHEA Grapalat" w:hAnsi="GHEA Grapalat" w:cs="Arial"/>
                <w:color w:val="000000"/>
                <w:sz w:val="18"/>
                <w:szCs w:val="18"/>
                <w:lang w:val="en-GB"/>
              </w:rPr>
              <w:t xml:space="preserve"> bid stage and financial close, will lead to increase of overall cost of capital.</w:t>
            </w:r>
          </w:p>
        </w:tc>
        <w:tc>
          <w:tcPr>
            <w:tcW w:w="2250" w:type="dxa"/>
            <w:tcBorders>
              <w:top w:val="nil"/>
              <w:left w:val="nil"/>
              <w:bottom w:val="single" w:sz="4" w:space="0" w:color="auto"/>
              <w:right w:val="single" w:sz="4" w:space="0" w:color="auto"/>
            </w:tcBorders>
            <w:shd w:val="clear" w:color="auto" w:fill="auto"/>
            <w:vAlign w:val="center"/>
          </w:tcPr>
          <w:p w14:paraId="1D64ACB8"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The possible mitigation measures may include hedging arrangements, to the extent possible or necessary in the relevant market. These should ensure the interest rate the Private Partner is required to pay is effectively fixed instead of fluctuating and protects it against adverse rate movements. The cost of such hedging will be part of the contract price bid.</w:t>
            </w:r>
          </w:p>
        </w:tc>
      </w:tr>
      <w:tr w:rsidR="007F3B6C" w:rsidRPr="00050549" w14:paraId="2C0FBDC5" w14:textId="77777777" w:rsidTr="0086551D">
        <w:trPr>
          <w:gridAfter w:val="1"/>
          <w:wAfter w:w="8" w:type="dxa"/>
          <w:trHeight w:val="468"/>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2F4AD3C6"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26.</w:t>
            </w:r>
          </w:p>
        </w:tc>
        <w:tc>
          <w:tcPr>
            <w:tcW w:w="2011" w:type="dxa"/>
            <w:tcBorders>
              <w:top w:val="nil"/>
              <w:left w:val="nil"/>
              <w:bottom w:val="single" w:sz="4" w:space="0" w:color="auto"/>
              <w:right w:val="single" w:sz="4" w:space="0" w:color="auto"/>
            </w:tcBorders>
            <w:shd w:val="clear" w:color="000000" w:fill="E7E6E6"/>
            <w:vAlign w:val="center"/>
            <w:hideMark/>
          </w:tcPr>
          <w:p w14:paraId="64AB163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Inflation</w:t>
            </w:r>
          </w:p>
        </w:tc>
        <w:tc>
          <w:tcPr>
            <w:tcW w:w="2991" w:type="dxa"/>
            <w:tcBorders>
              <w:top w:val="nil"/>
              <w:left w:val="nil"/>
              <w:bottom w:val="single" w:sz="4" w:space="0" w:color="auto"/>
              <w:right w:val="single" w:sz="4" w:space="0" w:color="auto"/>
            </w:tcBorders>
            <w:shd w:val="clear" w:color="auto" w:fill="auto"/>
            <w:vAlign w:val="center"/>
            <w:hideMark/>
          </w:tcPr>
          <w:p w14:paraId="12801A2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The risk of construction and operational costs increasing due to inflation. The risk of construction costs increasing due to inflation may be borne by the Private Partner who will generally price in this risk in markets where such </w:t>
            </w:r>
            <w:r w:rsidRPr="00050549">
              <w:rPr>
                <w:rFonts w:ascii="GHEA Grapalat" w:hAnsi="GHEA Grapalat" w:cs="Arial"/>
                <w:color w:val="000000"/>
                <w:sz w:val="18"/>
                <w:szCs w:val="18"/>
                <w:lang w:val="en-GB"/>
              </w:rPr>
              <w:lastRenderedPageBreak/>
              <w:t xml:space="preserve">risk can be projected and quantified. Inflation risk in the operating phase is typically borne by the </w:t>
            </w:r>
            <w:proofErr w:type="gramStart"/>
            <w:r w:rsidRPr="00050549">
              <w:rPr>
                <w:rFonts w:ascii="GHEA Grapalat" w:hAnsi="GHEA Grapalat" w:cs="Arial"/>
                <w:color w:val="000000"/>
                <w:sz w:val="18"/>
                <w:szCs w:val="18"/>
                <w:lang w:val="en-GB"/>
              </w:rPr>
              <w:t>Public</w:t>
            </w:r>
            <w:proofErr w:type="gramEnd"/>
            <w:r w:rsidRPr="00050549">
              <w:rPr>
                <w:rFonts w:ascii="GHEA Grapalat" w:hAnsi="GHEA Grapalat" w:cs="Arial"/>
                <w:color w:val="000000"/>
                <w:sz w:val="18"/>
                <w:szCs w:val="18"/>
                <w:lang w:val="en-GB"/>
              </w:rPr>
              <w:t xml:space="preserve"> partner.</w:t>
            </w:r>
          </w:p>
        </w:tc>
        <w:tc>
          <w:tcPr>
            <w:tcW w:w="838" w:type="dxa"/>
            <w:tcBorders>
              <w:top w:val="nil"/>
              <w:left w:val="nil"/>
              <w:bottom w:val="single" w:sz="4" w:space="0" w:color="auto"/>
              <w:right w:val="single" w:sz="4" w:space="0" w:color="auto"/>
            </w:tcBorders>
            <w:shd w:val="clear" w:color="auto" w:fill="auto"/>
            <w:vAlign w:val="center"/>
            <w:hideMark/>
          </w:tcPr>
          <w:p w14:paraId="5778A37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100%</w:t>
            </w:r>
          </w:p>
        </w:tc>
        <w:tc>
          <w:tcPr>
            <w:tcW w:w="831" w:type="dxa"/>
            <w:tcBorders>
              <w:top w:val="nil"/>
              <w:left w:val="nil"/>
              <w:bottom w:val="single" w:sz="4" w:space="0" w:color="auto"/>
              <w:right w:val="single" w:sz="4" w:space="0" w:color="auto"/>
            </w:tcBorders>
            <w:shd w:val="clear" w:color="auto" w:fill="auto"/>
            <w:vAlign w:val="center"/>
            <w:hideMark/>
          </w:tcPr>
          <w:p w14:paraId="4A23B66A"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hideMark/>
          </w:tcPr>
          <w:p w14:paraId="5719E47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175E688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vAlign w:val="center"/>
          </w:tcPr>
          <w:p w14:paraId="1BDD88F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Deviation of the inflation rate impacts the project costs and results in overutilization of budgetary funds, if the risk is borne by the public side</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1CDD52B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b/>
                <w:color w:val="000000"/>
                <w:sz w:val="18"/>
                <w:szCs w:val="18"/>
                <w:lang w:val="en-GB"/>
              </w:rPr>
              <w:t xml:space="preserve">3,980,000 </w:t>
            </w:r>
            <w:r w:rsidRPr="00050549">
              <w:rPr>
                <w:rFonts w:ascii="GHEA Grapalat" w:hAnsi="GHEA Grapalat" w:cs="Arial"/>
                <w:color w:val="000000"/>
                <w:sz w:val="18"/>
                <w:szCs w:val="18"/>
                <w:lang w:val="en-GB"/>
              </w:rPr>
              <w:t xml:space="preserve">(Calculated based on changes of gap for the Public Partner between end-user flat tariff and the inflated bided price / </w:t>
            </w:r>
            <w:r w:rsidRPr="00050549">
              <w:rPr>
                <w:rFonts w:ascii="GHEA Grapalat" w:hAnsi="GHEA Grapalat" w:cs="Arial"/>
                <w:color w:val="000000"/>
                <w:sz w:val="18"/>
                <w:szCs w:val="18"/>
                <w:lang w:val="en-GB"/>
              </w:rPr>
              <w:lastRenderedPageBreak/>
              <w:t xml:space="preserve">actual price for services provided by the Gov - caused by inflation rate fluctuation. For both procurement options: Scenario 1 - base, projected inflation, Scenario 2: + 10% increase of inflation, Scenario 3: + 20% increase of inflation.). </w:t>
            </w:r>
          </w:p>
        </w:tc>
        <w:tc>
          <w:tcPr>
            <w:tcW w:w="2250" w:type="dxa"/>
            <w:tcBorders>
              <w:top w:val="nil"/>
              <w:left w:val="nil"/>
              <w:bottom w:val="single" w:sz="4" w:space="0" w:color="auto"/>
              <w:right w:val="single" w:sz="4" w:space="0" w:color="auto"/>
            </w:tcBorders>
            <w:shd w:val="clear" w:color="auto" w:fill="auto"/>
            <w:vAlign w:val="center"/>
            <w:hideMark/>
          </w:tcPr>
          <w:p w14:paraId="71BAF32B"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 xml:space="preserve">Currency rate or inflation rate may be included as an index to the price. Typically, payment to the private partner may include both a fixed component (where debt </w:t>
            </w:r>
            <w:r w:rsidRPr="00050549">
              <w:rPr>
                <w:rFonts w:ascii="GHEA Grapalat" w:hAnsi="GHEA Grapalat" w:cs="Arial"/>
                <w:color w:val="000000"/>
                <w:sz w:val="18"/>
                <w:szCs w:val="18"/>
                <w:lang w:val="en-GB"/>
              </w:rPr>
              <w:lastRenderedPageBreak/>
              <w:t>has been hedged) and a variable component which includes an escalation factor that accounts for rises in costs.</w:t>
            </w:r>
          </w:p>
        </w:tc>
      </w:tr>
      <w:tr w:rsidR="007F3B6C" w:rsidRPr="00050549" w14:paraId="487E82C7" w14:textId="77777777" w:rsidTr="0086551D">
        <w:trPr>
          <w:gridAfter w:val="1"/>
          <w:wAfter w:w="8" w:type="dxa"/>
          <w:trHeight w:val="170"/>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72EFFFDC"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27.</w:t>
            </w:r>
          </w:p>
        </w:tc>
        <w:tc>
          <w:tcPr>
            <w:tcW w:w="2011" w:type="dxa"/>
            <w:tcBorders>
              <w:top w:val="nil"/>
              <w:left w:val="nil"/>
              <w:bottom w:val="single" w:sz="4" w:space="0" w:color="auto"/>
              <w:right w:val="single" w:sz="4" w:space="0" w:color="auto"/>
            </w:tcBorders>
            <w:shd w:val="clear" w:color="000000" w:fill="E7E6E6"/>
            <w:vAlign w:val="center"/>
            <w:hideMark/>
          </w:tcPr>
          <w:p w14:paraId="7C379E31"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Exchange rate fluctuation</w:t>
            </w:r>
          </w:p>
        </w:tc>
        <w:tc>
          <w:tcPr>
            <w:tcW w:w="2991" w:type="dxa"/>
            <w:tcBorders>
              <w:top w:val="nil"/>
              <w:left w:val="nil"/>
              <w:bottom w:val="single" w:sz="4" w:space="0" w:color="auto"/>
              <w:right w:val="single" w:sz="4" w:space="0" w:color="auto"/>
            </w:tcBorders>
            <w:shd w:val="clear" w:color="auto" w:fill="auto"/>
            <w:vAlign w:val="center"/>
            <w:hideMark/>
          </w:tcPr>
          <w:p w14:paraId="7CBCC6F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Rate changes during project, i.e., operating costs in currency different to the currency of the PPP contract payments. Allocation of exchange rate fluctuation risk over the life of a project will depend on the relevant project jurisdiction and the nature of the project costs. In most PPPs, the Private Partner will bid and be paid by the </w:t>
            </w:r>
            <w:proofErr w:type="gramStart"/>
            <w:r w:rsidRPr="00050549">
              <w:rPr>
                <w:rFonts w:ascii="GHEA Grapalat" w:hAnsi="GHEA Grapalat" w:cs="Arial"/>
                <w:color w:val="000000"/>
                <w:sz w:val="18"/>
                <w:szCs w:val="18"/>
                <w:lang w:val="en-GB"/>
              </w:rPr>
              <w:t>Public</w:t>
            </w:r>
            <w:proofErr w:type="gramEnd"/>
            <w:r w:rsidRPr="00050549">
              <w:rPr>
                <w:rFonts w:ascii="GHEA Grapalat" w:hAnsi="GHEA Grapalat" w:cs="Arial"/>
                <w:color w:val="000000"/>
                <w:sz w:val="18"/>
                <w:szCs w:val="18"/>
                <w:lang w:val="en-GB"/>
              </w:rPr>
              <w:t xml:space="preserve"> partner in the domestic currency of that country. It may, however, incur costs in a foreign currency and such costs are translated into the bid price in the domestic currency </w:t>
            </w:r>
            <w:proofErr w:type="gramStart"/>
            <w:r w:rsidRPr="00050549">
              <w:rPr>
                <w:rFonts w:ascii="GHEA Grapalat" w:hAnsi="GHEA Grapalat" w:cs="Arial"/>
                <w:color w:val="000000"/>
                <w:sz w:val="18"/>
                <w:szCs w:val="18"/>
                <w:lang w:val="en-GB"/>
              </w:rPr>
              <w:t>on the basis of</w:t>
            </w:r>
            <w:proofErr w:type="gramEnd"/>
            <w:r w:rsidRPr="00050549">
              <w:rPr>
                <w:rFonts w:ascii="GHEA Grapalat" w:hAnsi="GHEA Grapalat" w:cs="Arial"/>
                <w:color w:val="000000"/>
                <w:sz w:val="18"/>
                <w:szCs w:val="18"/>
                <w:lang w:val="en-GB"/>
              </w:rPr>
              <w:t xml:space="preserve"> a particular exchange rate.</w:t>
            </w:r>
          </w:p>
        </w:tc>
        <w:tc>
          <w:tcPr>
            <w:tcW w:w="838" w:type="dxa"/>
            <w:tcBorders>
              <w:top w:val="nil"/>
              <w:left w:val="nil"/>
              <w:bottom w:val="single" w:sz="4" w:space="0" w:color="auto"/>
              <w:right w:val="single" w:sz="4" w:space="0" w:color="auto"/>
            </w:tcBorders>
            <w:shd w:val="clear" w:color="auto" w:fill="auto"/>
            <w:vAlign w:val="center"/>
            <w:hideMark/>
          </w:tcPr>
          <w:p w14:paraId="712AEE97"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831" w:type="dxa"/>
            <w:tcBorders>
              <w:top w:val="nil"/>
              <w:left w:val="nil"/>
              <w:bottom w:val="single" w:sz="4" w:space="0" w:color="auto"/>
              <w:right w:val="single" w:sz="4" w:space="0" w:color="auto"/>
            </w:tcBorders>
            <w:shd w:val="clear" w:color="auto" w:fill="auto"/>
            <w:vAlign w:val="center"/>
            <w:hideMark/>
          </w:tcPr>
          <w:p w14:paraId="170FFB7D"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1156" w:type="dxa"/>
            <w:tcBorders>
              <w:top w:val="nil"/>
              <w:left w:val="nil"/>
              <w:bottom w:val="single" w:sz="4" w:space="0" w:color="auto"/>
              <w:right w:val="single" w:sz="4" w:space="0" w:color="auto"/>
            </w:tcBorders>
            <w:shd w:val="clear" w:color="auto" w:fill="auto"/>
            <w:vAlign w:val="center"/>
            <w:hideMark/>
          </w:tcPr>
          <w:p w14:paraId="5B2F9BC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25%-40%</w:t>
            </w:r>
          </w:p>
        </w:tc>
        <w:tc>
          <w:tcPr>
            <w:tcW w:w="989" w:type="dxa"/>
            <w:tcBorders>
              <w:top w:val="nil"/>
              <w:left w:val="nil"/>
              <w:bottom w:val="single" w:sz="4" w:space="0" w:color="auto"/>
              <w:right w:val="single" w:sz="4" w:space="0" w:color="auto"/>
            </w:tcBorders>
            <w:shd w:val="clear" w:color="auto" w:fill="auto"/>
            <w:vAlign w:val="center"/>
            <w:hideMark/>
          </w:tcPr>
          <w:p w14:paraId="4C7862C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4171862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Deviation of the exchange rate impacts the project costs and results in change of financial outcomes for the private partner (eventually, they will assume the risk and consider it in the price of the service) or overutilization of budgetary funds, if the risk is borne by the public side.</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3B34E35B"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b/>
                <w:color w:val="000000"/>
                <w:sz w:val="18"/>
                <w:szCs w:val="18"/>
                <w:lang w:val="en-GB"/>
              </w:rPr>
              <w:t>9,</w:t>
            </w:r>
            <w:r w:rsidRPr="00050549">
              <w:rPr>
                <w:rFonts w:ascii="GHEA Grapalat" w:hAnsi="GHEA Grapalat" w:cs="Arial"/>
                <w:b/>
                <w:color w:val="000000"/>
                <w:sz w:val="18"/>
                <w:szCs w:val="18"/>
              </w:rPr>
              <w:t>68</w:t>
            </w:r>
            <w:r w:rsidRPr="00050549">
              <w:rPr>
                <w:rFonts w:ascii="GHEA Grapalat" w:hAnsi="GHEA Grapalat" w:cs="Arial"/>
                <w:b/>
                <w:color w:val="000000"/>
                <w:sz w:val="18"/>
                <w:szCs w:val="18"/>
                <w:lang w:val="en-GB"/>
              </w:rPr>
              <w:t xml:space="preserve">0,000 </w:t>
            </w:r>
            <w:r w:rsidRPr="00050549">
              <w:rPr>
                <w:rFonts w:ascii="GHEA Grapalat" w:hAnsi="GHEA Grapalat" w:cs="Arial"/>
                <w:color w:val="000000"/>
                <w:sz w:val="18"/>
                <w:szCs w:val="18"/>
                <w:lang w:val="en-GB"/>
              </w:rPr>
              <w:t xml:space="preserve">(Calculated based on changes of gap for the Public Partner between end-user flat tariff and the inflated bided / actual price for services provided by the Gov - caused by exchange rate fluctuation. For both procurement options: Scenario 1 - base, projected exchange rate, Scenario 2: + 10% increase to rate, Scenario 3: + 20% increase to rate.). </w:t>
            </w:r>
          </w:p>
        </w:tc>
        <w:tc>
          <w:tcPr>
            <w:tcW w:w="2250" w:type="dxa"/>
            <w:tcBorders>
              <w:top w:val="nil"/>
              <w:left w:val="nil"/>
              <w:bottom w:val="single" w:sz="4" w:space="0" w:color="auto"/>
              <w:right w:val="single" w:sz="4" w:space="0" w:color="auto"/>
            </w:tcBorders>
            <w:shd w:val="clear" w:color="auto" w:fill="auto"/>
            <w:vAlign w:val="center"/>
            <w:hideMark/>
          </w:tcPr>
          <w:p w14:paraId="7702FBB0"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Currency rate or inflation rate may be included as an index to the price. Typically, payment to the private partner may include both a fixed component (where debt has been hedged) and a variable component which includes an escalation factor that accounts for rises in costs</w:t>
            </w:r>
          </w:p>
        </w:tc>
      </w:tr>
      <w:tr w:rsidR="007F3B6C" w:rsidRPr="00050549" w14:paraId="1D6003EC"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386BDF3D"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Social &amp; Political</w:t>
            </w:r>
          </w:p>
        </w:tc>
      </w:tr>
      <w:tr w:rsidR="007F3B6C" w:rsidRPr="00050549" w14:paraId="1E760F05"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078349A2"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28.</w:t>
            </w:r>
          </w:p>
        </w:tc>
        <w:tc>
          <w:tcPr>
            <w:tcW w:w="2011" w:type="dxa"/>
            <w:tcBorders>
              <w:top w:val="nil"/>
              <w:left w:val="nil"/>
              <w:bottom w:val="single" w:sz="4" w:space="0" w:color="auto"/>
              <w:right w:val="single" w:sz="4" w:space="0" w:color="auto"/>
            </w:tcBorders>
            <w:shd w:val="clear" w:color="000000" w:fill="E7E6E6"/>
            <w:vAlign w:val="center"/>
            <w:hideMark/>
          </w:tcPr>
          <w:p w14:paraId="52AC779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Resistance from key stakeholders</w:t>
            </w:r>
          </w:p>
        </w:tc>
        <w:tc>
          <w:tcPr>
            <w:tcW w:w="2991" w:type="dxa"/>
            <w:tcBorders>
              <w:top w:val="nil"/>
              <w:left w:val="nil"/>
              <w:bottom w:val="single" w:sz="4" w:space="0" w:color="auto"/>
              <w:right w:val="single" w:sz="4" w:space="0" w:color="auto"/>
            </w:tcBorders>
            <w:shd w:val="clear" w:color="auto" w:fill="auto"/>
            <w:vAlign w:val="center"/>
            <w:hideMark/>
          </w:tcPr>
          <w:p w14:paraId="3D757882"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Risk includes any external parties impacted by the proposed changes – incl. both. government stakeholders and citizens,</w:t>
            </w:r>
          </w:p>
          <w:p w14:paraId="5E9CEF1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The Government is in a better position to regulate these risks and develop an appropriate strategy to minimize them</w:t>
            </w:r>
          </w:p>
        </w:tc>
        <w:tc>
          <w:tcPr>
            <w:tcW w:w="838" w:type="dxa"/>
            <w:tcBorders>
              <w:top w:val="nil"/>
              <w:left w:val="nil"/>
              <w:bottom w:val="single" w:sz="4" w:space="0" w:color="auto"/>
              <w:right w:val="single" w:sz="4" w:space="0" w:color="auto"/>
            </w:tcBorders>
            <w:shd w:val="clear" w:color="auto" w:fill="auto"/>
            <w:vAlign w:val="center"/>
            <w:hideMark/>
          </w:tcPr>
          <w:p w14:paraId="458D135B"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100%</w:t>
            </w:r>
          </w:p>
        </w:tc>
        <w:tc>
          <w:tcPr>
            <w:tcW w:w="831" w:type="dxa"/>
            <w:tcBorders>
              <w:top w:val="nil"/>
              <w:left w:val="nil"/>
              <w:bottom w:val="single" w:sz="4" w:space="0" w:color="auto"/>
              <w:right w:val="single" w:sz="4" w:space="0" w:color="auto"/>
            </w:tcBorders>
            <w:shd w:val="clear" w:color="auto" w:fill="auto"/>
            <w:vAlign w:val="center"/>
            <w:hideMark/>
          </w:tcPr>
          <w:p w14:paraId="502C674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hideMark/>
          </w:tcPr>
          <w:p w14:paraId="52829A6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776A6789"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4812F83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This may result in prolonged decisions, approvals that may impact design and construction phase or impact the </w:t>
            </w:r>
            <w:r w:rsidRPr="00050549">
              <w:rPr>
                <w:rFonts w:ascii="GHEA Grapalat" w:hAnsi="GHEA Grapalat" w:cs="Arial"/>
                <w:color w:val="000000"/>
                <w:sz w:val="18"/>
                <w:szCs w:val="18"/>
                <w:lang w:val="en-GB"/>
              </w:rPr>
              <w:lastRenderedPageBreak/>
              <w:t>volume of services (please see the “volume risk”).</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1AC9432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lastRenderedPageBreak/>
              <w:t>-</w:t>
            </w:r>
          </w:p>
        </w:tc>
        <w:tc>
          <w:tcPr>
            <w:tcW w:w="2250" w:type="dxa"/>
            <w:tcBorders>
              <w:top w:val="nil"/>
              <w:left w:val="nil"/>
              <w:bottom w:val="single" w:sz="4" w:space="0" w:color="auto"/>
              <w:right w:val="single" w:sz="4" w:space="0" w:color="auto"/>
            </w:tcBorders>
            <w:shd w:val="clear" w:color="auto" w:fill="auto"/>
            <w:vAlign w:val="center"/>
            <w:hideMark/>
          </w:tcPr>
          <w:p w14:paraId="3621FB99"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1. Close cooperation in all government levels from early stage in the project.</w:t>
            </w:r>
          </w:p>
          <w:p w14:paraId="50BDDA8C" w14:textId="77777777" w:rsidR="007F3B6C" w:rsidRPr="00050549" w:rsidRDefault="007F3B6C" w:rsidP="00F11965">
            <w:pPr>
              <w:jc w:val="left"/>
              <w:rPr>
                <w:rFonts w:ascii="GHEA Grapalat" w:hAnsi="GHEA Grapalat" w:cs="Arial"/>
                <w:color w:val="000000"/>
                <w:sz w:val="18"/>
                <w:szCs w:val="18"/>
                <w:lang w:val="lt-LT"/>
              </w:rPr>
            </w:pPr>
            <w:r w:rsidRPr="00050549">
              <w:rPr>
                <w:rFonts w:ascii="GHEA Grapalat" w:hAnsi="GHEA Grapalat" w:cs="Arial"/>
                <w:color w:val="000000"/>
                <w:sz w:val="18"/>
                <w:szCs w:val="18"/>
                <w:lang w:val="en-GB"/>
              </w:rPr>
              <w:t xml:space="preserve">2. Contact monitoring committee established to </w:t>
            </w:r>
            <w:r w:rsidRPr="00050549">
              <w:rPr>
                <w:rFonts w:ascii="GHEA Grapalat" w:hAnsi="GHEA Grapalat" w:cs="Arial"/>
                <w:color w:val="000000"/>
                <w:sz w:val="18"/>
                <w:szCs w:val="18"/>
                <w:lang w:val="en-GB"/>
              </w:rPr>
              <w:lastRenderedPageBreak/>
              <w:t xml:space="preserve">monitor and resolve any blocks. </w:t>
            </w:r>
          </w:p>
        </w:tc>
      </w:tr>
      <w:tr w:rsidR="007F3B6C" w:rsidRPr="00050549" w14:paraId="7D4F66BE" w14:textId="77777777" w:rsidTr="0086551D">
        <w:trPr>
          <w:gridAfter w:val="1"/>
          <w:wAfter w:w="8" w:type="dxa"/>
          <w:trHeight w:val="696"/>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322AE458" w14:textId="77777777" w:rsidR="007F3B6C" w:rsidRPr="00050549" w:rsidRDefault="007F3B6C" w:rsidP="0010344F">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lastRenderedPageBreak/>
              <w:t>29.</w:t>
            </w:r>
          </w:p>
        </w:tc>
        <w:tc>
          <w:tcPr>
            <w:tcW w:w="2011" w:type="dxa"/>
            <w:tcBorders>
              <w:top w:val="nil"/>
              <w:left w:val="nil"/>
              <w:bottom w:val="single" w:sz="4" w:space="0" w:color="auto"/>
              <w:right w:val="single" w:sz="4" w:space="0" w:color="auto"/>
            </w:tcBorders>
            <w:shd w:val="clear" w:color="000000" w:fill="E7E6E6"/>
            <w:vAlign w:val="center"/>
            <w:hideMark/>
          </w:tcPr>
          <w:p w14:paraId="3286E048"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Reputational</w:t>
            </w:r>
          </w:p>
        </w:tc>
        <w:tc>
          <w:tcPr>
            <w:tcW w:w="2991" w:type="dxa"/>
            <w:tcBorders>
              <w:top w:val="nil"/>
              <w:left w:val="nil"/>
              <w:bottom w:val="single" w:sz="4" w:space="0" w:color="auto"/>
              <w:right w:val="single" w:sz="4" w:space="0" w:color="auto"/>
            </w:tcBorders>
            <w:shd w:val="clear" w:color="auto" w:fill="auto"/>
            <w:vAlign w:val="center"/>
            <w:hideMark/>
          </w:tcPr>
          <w:p w14:paraId="7B56FB9A"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Reputational risk for the Government during the tender and / or through the activities of the Private Partner</w:t>
            </w:r>
          </w:p>
        </w:tc>
        <w:tc>
          <w:tcPr>
            <w:tcW w:w="838" w:type="dxa"/>
            <w:tcBorders>
              <w:top w:val="nil"/>
              <w:left w:val="nil"/>
              <w:bottom w:val="single" w:sz="4" w:space="0" w:color="auto"/>
              <w:right w:val="single" w:sz="4" w:space="0" w:color="auto"/>
            </w:tcBorders>
            <w:shd w:val="clear" w:color="auto" w:fill="auto"/>
            <w:vAlign w:val="center"/>
            <w:hideMark/>
          </w:tcPr>
          <w:p w14:paraId="52FF2DCB"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100%</w:t>
            </w:r>
          </w:p>
        </w:tc>
        <w:tc>
          <w:tcPr>
            <w:tcW w:w="831" w:type="dxa"/>
            <w:tcBorders>
              <w:top w:val="nil"/>
              <w:left w:val="nil"/>
              <w:bottom w:val="single" w:sz="4" w:space="0" w:color="auto"/>
              <w:right w:val="single" w:sz="4" w:space="0" w:color="auto"/>
            </w:tcBorders>
            <w:shd w:val="clear" w:color="auto" w:fill="auto"/>
            <w:vAlign w:val="center"/>
            <w:hideMark/>
          </w:tcPr>
          <w:p w14:paraId="228C9F7D"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0%</w:t>
            </w:r>
          </w:p>
        </w:tc>
        <w:tc>
          <w:tcPr>
            <w:tcW w:w="1156" w:type="dxa"/>
            <w:tcBorders>
              <w:top w:val="nil"/>
              <w:left w:val="nil"/>
              <w:bottom w:val="single" w:sz="4" w:space="0" w:color="auto"/>
              <w:right w:val="single" w:sz="4" w:space="0" w:color="auto"/>
            </w:tcBorders>
            <w:shd w:val="clear" w:color="auto" w:fill="auto"/>
            <w:vAlign w:val="center"/>
            <w:hideMark/>
          </w:tcPr>
          <w:p w14:paraId="07CF309E"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3288C55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Moderate</w:t>
            </w:r>
          </w:p>
        </w:tc>
        <w:tc>
          <w:tcPr>
            <w:tcW w:w="2344" w:type="dxa"/>
            <w:tcBorders>
              <w:top w:val="single" w:sz="4" w:space="0" w:color="auto"/>
              <w:left w:val="nil"/>
              <w:bottom w:val="single" w:sz="4" w:space="0" w:color="auto"/>
              <w:right w:val="single" w:sz="4" w:space="0" w:color="auto"/>
            </w:tcBorders>
          </w:tcPr>
          <w:p w14:paraId="440746F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Selection of underqualified bidder or inappropriate structure of transaction may result in service level that would not meet the expected levels, thus would limit the realization of project benefits. </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663A3996"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62C010BF" w14:textId="77777777" w:rsidR="007F3B6C" w:rsidRPr="00050549" w:rsidRDefault="007F3B6C" w:rsidP="00F11965">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Independent consulting party engaged to support during the transaction structuring and tender process.</w:t>
            </w:r>
          </w:p>
        </w:tc>
      </w:tr>
      <w:tr w:rsidR="007F3B6C" w:rsidRPr="00050549" w14:paraId="3EC9D656" w14:textId="77777777" w:rsidTr="0086551D">
        <w:trPr>
          <w:trHeight w:val="300"/>
          <w:jc w:val="center"/>
        </w:trPr>
        <w:tc>
          <w:tcPr>
            <w:tcW w:w="15843" w:type="dxa"/>
            <w:gridSpan w:val="11"/>
            <w:tcBorders>
              <w:top w:val="nil"/>
              <w:left w:val="single" w:sz="4" w:space="0" w:color="auto"/>
              <w:bottom w:val="single" w:sz="4" w:space="0" w:color="auto"/>
              <w:right w:val="single" w:sz="4" w:space="0" w:color="auto"/>
            </w:tcBorders>
            <w:shd w:val="clear" w:color="000000" w:fill="EDEDED"/>
          </w:tcPr>
          <w:p w14:paraId="6A2594C9" w14:textId="77777777" w:rsidR="007F3B6C" w:rsidRPr="00050549" w:rsidRDefault="007F3B6C" w:rsidP="00F11965">
            <w:pPr>
              <w:jc w:val="left"/>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Force majeure and other unforeseen events</w:t>
            </w:r>
          </w:p>
        </w:tc>
      </w:tr>
      <w:tr w:rsidR="007F3B6C" w:rsidRPr="00050549" w14:paraId="508462C9" w14:textId="77777777" w:rsidTr="0086551D">
        <w:trPr>
          <w:gridAfter w:val="1"/>
          <w:wAfter w:w="8" w:type="dxa"/>
          <w:trHeight w:val="492"/>
          <w:jc w:val="center"/>
        </w:trPr>
        <w:tc>
          <w:tcPr>
            <w:tcW w:w="535" w:type="dxa"/>
            <w:tcBorders>
              <w:top w:val="nil"/>
              <w:left w:val="single" w:sz="4" w:space="0" w:color="auto"/>
              <w:bottom w:val="single" w:sz="4" w:space="0" w:color="auto"/>
              <w:right w:val="single" w:sz="4" w:space="0" w:color="auto"/>
            </w:tcBorders>
            <w:shd w:val="clear" w:color="000000" w:fill="EDEDED"/>
            <w:vAlign w:val="center"/>
            <w:hideMark/>
          </w:tcPr>
          <w:p w14:paraId="6030699F" w14:textId="77777777" w:rsidR="007F3B6C" w:rsidRPr="00050549" w:rsidRDefault="007F3B6C" w:rsidP="0010344F">
            <w:pPr>
              <w:rPr>
                <w:rFonts w:ascii="GHEA Grapalat" w:hAnsi="GHEA Grapalat" w:cs="Arial"/>
                <w:b/>
                <w:color w:val="000000"/>
                <w:sz w:val="18"/>
                <w:szCs w:val="18"/>
                <w:lang w:val="en-GB"/>
              </w:rPr>
            </w:pPr>
            <w:r w:rsidRPr="00050549">
              <w:rPr>
                <w:rFonts w:ascii="GHEA Grapalat" w:hAnsi="GHEA Grapalat" w:cs="Arial"/>
                <w:b/>
                <w:color w:val="000000"/>
                <w:sz w:val="18"/>
                <w:szCs w:val="18"/>
                <w:lang w:val="en-GB"/>
              </w:rPr>
              <w:t>30.</w:t>
            </w:r>
            <w:r w:rsidRPr="00050549">
              <w:rPr>
                <w:rFonts w:ascii="Calibri" w:hAnsi="Calibri" w:cs="Calibri"/>
                <w:b/>
                <w:bCs/>
                <w:color w:val="000000"/>
                <w:sz w:val="18"/>
                <w:szCs w:val="18"/>
                <w:lang w:val="en-GB"/>
              </w:rPr>
              <w:t>  </w:t>
            </w:r>
            <w:r w:rsidRPr="00050549">
              <w:rPr>
                <w:rFonts w:ascii="GHEA Grapalat" w:hAnsi="GHEA Grapalat"/>
                <w:b/>
                <w:bCs/>
                <w:color w:val="000000"/>
                <w:sz w:val="18"/>
                <w:szCs w:val="18"/>
                <w:lang w:val="en-GB"/>
              </w:rPr>
              <w:t xml:space="preserve"> </w:t>
            </w:r>
            <w:r w:rsidRPr="00050549">
              <w:rPr>
                <w:rFonts w:ascii="Calibri" w:hAnsi="Calibri" w:cs="Calibri"/>
                <w:b/>
                <w:color w:val="000000"/>
                <w:sz w:val="18"/>
                <w:szCs w:val="18"/>
                <w:lang w:val="en-GB"/>
              </w:rPr>
              <w:t> </w:t>
            </w:r>
          </w:p>
        </w:tc>
        <w:tc>
          <w:tcPr>
            <w:tcW w:w="2011" w:type="dxa"/>
            <w:tcBorders>
              <w:top w:val="nil"/>
              <w:left w:val="nil"/>
              <w:bottom w:val="single" w:sz="4" w:space="0" w:color="auto"/>
              <w:right w:val="single" w:sz="4" w:space="0" w:color="auto"/>
            </w:tcBorders>
            <w:shd w:val="clear" w:color="000000" w:fill="E7E6E6"/>
            <w:vAlign w:val="center"/>
            <w:hideMark/>
          </w:tcPr>
          <w:p w14:paraId="3C50E46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Force Majeure</w:t>
            </w:r>
          </w:p>
        </w:tc>
        <w:tc>
          <w:tcPr>
            <w:tcW w:w="2991" w:type="dxa"/>
            <w:tcBorders>
              <w:top w:val="nil"/>
              <w:left w:val="nil"/>
              <w:bottom w:val="single" w:sz="4" w:space="0" w:color="auto"/>
              <w:right w:val="single" w:sz="4" w:space="0" w:color="auto"/>
            </w:tcBorders>
            <w:shd w:val="clear" w:color="auto" w:fill="auto"/>
            <w:vAlign w:val="center"/>
            <w:hideMark/>
          </w:tcPr>
          <w:p w14:paraId="065850D7"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Circumstances beyond reasonable control</w:t>
            </w:r>
          </w:p>
        </w:tc>
        <w:tc>
          <w:tcPr>
            <w:tcW w:w="838" w:type="dxa"/>
            <w:tcBorders>
              <w:top w:val="nil"/>
              <w:left w:val="nil"/>
              <w:bottom w:val="single" w:sz="4" w:space="0" w:color="auto"/>
              <w:right w:val="single" w:sz="4" w:space="0" w:color="auto"/>
            </w:tcBorders>
            <w:shd w:val="clear" w:color="auto" w:fill="auto"/>
            <w:vAlign w:val="center"/>
            <w:hideMark/>
          </w:tcPr>
          <w:p w14:paraId="05220BC5"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50%</w:t>
            </w:r>
          </w:p>
        </w:tc>
        <w:tc>
          <w:tcPr>
            <w:tcW w:w="831" w:type="dxa"/>
            <w:tcBorders>
              <w:top w:val="nil"/>
              <w:left w:val="nil"/>
              <w:bottom w:val="single" w:sz="4" w:space="0" w:color="auto"/>
              <w:right w:val="single" w:sz="4" w:space="0" w:color="auto"/>
            </w:tcBorders>
            <w:shd w:val="clear" w:color="auto" w:fill="auto"/>
            <w:vAlign w:val="center"/>
            <w:hideMark/>
          </w:tcPr>
          <w:p w14:paraId="062A38DF" w14:textId="77777777" w:rsidR="007F3B6C" w:rsidRPr="00050549" w:rsidRDefault="007F3B6C" w:rsidP="0010344F">
            <w:pPr>
              <w:jc w:val="right"/>
              <w:rPr>
                <w:rFonts w:ascii="GHEA Grapalat" w:hAnsi="GHEA Grapalat" w:cs="Arial"/>
                <w:color w:val="000000"/>
                <w:sz w:val="18"/>
                <w:szCs w:val="18"/>
                <w:lang w:val="en-GB"/>
              </w:rPr>
            </w:pPr>
            <w:r w:rsidRPr="00050549">
              <w:rPr>
                <w:rFonts w:ascii="GHEA Grapalat" w:hAnsi="GHEA Grapalat" w:cs="Arial"/>
                <w:color w:val="000000"/>
                <w:sz w:val="18"/>
                <w:szCs w:val="18"/>
                <w:lang w:val="en-GB"/>
              </w:rPr>
              <w:t>50%</w:t>
            </w:r>
          </w:p>
        </w:tc>
        <w:tc>
          <w:tcPr>
            <w:tcW w:w="1156" w:type="dxa"/>
            <w:tcBorders>
              <w:top w:val="nil"/>
              <w:left w:val="nil"/>
              <w:bottom w:val="single" w:sz="4" w:space="0" w:color="auto"/>
              <w:right w:val="single" w:sz="4" w:space="0" w:color="auto"/>
            </w:tcBorders>
            <w:shd w:val="clear" w:color="auto" w:fill="auto"/>
            <w:vAlign w:val="center"/>
            <w:hideMark/>
          </w:tcPr>
          <w:p w14:paraId="1CD46E3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0%-15%</w:t>
            </w:r>
          </w:p>
        </w:tc>
        <w:tc>
          <w:tcPr>
            <w:tcW w:w="989" w:type="dxa"/>
            <w:tcBorders>
              <w:top w:val="nil"/>
              <w:left w:val="nil"/>
              <w:bottom w:val="single" w:sz="4" w:space="0" w:color="auto"/>
              <w:right w:val="single" w:sz="4" w:space="0" w:color="auto"/>
            </w:tcBorders>
            <w:shd w:val="clear" w:color="auto" w:fill="auto"/>
            <w:vAlign w:val="center"/>
            <w:hideMark/>
          </w:tcPr>
          <w:p w14:paraId="1C96394F"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High</w:t>
            </w:r>
          </w:p>
        </w:tc>
        <w:tc>
          <w:tcPr>
            <w:tcW w:w="2344" w:type="dxa"/>
            <w:tcBorders>
              <w:top w:val="single" w:sz="4" w:space="0" w:color="auto"/>
              <w:left w:val="nil"/>
              <w:bottom w:val="single" w:sz="4" w:space="0" w:color="auto"/>
              <w:right w:val="single" w:sz="4" w:space="0" w:color="auto"/>
            </w:tcBorders>
          </w:tcPr>
          <w:p w14:paraId="4A215E0C" w14:textId="77777777" w:rsidR="007F3B6C" w:rsidRPr="00050549" w:rsidRDefault="007F3B6C" w:rsidP="0010344F">
            <w:pPr>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Extent of impact may differ depending on specific Force Majeure situation.</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14:paraId="7D21BDBC" w14:textId="77777777" w:rsidR="007F3B6C" w:rsidRPr="00050549" w:rsidRDefault="007F3B6C" w:rsidP="0010344F">
            <w:pPr>
              <w:jc w:val="left"/>
              <w:rPr>
                <w:rFonts w:ascii="GHEA Grapalat" w:hAnsi="GHEA Grapalat" w:cs="Arial"/>
                <w:color w:val="000000"/>
                <w:sz w:val="18"/>
                <w:szCs w:val="18"/>
                <w:lang w:val="uk-UA"/>
              </w:rPr>
            </w:pPr>
            <w:r w:rsidRPr="00050549">
              <w:rPr>
                <w:rFonts w:ascii="GHEA Grapalat" w:hAnsi="GHEA Grapalat" w:cs="Arial"/>
                <w:color w:val="000000"/>
                <w:sz w:val="18"/>
                <w:szCs w:val="18"/>
                <w:lang w:val="en-GB"/>
              </w:rPr>
              <w:t>-</w:t>
            </w:r>
          </w:p>
        </w:tc>
        <w:tc>
          <w:tcPr>
            <w:tcW w:w="2250" w:type="dxa"/>
            <w:tcBorders>
              <w:top w:val="nil"/>
              <w:left w:val="nil"/>
              <w:bottom w:val="single" w:sz="4" w:space="0" w:color="auto"/>
              <w:right w:val="single" w:sz="4" w:space="0" w:color="auto"/>
            </w:tcBorders>
            <w:shd w:val="clear" w:color="auto" w:fill="auto"/>
            <w:vAlign w:val="center"/>
            <w:hideMark/>
          </w:tcPr>
          <w:p w14:paraId="1278CB2A" w14:textId="77777777" w:rsidR="007F3B6C" w:rsidRPr="00050549" w:rsidRDefault="007F3B6C" w:rsidP="00F11965">
            <w:pPr>
              <w:jc w:val="left"/>
              <w:rPr>
                <w:rFonts w:ascii="GHEA Grapalat" w:hAnsi="GHEA Grapalat" w:cs="Arial"/>
                <w:color w:val="000000"/>
                <w:sz w:val="18"/>
                <w:szCs w:val="18"/>
                <w:lang w:val="uk-UA"/>
              </w:rPr>
            </w:pPr>
            <w:r w:rsidRPr="00050549">
              <w:rPr>
                <w:rFonts w:ascii="GHEA Grapalat" w:hAnsi="GHEA Grapalat" w:cs="Arial"/>
                <w:color w:val="000000"/>
                <w:sz w:val="18"/>
                <w:szCs w:val="18"/>
                <w:lang w:val="en-GB"/>
              </w:rPr>
              <w:t>Such risks cannot be foreseen, although can be mitigated by</w:t>
            </w:r>
            <w:r w:rsidRPr="00050549">
              <w:rPr>
                <w:rFonts w:ascii="GHEA Grapalat" w:hAnsi="GHEA Grapalat" w:cs="Arial"/>
                <w:color w:val="000000"/>
                <w:sz w:val="18"/>
                <w:szCs w:val="18"/>
                <w:lang w:val="uk-UA"/>
              </w:rPr>
              <w:t>:</w:t>
            </w:r>
          </w:p>
          <w:p w14:paraId="3F16B318" w14:textId="77777777" w:rsidR="007F3B6C" w:rsidRPr="00050549" w:rsidRDefault="007F3B6C" w:rsidP="00F11965">
            <w:pPr>
              <w:pStyle w:val="ListParagraph"/>
              <w:numPr>
                <w:ilvl w:val="0"/>
                <w:numId w:val="1"/>
              </w:numPr>
              <w:ind w:left="166" w:hanging="166"/>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preparing crisis management plans</w:t>
            </w:r>
          </w:p>
          <w:p w14:paraId="64E17955" w14:textId="77777777" w:rsidR="007F3B6C" w:rsidRPr="00050549" w:rsidRDefault="007F3B6C" w:rsidP="00F11965">
            <w:pPr>
              <w:pStyle w:val="ListParagraph"/>
              <w:numPr>
                <w:ilvl w:val="0"/>
                <w:numId w:val="1"/>
              </w:numPr>
              <w:ind w:left="166" w:hanging="166"/>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insurance</w:t>
            </w:r>
          </w:p>
          <w:p w14:paraId="38F89503" w14:textId="77777777" w:rsidR="007F3B6C" w:rsidRPr="00050549" w:rsidRDefault="007F3B6C" w:rsidP="00F11965">
            <w:pPr>
              <w:pStyle w:val="ListParagraph"/>
              <w:numPr>
                <w:ilvl w:val="0"/>
                <w:numId w:val="1"/>
              </w:numPr>
              <w:ind w:left="166" w:hanging="166"/>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 xml:space="preserve">adequate force majeure clauses in the contract, </w:t>
            </w:r>
          </w:p>
          <w:p w14:paraId="3379537B" w14:textId="77777777" w:rsidR="007F3B6C" w:rsidRPr="00050549" w:rsidRDefault="007F3B6C" w:rsidP="00F11965">
            <w:pPr>
              <w:pStyle w:val="ListParagraph"/>
              <w:numPr>
                <w:ilvl w:val="0"/>
                <w:numId w:val="1"/>
              </w:numPr>
              <w:ind w:left="166" w:hanging="166"/>
              <w:jc w:val="left"/>
              <w:rPr>
                <w:rFonts w:ascii="GHEA Grapalat" w:hAnsi="GHEA Grapalat" w:cs="Arial"/>
                <w:color w:val="000000"/>
                <w:sz w:val="18"/>
                <w:szCs w:val="18"/>
                <w:lang w:val="en-GB"/>
              </w:rPr>
            </w:pPr>
            <w:r w:rsidRPr="00050549">
              <w:rPr>
                <w:rFonts w:ascii="GHEA Grapalat" w:hAnsi="GHEA Grapalat" w:cs="Arial"/>
                <w:color w:val="000000"/>
                <w:sz w:val="18"/>
                <w:szCs w:val="18"/>
                <w:lang w:val="en-GB"/>
              </w:rPr>
              <w:t>adequate insurance and business continuity planning/disaster recovery planning by the private partner</w:t>
            </w:r>
          </w:p>
        </w:tc>
      </w:tr>
    </w:tbl>
    <w:p w14:paraId="0854F623" w14:textId="77777777" w:rsidR="007F3B6C" w:rsidRPr="00D72019" w:rsidRDefault="007F3B6C" w:rsidP="007F3B6C">
      <w:pPr>
        <w:widowControl w:val="0"/>
        <w:spacing w:after="240"/>
        <w:jc w:val="center"/>
        <w:textDirection w:val="btLr"/>
        <w:rPr>
          <w:rFonts w:ascii="GHEA Grapalat" w:hAnsi="GHEA Grapalat"/>
          <w:b/>
          <w:sz w:val="20"/>
          <w:szCs w:val="20"/>
        </w:rPr>
      </w:pPr>
    </w:p>
    <w:p w14:paraId="2431183D" w14:textId="75A0B428" w:rsidR="007F3B6C" w:rsidRPr="00995606" w:rsidRDefault="00F11965" w:rsidP="00F11965">
      <w:pPr>
        <w:rPr>
          <w:rFonts w:ascii="GHEA Grapalat" w:hAnsi="GHEA Grapalat"/>
          <w:b/>
          <w:bCs/>
          <w:sz w:val="24"/>
          <w:szCs w:val="28"/>
        </w:rPr>
      </w:pPr>
      <w:r w:rsidRPr="00995606">
        <w:rPr>
          <w:rFonts w:ascii="GHEA Grapalat" w:hAnsi="GHEA Grapalat"/>
          <w:b/>
          <w:bCs/>
          <w:sz w:val="24"/>
          <w:szCs w:val="28"/>
        </w:rPr>
        <w:t xml:space="preserve"> </w:t>
      </w:r>
    </w:p>
    <w:sectPr w:rsidR="007F3B6C" w:rsidRPr="00995606" w:rsidSect="007F3B6C">
      <w:footerReference w:type="default" r:id="rId7"/>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6F3D" w14:textId="77777777" w:rsidR="00C21DEE" w:rsidRDefault="00C21DEE" w:rsidP="00582E40">
      <w:r>
        <w:separator/>
      </w:r>
    </w:p>
  </w:endnote>
  <w:endnote w:type="continuationSeparator" w:id="0">
    <w:p w14:paraId="479A06A2" w14:textId="77777777" w:rsidR="00C21DEE" w:rsidRDefault="00C21DEE" w:rsidP="0058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985210"/>
      <w:docPartObj>
        <w:docPartGallery w:val="Page Numbers (Bottom of Page)"/>
        <w:docPartUnique/>
      </w:docPartObj>
    </w:sdtPr>
    <w:sdtEndPr>
      <w:rPr>
        <w:noProof/>
      </w:rPr>
    </w:sdtEndPr>
    <w:sdtContent>
      <w:p w14:paraId="614F26CB" w14:textId="1464E9FE" w:rsidR="00582E40" w:rsidRDefault="00582E40" w:rsidP="00582E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716C0" w14:textId="77777777" w:rsidR="00C21DEE" w:rsidRDefault="00C21DEE" w:rsidP="00582E40">
      <w:r>
        <w:separator/>
      </w:r>
    </w:p>
  </w:footnote>
  <w:footnote w:type="continuationSeparator" w:id="0">
    <w:p w14:paraId="7DE4A0D4" w14:textId="77777777" w:rsidR="00C21DEE" w:rsidRDefault="00C21DEE" w:rsidP="00582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66384"/>
    <w:multiLevelType w:val="multilevel"/>
    <w:tmpl w:val="24C0507A"/>
    <w:lvl w:ilvl="0">
      <w:start w:val="1"/>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05613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B6C"/>
    <w:rsid w:val="000254E1"/>
    <w:rsid w:val="00056C1F"/>
    <w:rsid w:val="000B0F4A"/>
    <w:rsid w:val="00177842"/>
    <w:rsid w:val="001C1C3E"/>
    <w:rsid w:val="001D0261"/>
    <w:rsid w:val="002448EA"/>
    <w:rsid w:val="002954C6"/>
    <w:rsid w:val="003050F9"/>
    <w:rsid w:val="00342DD9"/>
    <w:rsid w:val="003916BB"/>
    <w:rsid w:val="00397EAF"/>
    <w:rsid w:val="003E209C"/>
    <w:rsid w:val="00420351"/>
    <w:rsid w:val="004732C7"/>
    <w:rsid w:val="00525116"/>
    <w:rsid w:val="00547F12"/>
    <w:rsid w:val="00582E40"/>
    <w:rsid w:val="0058416E"/>
    <w:rsid w:val="005E442F"/>
    <w:rsid w:val="005E7E92"/>
    <w:rsid w:val="005E7FD2"/>
    <w:rsid w:val="006246F6"/>
    <w:rsid w:val="006B0BEB"/>
    <w:rsid w:val="006B1A88"/>
    <w:rsid w:val="007A5B48"/>
    <w:rsid w:val="007A638C"/>
    <w:rsid w:val="007A7B49"/>
    <w:rsid w:val="007F14D4"/>
    <w:rsid w:val="007F3B6C"/>
    <w:rsid w:val="00824CBA"/>
    <w:rsid w:val="0086551D"/>
    <w:rsid w:val="008920FD"/>
    <w:rsid w:val="00894047"/>
    <w:rsid w:val="008C345E"/>
    <w:rsid w:val="00995606"/>
    <w:rsid w:val="009A73A8"/>
    <w:rsid w:val="009B2F16"/>
    <w:rsid w:val="009C6948"/>
    <w:rsid w:val="009E67D8"/>
    <w:rsid w:val="00AB54CC"/>
    <w:rsid w:val="00AD54E3"/>
    <w:rsid w:val="00AD54E9"/>
    <w:rsid w:val="00AE269A"/>
    <w:rsid w:val="00AF4F68"/>
    <w:rsid w:val="00B02518"/>
    <w:rsid w:val="00BC40F6"/>
    <w:rsid w:val="00C21DEE"/>
    <w:rsid w:val="00C30BB4"/>
    <w:rsid w:val="00C347BE"/>
    <w:rsid w:val="00C95ABD"/>
    <w:rsid w:val="00CC2178"/>
    <w:rsid w:val="00CD2656"/>
    <w:rsid w:val="00D20087"/>
    <w:rsid w:val="00D2721D"/>
    <w:rsid w:val="00D36C37"/>
    <w:rsid w:val="00E614A7"/>
    <w:rsid w:val="00EB2E96"/>
    <w:rsid w:val="00F11965"/>
    <w:rsid w:val="00F407B4"/>
    <w:rsid w:val="00F95EFD"/>
    <w:rsid w:val="00FB0959"/>
    <w:rsid w:val="00FB47DF"/>
    <w:rsid w:val="00FC1B8D"/>
    <w:rsid w:val="00FE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A227D"/>
  <w15:chartTrackingRefBased/>
  <w15:docId w15:val="{6D9457DB-BD89-4A96-BC12-13664088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B6C"/>
    <w:pPr>
      <w:spacing w:after="0" w:line="240" w:lineRule="auto"/>
      <w:jc w:val="both"/>
    </w:pPr>
    <w:rPr>
      <w:rFonts w:ascii="Arial" w:eastAsia="Times New Roman" w:hAnsi="Arial" w:cs="Times New Roman"/>
      <w:kern w:val="0"/>
      <w:szCs w:val="24"/>
      <w:lang w:val="hy-AM" w:eastAsia="hy-AM" w:bidi="hy-AM"/>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F3B6C"/>
    <w:pPr>
      <w:spacing w:after="0" w:line="240" w:lineRule="auto"/>
    </w:pPr>
    <w:rPr>
      <w:kern w:val="0"/>
      <w:lang w:val="hy-AM" w:eastAsia="hy-AM" w:bidi="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F3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Normal bullet 2,lp1"/>
    <w:basedOn w:val="Normal"/>
    <w:link w:val="ListParagraphChar"/>
    <w:uiPriority w:val="34"/>
    <w:qFormat/>
    <w:rsid w:val="007F3B6C"/>
    <w:pPr>
      <w:ind w:left="720"/>
      <w:contextualSpacing/>
    </w:pPr>
  </w:style>
  <w:style w:type="character" w:customStyle="1" w:styleId="ListParagraphChar">
    <w:name w:val="List Paragraph Char"/>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7F3B6C"/>
    <w:rPr>
      <w:rFonts w:ascii="Arial" w:eastAsia="Times New Roman" w:hAnsi="Arial" w:cs="Times New Roman"/>
      <w:kern w:val="0"/>
      <w:szCs w:val="24"/>
      <w:lang w:val="hy-AM" w:eastAsia="hy-AM" w:bidi="hy-AM"/>
      <w14:ligatures w14:val="none"/>
    </w:rPr>
  </w:style>
  <w:style w:type="paragraph" w:styleId="Header">
    <w:name w:val="header"/>
    <w:basedOn w:val="Normal"/>
    <w:link w:val="HeaderChar"/>
    <w:uiPriority w:val="99"/>
    <w:unhideWhenUsed/>
    <w:rsid w:val="00582E40"/>
    <w:pPr>
      <w:tabs>
        <w:tab w:val="center" w:pos="4680"/>
        <w:tab w:val="right" w:pos="9360"/>
      </w:tabs>
    </w:pPr>
  </w:style>
  <w:style w:type="character" w:customStyle="1" w:styleId="HeaderChar">
    <w:name w:val="Header Char"/>
    <w:basedOn w:val="DefaultParagraphFont"/>
    <w:link w:val="Header"/>
    <w:uiPriority w:val="99"/>
    <w:rsid w:val="00582E40"/>
    <w:rPr>
      <w:rFonts w:ascii="Arial" w:eastAsia="Times New Roman" w:hAnsi="Arial" w:cs="Times New Roman"/>
      <w:kern w:val="0"/>
      <w:szCs w:val="24"/>
      <w:lang w:val="hy-AM" w:eastAsia="hy-AM" w:bidi="hy-AM"/>
      <w14:ligatures w14:val="none"/>
    </w:rPr>
  </w:style>
  <w:style w:type="paragraph" w:styleId="Footer">
    <w:name w:val="footer"/>
    <w:basedOn w:val="Normal"/>
    <w:link w:val="FooterChar"/>
    <w:uiPriority w:val="99"/>
    <w:unhideWhenUsed/>
    <w:rsid w:val="00582E40"/>
    <w:pPr>
      <w:tabs>
        <w:tab w:val="center" w:pos="4680"/>
        <w:tab w:val="right" w:pos="9360"/>
      </w:tabs>
    </w:pPr>
  </w:style>
  <w:style w:type="character" w:customStyle="1" w:styleId="FooterChar">
    <w:name w:val="Footer Char"/>
    <w:basedOn w:val="DefaultParagraphFont"/>
    <w:link w:val="Footer"/>
    <w:uiPriority w:val="99"/>
    <w:rsid w:val="00582E40"/>
    <w:rPr>
      <w:rFonts w:ascii="Arial" w:eastAsia="Times New Roman" w:hAnsi="Arial" w:cs="Times New Roman"/>
      <w:kern w:val="0"/>
      <w:szCs w:val="24"/>
      <w:lang w:val="hy-AM" w:eastAsia="hy-AM" w:bidi="hy-AM"/>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15</Pages>
  <Words>4217</Words>
  <Characters>24038</Characters>
  <Application>Microsoft Office Word</Application>
  <DocSecurity>0</DocSecurity>
  <Lines>200</Lines>
  <Paragraphs>56</Paragraphs>
  <ScaleCrop>false</ScaleCrop>
  <Company/>
  <LinksUpToDate>false</LinksUpToDate>
  <CharactersWithSpaces>28199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Babayan</dc:creator>
  <cp:keywords/>
  <dc:description/>
  <cp:lastModifiedBy>Aneta Babayan</cp:lastModifiedBy>
  <cp:revision>42</cp:revision>
  <dcterms:created xsi:type="dcterms:W3CDTF">2023-12-08T13:02:00Z</dcterms:created>
  <dcterms:modified xsi:type="dcterms:W3CDTF">2023-12-27T07:07:00Z</dcterms:modified>
</cp:coreProperties>
</file>