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EFCBC" w14:textId="36CC2BFF" w:rsidR="007F3B6C" w:rsidRPr="00A84C68" w:rsidRDefault="007F3B6C" w:rsidP="007F3B6C">
      <w:pPr>
        <w:spacing w:line="259" w:lineRule="auto"/>
        <w:jc w:val="right"/>
        <w:rPr>
          <w:rFonts w:ascii="GHEA Grapalat" w:hAnsi="GHEA Grapalat"/>
        </w:rPr>
      </w:pPr>
      <w:r>
        <w:rPr>
          <w:rFonts w:ascii="GHEA Grapalat" w:hAnsi="GHEA Grapalat"/>
        </w:rPr>
        <w:t>Հ</w:t>
      </w:r>
      <w:r w:rsidRPr="005E5785">
        <w:rPr>
          <w:rFonts w:ascii="GHEA Grapalat" w:hAnsi="GHEA Grapalat"/>
        </w:rPr>
        <w:t>ավելված</w:t>
      </w:r>
      <w:r>
        <w:rPr>
          <w:rFonts w:ascii="GHEA Grapalat" w:hAnsi="GHEA Grapalat"/>
        </w:rPr>
        <w:t xml:space="preserve"> 1</w:t>
      </w:r>
      <w:r w:rsidR="00A84C68" w:rsidRPr="00A84C68">
        <w:rPr>
          <w:rFonts w:ascii="Cambria Math" w:hAnsi="Cambria Math" w:cs="Cambria Math"/>
        </w:rPr>
        <w:t>․</w:t>
      </w:r>
      <w:r w:rsidR="00860740">
        <w:rPr>
          <w:rFonts w:ascii="GHEA Grapalat" w:hAnsi="GHEA Grapalat"/>
        </w:rPr>
        <w:t>2</w:t>
      </w:r>
    </w:p>
    <w:p w14:paraId="09E27F1C" w14:textId="77777777" w:rsidR="007F3B6C" w:rsidRPr="005E5785" w:rsidRDefault="007F3B6C" w:rsidP="007F3B6C">
      <w:pPr>
        <w:spacing w:line="259" w:lineRule="auto"/>
        <w:jc w:val="right"/>
        <w:rPr>
          <w:rFonts w:ascii="GHEA Grapalat" w:hAnsi="GHEA Grapalat"/>
        </w:rPr>
      </w:pPr>
      <w:r w:rsidRPr="005E5785">
        <w:rPr>
          <w:rFonts w:ascii="GHEA Grapalat" w:hAnsi="GHEA Grapalat"/>
        </w:rPr>
        <w:t xml:space="preserve"> ՀՀ կառավարության 2023 թվականի</w:t>
      </w:r>
    </w:p>
    <w:p w14:paraId="5132FB3C" w14:textId="5EB5CF25" w:rsidR="007F3B6C" w:rsidRDefault="007F3B6C" w:rsidP="007F3B6C">
      <w:pPr>
        <w:spacing w:line="259" w:lineRule="auto"/>
        <w:jc w:val="right"/>
        <w:rPr>
          <w:rFonts w:ascii="GHEA Grapalat" w:hAnsi="GHEA Grapalat"/>
        </w:rPr>
      </w:pPr>
      <w:r w:rsidRPr="005E5785">
        <w:rPr>
          <w:rFonts w:ascii="GHEA Grapalat" w:hAnsi="GHEA Grapalat"/>
        </w:rPr>
        <w:t xml:space="preserve"> դեկտեմբերի </w:t>
      </w:r>
      <w:r w:rsidRPr="00C120A3">
        <w:rPr>
          <w:rFonts w:ascii="GHEA Grapalat" w:hAnsi="GHEA Grapalat"/>
          <w:highlight w:val="yellow"/>
        </w:rPr>
        <w:t>[  ]</w:t>
      </w:r>
      <w:r w:rsidRPr="005E5785">
        <w:rPr>
          <w:rFonts w:ascii="GHEA Grapalat" w:hAnsi="GHEA Grapalat"/>
        </w:rPr>
        <w:t xml:space="preserve">-ի N </w:t>
      </w:r>
      <w:r w:rsidRPr="00C120A3">
        <w:rPr>
          <w:rFonts w:ascii="GHEA Grapalat" w:hAnsi="GHEA Grapalat"/>
          <w:highlight w:val="yellow"/>
        </w:rPr>
        <w:t>[  ]</w:t>
      </w:r>
      <w:r>
        <w:rPr>
          <w:rFonts w:ascii="GHEA Grapalat" w:hAnsi="GHEA Grapalat"/>
        </w:rPr>
        <w:t xml:space="preserve"> </w:t>
      </w:r>
      <w:r w:rsidRPr="005E5785">
        <w:rPr>
          <w:rFonts w:ascii="GHEA Grapalat" w:hAnsi="GHEA Grapalat"/>
        </w:rPr>
        <w:t>-</w:t>
      </w:r>
      <w:r>
        <w:rPr>
          <w:rFonts w:ascii="GHEA Grapalat" w:hAnsi="GHEA Grapalat"/>
        </w:rPr>
        <w:t xml:space="preserve"> </w:t>
      </w:r>
      <w:r w:rsidR="00860740">
        <w:rPr>
          <w:rFonts w:ascii="GHEA Grapalat" w:hAnsi="GHEA Grapalat"/>
        </w:rPr>
        <w:t>Ա</w:t>
      </w:r>
      <w:r w:rsidRPr="005E5785">
        <w:rPr>
          <w:rFonts w:ascii="GHEA Grapalat" w:hAnsi="GHEA Grapalat"/>
        </w:rPr>
        <w:t xml:space="preserve"> որոշման</w:t>
      </w:r>
    </w:p>
    <w:p w14:paraId="2BDD1121" w14:textId="77777777" w:rsidR="007F3B6C" w:rsidRPr="00D72019" w:rsidRDefault="007F3B6C" w:rsidP="007F3B6C">
      <w:pPr>
        <w:widowControl w:val="0"/>
        <w:spacing w:after="120"/>
        <w:jc w:val="center"/>
        <w:textDirection w:val="btLr"/>
        <w:rPr>
          <w:rFonts w:ascii="GHEA Grapalat" w:hAnsi="GHEA Grapalat"/>
          <w:b/>
          <w:bCs/>
          <w:sz w:val="24"/>
        </w:rPr>
      </w:pPr>
      <w:r w:rsidRPr="00D72019">
        <w:rPr>
          <w:rFonts w:ascii="GHEA Grapalat" w:hAnsi="GHEA Grapalat"/>
          <w:b/>
          <w:bCs/>
          <w:sz w:val="24"/>
        </w:rPr>
        <w:t>ՌԻՍԿԵՐԻ ՄԱՏՐԻՑ</w:t>
      </w:r>
    </w:p>
    <w:p w14:paraId="5AE6DAC8" w14:textId="0B04DEE0" w:rsidR="007F3B6C" w:rsidRDefault="00B02518" w:rsidP="007F3B6C">
      <w:pPr>
        <w:widowControl w:val="0"/>
        <w:spacing w:after="240"/>
        <w:jc w:val="center"/>
        <w:textDirection w:val="btLr"/>
        <w:rPr>
          <w:rFonts w:ascii="GHEA Grapalat" w:hAnsi="GHEA Grapalat"/>
          <w:b/>
          <w:bCs/>
          <w:sz w:val="24"/>
        </w:rPr>
      </w:pPr>
      <w:r>
        <w:rPr>
          <w:rFonts w:ascii="GHEA Grapalat" w:hAnsi="GHEA Grapalat"/>
          <w:b/>
          <w:bCs/>
          <w:sz w:val="24"/>
        </w:rPr>
        <w:t>Հայաստանի Հանրապետությունում կ</w:t>
      </w:r>
      <w:r w:rsidR="007F3B6C" w:rsidRPr="00D72019">
        <w:rPr>
          <w:rFonts w:ascii="GHEA Grapalat" w:hAnsi="GHEA Grapalat"/>
          <w:b/>
          <w:bCs/>
          <w:sz w:val="24"/>
        </w:rPr>
        <w:t>ենսաչափական անձնագր</w:t>
      </w:r>
      <w:r>
        <w:rPr>
          <w:rFonts w:ascii="GHEA Grapalat" w:hAnsi="GHEA Grapalat"/>
          <w:b/>
          <w:bCs/>
          <w:sz w:val="24"/>
        </w:rPr>
        <w:t>եր</w:t>
      </w:r>
      <w:r w:rsidR="007F3B6C" w:rsidRPr="00D72019">
        <w:rPr>
          <w:rFonts w:ascii="GHEA Grapalat" w:hAnsi="GHEA Grapalat"/>
          <w:b/>
          <w:bCs/>
          <w:sz w:val="24"/>
        </w:rPr>
        <w:t>ի և նույնականացման քարտ</w:t>
      </w:r>
      <w:r>
        <w:rPr>
          <w:rFonts w:ascii="GHEA Grapalat" w:hAnsi="GHEA Grapalat"/>
          <w:b/>
          <w:bCs/>
          <w:sz w:val="24"/>
        </w:rPr>
        <w:t>եր</w:t>
      </w:r>
      <w:r w:rsidR="007F3B6C" w:rsidRPr="00D72019">
        <w:rPr>
          <w:rFonts w:ascii="GHEA Grapalat" w:hAnsi="GHEA Grapalat"/>
          <w:b/>
          <w:bCs/>
          <w:sz w:val="24"/>
        </w:rPr>
        <w:t xml:space="preserve">ի տրամադրման </w:t>
      </w:r>
      <w:r>
        <w:rPr>
          <w:rFonts w:ascii="GHEA Grapalat" w:hAnsi="GHEA Grapalat"/>
          <w:b/>
          <w:bCs/>
          <w:sz w:val="24"/>
        </w:rPr>
        <w:t>ենթակառուցվածքի</w:t>
      </w:r>
      <w:r w:rsidR="007F3B6C" w:rsidRPr="00D72019">
        <w:rPr>
          <w:rFonts w:ascii="GHEA Grapalat" w:hAnsi="GHEA Grapalat"/>
          <w:b/>
          <w:bCs/>
          <w:sz w:val="24"/>
        </w:rPr>
        <w:t xml:space="preserve"> պետություն-մասնավոր գործընկերության ծրագրի</w:t>
      </w:r>
    </w:p>
    <w:tbl>
      <w:tblPr>
        <w:tblStyle w:val="TableGrid1"/>
        <w:tblW w:w="16291" w:type="dxa"/>
        <w:jc w:val="center"/>
        <w:tblLayout w:type="fixed"/>
        <w:tblLook w:val="04A0" w:firstRow="1" w:lastRow="0" w:firstColumn="1" w:lastColumn="0" w:noHBand="0" w:noVBand="1"/>
      </w:tblPr>
      <w:tblGrid>
        <w:gridCol w:w="688"/>
        <w:gridCol w:w="1958"/>
        <w:gridCol w:w="2247"/>
        <w:gridCol w:w="1160"/>
        <w:gridCol w:w="1241"/>
        <w:gridCol w:w="1047"/>
        <w:gridCol w:w="1104"/>
        <w:gridCol w:w="2515"/>
        <w:gridCol w:w="1715"/>
        <w:gridCol w:w="2610"/>
        <w:gridCol w:w="6"/>
      </w:tblGrid>
      <w:tr w:rsidR="007F3B6C" w:rsidRPr="00B46168" w14:paraId="7730A843" w14:textId="77777777" w:rsidTr="00A84C68">
        <w:trPr>
          <w:gridAfter w:val="1"/>
          <w:wAfter w:w="6" w:type="dxa"/>
          <w:trHeight w:val="422"/>
          <w:tblHeader/>
          <w:jc w:val="center"/>
        </w:trPr>
        <w:tc>
          <w:tcPr>
            <w:tcW w:w="688" w:type="dxa"/>
            <w:vMerge w:val="restart"/>
            <w:shd w:val="clear" w:color="auto" w:fill="D9D9D9" w:themeFill="background1" w:themeFillShade="D9"/>
            <w:vAlign w:val="center"/>
            <w:hideMark/>
          </w:tcPr>
          <w:p w14:paraId="32FC7A24"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Թիվ</w:t>
            </w:r>
          </w:p>
        </w:tc>
        <w:tc>
          <w:tcPr>
            <w:tcW w:w="1958" w:type="dxa"/>
            <w:vMerge w:val="restart"/>
            <w:shd w:val="clear" w:color="auto" w:fill="D9D9D9" w:themeFill="background1" w:themeFillShade="D9"/>
            <w:vAlign w:val="center"/>
            <w:hideMark/>
          </w:tcPr>
          <w:p w14:paraId="1AE69258"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Ռիսկ</w:t>
            </w:r>
          </w:p>
        </w:tc>
        <w:tc>
          <w:tcPr>
            <w:tcW w:w="2247" w:type="dxa"/>
            <w:vMerge w:val="restart"/>
            <w:shd w:val="clear" w:color="auto" w:fill="D9D9D9" w:themeFill="background1" w:themeFillShade="D9"/>
            <w:vAlign w:val="center"/>
            <w:hideMark/>
          </w:tcPr>
          <w:p w14:paraId="1A88F697"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Ռիսկերի նկարագրություն</w:t>
            </w:r>
          </w:p>
        </w:tc>
        <w:tc>
          <w:tcPr>
            <w:tcW w:w="2401" w:type="dxa"/>
            <w:gridSpan w:val="2"/>
            <w:shd w:val="clear" w:color="auto" w:fill="D9D9D9" w:themeFill="background1" w:themeFillShade="D9"/>
            <w:vAlign w:val="center"/>
            <w:hideMark/>
          </w:tcPr>
          <w:p w14:paraId="1368B050"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Ռիսկերի բաշխում</w:t>
            </w:r>
          </w:p>
        </w:tc>
        <w:tc>
          <w:tcPr>
            <w:tcW w:w="1047" w:type="dxa"/>
            <w:vMerge w:val="restart"/>
            <w:shd w:val="clear" w:color="auto" w:fill="D9D9D9" w:themeFill="background1" w:themeFillShade="D9"/>
            <w:vAlign w:val="center"/>
            <w:hideMark/>
          </w:tcPr>
          <w:p w14:paraId="32409C0B"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Հավա-նակա-նություն</w:t>
            </w:r>
          </w:p>
        </w:tc>
        <w:tc>
          <w:tcPr>
            <w:tcW w:w="1104" w:type="dxa"/>
            <w:vMerge w:val="restart"/>
            <w:shd w:val="clear" w:color="auto" w:fill="D9D9D9" w:themeFill="background1" w:themeFillShade="D9"/>
            <w:vAlign w:val="center"/>
            <w:hideMark/>
          </w:tcPr>
          <w:p w14:paraId="73AF2790"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Ազդե-ցություն</w:t>
            </w:r>
          </w:p>
        </w:tc>
        <w:tc>
          <w:tcPr>
            <w:tcW w:w="2515" w:type="dxa"/>
            <w:vMerge w:val="restart"/>
            <w:shd w:val="clear" w:color="auto" w:fill="D9D9D9" w:themeFill="background1" w:themeFillShade="D9"/>
            <w:vAlign w:val="center"/>
          </w:tcPr>
          <w:p w14:paraId="218DA9CA"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Ազդեցության նկարագրություն</w:t>
            </w:r>
          </w:p>
        </w:tc>
        <w:tc>
          <w:tcPr>
            <w:tcW w:w="1715" w:type="dxa"/>
            <w:vMerge w:val="restart"/>
            <w:shd w:val="clear" w:color="auto" w:fill="D9D9D9" w:themeFill="background1" w:themeFillShade="D9"/>
            <w:vAlign w:val="center"/>
            <w:hideMark/>
          </w:tcPr>
          <w:p w14:paraId="52B76234"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Ռիսկերի ընդհանուր արժեք, ԱՄՆ դոլար</w:t>
            </w:r>
          </w:p>
        </w:tc>
        <w:tc>
          <w:tcPr>
            <w:tcW w:w="2610" w:type="dxa"/>
            <w:vMerge w:val="restart"/>
            <w:shd w:val="clear" w:color="auto" w:fill="D9D9D9" w:themeFill="background1" w:themeFillShade="D9"/>
            <w:vAlign w:val="center"/>
            <w:hideMark/>
          </w:tcPr>
          <w:p w14:paraId="603F4B17" w14:textId="77777777" w:rsidR="007F3B6C" w:rsidRPr="00B46168" w:rsidRDefault="007F3B6C" w:rsidP="0010344F">
            <w:pPr>
              <w:widowControl w:val="0"/>
              <w:suppressAutoHyphens/>
              <w:jc w:val="center"/>
              <w:rPr>
                <w:rFonts w:ascii="GHEA Grapalat" w:hAnsi="GHEA Grapalat" w:cs="Arial"/>
                <w:b/>
                <w:color w:val="000000" w:themeColor="text1"/>
                <w:sz w:val="18"/>
                <w:szCs w:val="18"/>
                <w:lang w:val="en-US"/>
              </w:rPr>
            </w:pPr>
            <w:r w:rsidRPr="00B46168">
              <w:rPr>
                <w:rFonts w:ascii="GHEA Grapalat" w:hAnsi="GHEA Grapalat"/>
                <w:b/>
                <w:color w:val="000000" w:themeColor="text1"/>
                <w:sz w:val="18"/>
                <w:szCs w:val="18"/>
              </w:rPr>
              <w:t>Ռիսկի կառավարմանն ուղղված գործողություններ</w:t>
            </w:r>
          </w:p>
        </w:tc>
      </w:tr>
      <w:tr w:rsidR="007F3B6C" w:rsidRPr="00B46168" w14:paraId="3EB5C22E" w14:textId="77777777" w:rsidTr="00A84C68">
        <w:trPr>
          <w:gridAfter w:val="1"/>
          <w:wAfter w:w="6" w:type="dxa"/>
          <w:trHeight w:val="440"/>
          <w:tblHeader/>
          <w:jc w:val="center"/>
        </w:trPr>
        <w:tc>
          <w:tcPr>
            <w:tcW w:w="688" w:type="dxa"/>
            <w:vMerge/>
            <w:shd w:val="clear" w:color="auto" w:fill="D9D9D9" w:themeFill="background1" w:themeFillShade="D9"/>
            <w:hideMark/>
          </w:tcPr>
          <w:p w14:paraId="20B41CA9"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1958" w:type="dxa"/>
            <w:vMerge/>
            <w:shd w:val="clear" w:color="auto" w:fill="D9D9D9" w:themeFill="background1" w:themeFillShade="D9"/>
            <w:hideMark/>
          </w:tcPr>
          <w:p w14:paraId="38BC3EDC"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2247" w:type="dxa"/>
            <w:vMerge/>
            <w:shd w:val="clear" w:color="auto" w:fill="D9D9D9" w:themeFill="background1" w:themeFillShade="D9"/>
            <w:hideMark/>
          </w:tcPr>
          <w:p w14:paraId="28C451FE"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1160" w:type="dxa"/>
            <w:shd w:val="clear" w:color="auto" w:fill="D9D9D9" w:themeFill="background1" w:themeFillShade="D9"/>
            <w:vAlign w:val="center"/>
            <w:hideMark/>
          </w:tcPr>
          <w:p w14:paraId="0E8A4F79" w14:textId="77777777" w:rsidR="007F3B6C" w:rsidRPr="00B46168" w:rsidRDefault="007F3B6C" w:rsidP="0010344F">
            <w:pPr>
              <w:widowControl w:val="0"/>
              <w:suppressAutoHyphens/>
              <w:ind w:left="-54" w:right="-78"/>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Պետական</w:t>
            </w:r>
          </w:p>
        </w:tc>
        <w:tc>
          <w:tcPr>
            <w:tcW w:w="1241" w:type="dxa"/>
            <w:shd w:val="clear" w:color="auto" w:fill="D9D9D9" w:themeFill="background1" w:themeFillShade="D9"/>
            <w:vAlign w:val="center"/>
            <w:hideMark/>
          </w:tcPr>
          <w:p w14:paraId="6B179265" w14:textId="77777777" w:rsidR="007F3B6C" w:rsidRPr="00B46168" w:rsidRDefault="007F3B6C" w:rsidP="0010344F">
            <w:pPr>
              <w:widowControl w:val="0"/>
              <w:suppressAutoHyphens/>
              <w:ind w:left="-54" w:right="-78"/>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Մասնավոր</w:t>
            </w:r>
          </w:p>
        </w:tc>
        <w:tc>
          <w:tcPr>
            <w:tcW w:w="1047" w:type="dxa"/>
            <w:vMerge/>
            <w:shd w:val="clear" w:color="auto" w:fill="D9D9D9" w:themeFill="background1" w:themeFillShade="D9"/>
            <w:hideMark/>
          </w:tcPr>
          <w:p w14:paraId="02582ACD"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1104" w:type="dxa"/>
            <w:vMerge/>
            <w:shd w:val="clear" w:color="auto" w:fill="D9D9D9" w:themeFill="background1" w:themeFillShade="D9"/>
            <w:hideMark/>
          </w:tcPr>
          <w:p w14:paraId="0B6EA290"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2515" w:type="dxa"/>
            <w:vMerge/>
            <w:shd w:val="clear" w:color="auto" w:fill="D9D9D9" w:themeFill="background1" w:themeFillShade="D9"/>
          </w:tcPr>
          <w:p w14:paraId="2E5F289C"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1715" w:type="dxa"/>
            <w:vMerge/>
            <w:shd w:val="clear" w:color="auto" w:fill="D9D9D9" w:themeFill="background1" w:themeFillShade="D9"/>
            <w:hideMark/>
          </w:tcPr>
          <w:p w14:paraId="13A5BF48"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c>
          <w:tcPr>
            <w:tcW w:w="2610" w:type="dxa"/>
            <w:vMerge/>
            <w:shd w:val="clear" w:color="auto" w:fill="D9D9D9" w:themeFill="background1" w:themeFillShade="D9"/>
            <w:hideMark/>
          </w:tcPr>
          <w:p w14:paraId="58A7F6D9"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p>
        </w:tc>
      </w:tr>
      <w:tr w:rsidR="007F3B6C" w:rsidRPr="00B46168" w14:paraId="085D82D3" w14:textId="77777777" w:rsidTr="00A84C68">
        <w:trPr>
          <w:jc w:val="center"/>
        </w:trPr>
        <w:tc>
          <w:tcPr>
            <w:tcW w:w="16291" w:type="dxa"/>
            <w:gridSpan w:val="11"/>
            <w:shd w:val="clear" w:color="auto" w:fill="D9D9D9" w:themeFill="background1" w:themeFillShade="D9"/>
          </w:tcPr>
          <w:p w14:paraId="5DE72AB0" w14:textId="77777777" w:rsidR="007F3B6C" w:rsidRPr="00B46168" w:rsidRDefault="007F3B6C" w:rsidP="0010344F">
            <w:pPr>
              <w:widowControl w:val="0"/>
              <w:suppressAutoHyphens/>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 xml:space="preserve">Մրցույթին բնորոշ ռիսկեր </w:t>
            </w:r>
          </w:p>
        </w:tc>
      </w:tr>
      <w:tr w:rsidR="007F3B6C" w:rsidRPr="00B46168" w14:paraId="234C602D" w14:textId="77777777" w:rsidTr="00A84C68">
        <w:trPr>
          <w:gridAfter w:val="1"/>
          <w:wAfter w:w="6" w:type="dxa"/>
          <w:jc w:val="center"/>
        </w:trPr>
        <w:tc>
          <w:tcPr>
            <w:tcW w:w="688" w:type="dxa"/>
            <w:shd w:val="clear" w:color="auto" w:fill="D9D9D9" w:themeFill="background1" w:themeFillShade="D9"/>
            <w:hideMark/>
          </w:tcPr>
          <w:p w14:paraId="067086D0"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w:t>
            </w:r>
          </w:p>
        </w:tc>
        <w:tc>
          <w:tcPr>
            <w:tcW w:w="1958" w:type="dxa"/>
            <w:shd w:val="clear" w:color="auto" w:fill="D9D9D9" w:themeFill="background1" w:themeFillShade="D9"/>
            <w:hideMark/>
          </w:tcPr>
          <w:p w14:paraId="25F088D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Չկայացած կամ բողոքարկված մրցույթ</w:t>
            </w:r>
          </w:p>
        </w:tc>
        <w:tc>
          <w:tcPr>
            <w:tcW w:w="2247" w:type="dxa"/>
            <w:hideMark/>
          </w:tcPr>
          <w:p w14:paraId="17BE918D"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Հայտերի անբավարար թիվ, թերի հայտեր, իրավական գործողություններ, մրցույթներում խարդախության ռիսկ և այլն</w:t>
            </w:r>
          </w:p>
        </w:tc>
        <w:tc>
          <w:tcPr>
            <w:tcW w:w="1160" w:type="dxa"/>
            <w:hideMark/>
          </w:tcPr>
          <w:p w14:paraId="04E281DA"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hideMark/>
          </w:tcPr>
          <w:p w14:paraId="009C4172"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05875D3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350F3C8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490F11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Կարող է հետաձգվել ծրագրի մեկնարկի ամսաթիվը (և ի վերջո օգուտների ժամանակին իրացումը)՝ պայմանավորված մրցույթի բողոքարկման դեպքում հնարավոր դատական գործընթացներով, մրցույթի վերակազմակերպման, իսկ չկայացած մրցույթի դեպքում՝ այն կրկին հայտարարելու անհրաժեշտությամբ։ Դա նաև կհանգեցնի մրցույթի նախապատրաստման ուղղությամբ ջանքերի կրկնապատկման և պետական ծախսերի ավելացման։</w:t>
            </w:r>
          </w:p>
        </w:tc>
        <w:tc>
          <w:tcPr>
            <w:tcW w:w="1715" w:type="dxa"/>
          </w:tcPr>
          <w:p w14:paraId="677D0FA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 </w:t>
            </w:r>
          </w:p>
          <w:p w14:paraId="43CF30A8" w14:textId="77777777" w:rsidR="007F3B6C" w:rsidRPr="00B46168" w:rsidRDefault="007F3B6C" w:rsidP="0010344F">
            <w:pPr>
              <w:widowControl w:val="0"/>
              <w:suppressAutoHyphens/>
              <w:jc w:val="left"/>
              <w:rPr>
                <w:rFonts w:ascii="GHEA Grapalat" w:hAnsi="GHEA Grapalat" w:cs="Arial"/>
                <w:color w:val="000000" w:themeColor="text1"/>
                <w:sz w:val="18"/>
                <w:szCs w:val="18"/>
                <w:lang w:val="en-US"/>
              </w:rPr>
            </w:pPr>
            <w:r w:rsidRPr="00B46168">
              <w:rPr>
                <w:rFonts w:ascii="GHEA Grapalat" w:hAnsi="GHEA Grapalat"/>
                <w:color w:val="000000" w:themeColor="text1"/>
                <w:sz w:val="18"/>
                <w:szCs w:val="18"/>
              </w:rPr>
              <w:t>-</w:t>
            </w:r>
          </w:p>
        </w:tc>
        <w:tc>
          <w:tcPr>
            <w:tcW w:w="2610" w:type="dxa"/>
            <w:hideMark/>
          </w:tcPr>
          <w:p w14:paraId="7E8A863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Շուկայի վերաբերյալ խորհրդակցություն / շուկայի ուսումնասիրության գործընթաց և հնարավոր մասնակիցների վաղ ներգրավում։</w:t>
            </w:r>
          </w:p>
        </w:tc>
      </w:tr>
      <w:tr w:rsidR="007F3B6C" w:rsidRPr="00B46168" w14:paraId="13EEF165" w14:textId="77777777" w:rsidTr="00A84C68">
        <w:trPr>
          <w:gridAfter w:val="1"/>
          <w:wAfter w:w="6" w:type="dxa"/>
          <w:jc w:val="center"/>
        </w:trPr>
        <w:tc>
          <w:tcPr>
            <w:tcW w:w="688" w:type="dxa"/>
            <w:shd w:val="clear" w:color="auto" w:fill="D9D9D9" w:themeFill="background1" w:themeFillShade="D9"/>
          </w:tcPr>
          <w:p w14:paraId="441250A0"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w:t>
            </w:r>
          </w:p>
        </w:tc>
        <w:tc>
          <w:tcPr>
            <w:tcW w:w="1958" w:type="dxa"/>
            <w:shd w:val="clear" w:color="auto" w:fill="D9D9D9" w:themeFill="background1" w:themeFillShade="D9"/>
          </w:tcPr>
          <w:p w14:paraId="0DABDF6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Ոչ բարեխիղճ մասնակիցների ընտրություն/ կամ ընտրված բարեխիղճ մասնակցի սեփականության </w:t>
            </w:r>
            <w:r w:rsidRPr="00B46168">
              <w:rPr>
                <w:rFonts w:ascii="GHEA Grapalat" w:hAnsi="GHEA Grapalat"/>
                <w:color w:val="000000" w:themeColor="text1"/>
                <w:sz w:val="18"/>
                <w:szCs w:val="18"/>
              </w:rPr>
              <w:lastRenderedPageBreak/>
              <w:t>իրավունքի փոխանցում</w:t>
            </w:r>
          </w:p>
        </w:tc>
        <w:tc>
          <w:tcPr>
            <w:tcW w:w="2247" w:type="dxa"/>
          </w:tcPr>
          <w:p w14:paraId="15A5F44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Մասնակիցների ընտրություն կամ ընտրված այն մասնակիցների սեփականության իրավունքների </w:t>
            </w:r>
            <w:r w:rsidRPr="00B46168">
              <w:rPr>
                <w:rFonts w:ascii="GHEA Grapalat" w:hAnsi="GHEA Grapalat"/>
                <w:color w:val="000000" w:themeColor="text1"/>
                <w:sz w:val="18"/>
                <w:szCs w:val="18"/>
              </w:rPr>
              <w:lastRenderedPageBreak/>
              <w:t>փոխանցում, որոնք կարող են վտանգավոր լինել ազգային անվտանգության տեսանկյունից։</w:t>
            </w:r>
          </w:p>
        </w:tc>
        <w:tc>
          <w:tcPr>
            <w:tcW w:w="1160" w:type="dxa"/>
          </w:tcPr>
          <w:p w14:paraId="1A99A97B"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100%</w:t>
            </w:r>
          </w:p>
        </w:tc>
        <w:tc>
          <w:tcPr>
            <w:tcW w:w="1241" w:type="dxa"/>
          </w:tcPr>
          <w:p w14:paraId="14078B0F"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tcPr>
          <w:p w14:paraId="006E7AD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15-40 %</w:t>
            </w:r>
          </w:p>
        </w:tc>
        <w:tc>
          <w:tcPr>
            <w:tcW w:w="1104" w:type="dxa"/>
          </w:tcPr>
          <w:p w14:paraId="296B736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1A3631F3"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Ոչ բարեխիղճ մասնակիցների ընտրություն կամ ընտրված այն մասնակիցների սեփականության իրավունքների </w:t>
            </w:r>
            <w:r w:rsidRPr="00B46168">
              <w:rPr>
                <w:rFonts w:ascii="GHEA Grapalat" w:hAnsi="GHEA Grapalat"/>
                <w:color w:val="000000" w:themeColor="text1"/>
                <w:sz w:val="18"/>
                <w:szCs w:val="18"/>
              </w:rPr>
              <w:lastRenderedPageBreak/>
              <w:t>փոխանցում, որոնք կարող են սպառնալիք լինել ազգային անվտանգության համար։</w:t>
            </w:r>
          </w:p>
        </w:tc>
        <w:tc>
          <w:tcPr>
            <w:tcW w:w="1715" w:type="dxa"/>
          </w:tcPr>
          <w:p w14:paraId="2C26F0D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w:t>
            </w:r>
          </w:p>
        </w:tc>
        <w:tc>
          <w:tcPr>
            <w:tcW w:w="2610" w:type="dxa"/>
          </w:tcPr>
          <w:p w14:paraId="6CF3053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 ԱԱԾ-ի թույլտվությունը՝ մասնակիցների մասնակցության իրավունքն իրացնելու համար։</w:t>
            </w:r>
          </w:p>
          <w:p w14:paraId="421D1180"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2. ԱԳՆ-ի և Պաշտպանության </w:t>
            </w:r>
            <w:r w:rsidRPr="00B46168">
              <w:rPr>
                <w:rFonts w:ascii="GHEA Grapalat" w:hAnsi="GHEA Grapalat"/>
                <w:color w:val="000000" w:themeColor="text1"/>
                <w:sz w:val="18"/>
                <w:szCs w:val="18"/>
              </w:rPr>
              <w:lastRenderedPageBreak/>
              <w:t>նախարարության թույլտվությունը՝ օտարերկրյա և օտարերկրյա սեփականություն համարվող մասնակիցների համար։</w:t>
            </w:r>
          </w:p>
          <w:p w14:paraId="7035220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3. Որակավորման/ մասնակցության իրավունքի ձեռքբերման չափորոշիչներով սահմանափակվում է պետական սեփականություն համարվող ձեռնարկությունների մասնակցությունն այն դեպքում, երբ պետությունն իրականացնում է զգալի հսկողություն՝ տիրապետելով 100% բաժնետոմսերին, բաժնետոմսերի հսկիչ փաթեթին կամ բաժնետոմսերի զգալի մինորիտար փաթեթին։</w:t>
            </w:r>
          </w:p>
          <w:p w14:paraId="41667DA5" w14:textId="2D25AF6F"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4. Պայմանագրի գործողության ընթացքում մասնավոր գործընկերոջ ուղղակի կամ անուղղակի սեփականության իրավունքը չի փոխանցվում առանց </w:t>
            </w:r>
            <w:r w:rsidR="002448EA">
              <w:rPr>
                <w:rFonts w:ascii="GHEA Grapalat" w:hAnsi="GHEA Grapalat"/>
                <w:color w:val="000000" w:themeColor="text1"/>
                <w:sz w:val="18"/>
                <w:szCs w:val="18"/>
              </w:rPr>
              <w:t xml:space="preserve">Հայաստանի կառավարության </w:t>
            </w:r>
            <w:r w:rsidR="002448EA" w:rsidRPr="002448EA">
              <w:rPr>
                <w:rFonts w:ascii="GHEA Grapalat" w:hAnsi="GHEA Grapalat"/>
                <w:color w:val="000000" w:themeColor="text1"/>
                <w:sz w:val="18"/>
                <w:szCs w:val="18"/>
              </w:rPr>
              <w:t>(</w:t>
            </w:r>
            <w:r w:rsidR="002448EA">
              <w:rPr>
                <w:rFonts w:ascii="GHEA Grapalat" w:hAnsi="GHEA Grapalat"/>
                <w:color w:val="000000" w:themeColor="text1"/>
                <w:sz w:val="18"/>
                <w:szCs w:val="18"/>
              </w:rPr>
              <w:t>ՀԿ</w:t>
            </w:r>
            <w:r w:rsidR="002448EA" w:rsidRPr="002448EA">
              <w:rPr>
                <w:rFonts w:ascii="GHEA Grapalat" w:hAnsi="GHEA Grapalat"/>
                <w:color w:val="000000" w:themeColor="text1"/>
                <w:sz w:val="18"/>
                <w:szCs w:val="18"/>
              </w:rPr>
              <w:t xml:space="preserve">) </w:t>
            </w:r>
            <w:r w:rsidRPr="00B46168">
              <w:rPr>
                <w:rFonts w:ascii="GHEA Grapalat" w:hAnsi="GHEA Grapalat"/>
                <w:color w:val="000000" w:themeColor="text1"/>
                <w:sz w:val="18"/>
                <w:szCs w:val="18"/>
              </w:rPr>
              <w:t xml:space="preserve">գրավոր համաձայնության։ </w:t>
            </w:r>
          </w:p>
        </w:tc>
      </w:tr>
      <w:tr w:rsidR="007F3B6C" w:rsidRPr="00B46168" w14:paraId="1EB04B96" w14:textId="77777777" w:rsidTr="00A84C68">
        <w:trPr>
          <w:gridAfter w:val="1"/>
          <w:wAfter w:w="6" w:type="dxa"/>
          <w:jc w:val="center"/>
        </w:trPr>
        <w:tc>
          <w:tcPr>
            <w:tcW w:w="688" w:type="dxa"/>
            <w:shd w:val="clear" w:color="auto" w:fill="D9D9D9" w:themeFill="background1" w:themeFillShade="D9"/>
            <w:hideMark/>
          </w:tcPr>
          <w:p w14:paraId="50AF69FC"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3.</w:t>
            </w:r>
          </w:p>
        </w:tc>
        <w:tc>
          <w:tcPr>
            <w:tcW w:w="1958" w:type="dxa"/>
            <w:shd w:val="clear" w:color="auto" w:fill="D9D9D9" w:themeFill="background1" w:themeFillShade="D9"/>
            <w:hideMark/>
          </w:tcPr>
          <w:p w14:paraId="7481CE8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Ոչ բավարար որակավորված մասնակիցների ընտրությունը</w:t>
            </w:r>
          </w:p>
        </w:tc>
        <w:tc>
          <w:tcPr>
            <w:tcW w:w="2247" w:type="dxa"/>
            <w:hideMark/>
          </w:tcPr>
          <w:p w14:paraId="32DCCCB0"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Կարող է պայմանավորված լինել ընտրության՝ ոչ պատշաճ մեթոդի կիրառմամբ կամ այլ հանգամանքներով</w:t>
            </w:r>
          </w:p>
        </w:tc>
        <w:tc>
          <w:tcPr>
            <w:tcW w:w="1160" w:type="dxa"/>
            <w:hideMark/>
          </w:tcPr>
          <w:p w14:paraId="5BA545E4"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hideMark/>
          </w:tcPr>
          <w:p w14:paraId="6E772061"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6B22204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173DF59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3F02ECE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Կարող է անդրադառնալ ծրագրի արդյունքների որակի և ակնկալվող օգուտների իրացման կարողության վրա։</w:t>
            </w:r>
          </w:p>
        </w:tc>
        <w:tc>
          <w:tcPr>
            <w:tcW w:w="1715" w:type="dxa"/>
          </w:tcPr>
          <w:p w14:paraId="6E4663D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1D70B20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Անկախ երրորդ կողմը (խորհրդականներ) պետք է իրականացնի մրցույթների տեխնիկական գնահատում, տրամադրի աջակցություն՝ մասնակիցների նախնական </w:t>
            </w:r>
            <w:r w:rsidRPr="00B46168">
              <w:rPr>
                <w:rFonts w:ascii="GHEA Grapalat" w:hAnsi="GHEA Grapalat"/>
                <w:color w:val="000000" w:themeColor="text1"/>
                <w:sz w:val="18"/>
                <w:szCs w:val="18"/>
              </w:rPr>
              <w:lastRenderedPageBreak/>
              <w:t>ընտրության ընթացակարգերում։</w:t>
            </w:r>
          </w:p>
          <w:p w14:paraId="076A93AF"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Ընտրության մեթոդները պետք է հիմնված լինեն ընդհանուր տնտեսական արժեքի վրա. առաջարկի որակը գնահատվում է գնից բարձր։</w:t>
            </w:r>
          </w:p>
        </w:tc>
      </w:tr>
      <w:tr w:rsidR="007F3B6C" w:rsidRPr="00B46168" w14:paraId="1563D343" w14:textId="77777777" w:rsidTr="00A84C68">
        <w:trPr>
          <w:gridAfter w:val="1"/>
          <w:wAfter w:w="6" w:type="dxa"/>
          <w:jc w:val="center"/>
        </w:trPr>
        <w:tc>
          <w:tcPr>
            <w:tcW w:w="688" w:type="dxa"/>
            <w:shd w:val="clear" w:color="auto" w:fill="D9D9D9" w:themeFill="background1" w:themeFillShade="D9"/>
          </w:tcPr>
          <w:p w14:paraId="6C507702"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4.</w:t>
            </w:r>
          </w:p>
        </w:tc>
        <w:tc>
          <w:tcPr>
            <w:tcW w:w="1958" w:type="dxa"/>
            <w:shd w:val="clear" w:color="auto" w:fill="D9D9D9" w:themeFill="background1" w:themeFillShade="D9"/>
          </w:tcPr>
          <w:p w14:paraId="65F2666F"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Ավել վճարումը</w:t>
            </w:r>
          </w:p>
        </w:tc>
        <w:tc>
          <w:tcPr>
            <w:tcW w:w="2247" w:type="dxa"/>
          </w:tcPr>
          <w:p w14:paraId="1F50A0F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Մասնավոր գործընկերոջ կողմից սահմանված բարձր գներ կամ մարժաներ </w:t>
            </w:r>
          </w:p>
        </w:tc>
        <w:tc>
          <w:tcPr>
            <w:tcW w:w="1160" w:type="dxa"/>
          </w:tcPr>
          <w:p w14:paraId="733B179D"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tcPr>
          <w:p w14:paraId="3D05C89D"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tcPr>
          <w:p w14:paraId="21EDFC23"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tcPr>
          <w:p w14:paraId="41EEA108" w14:textId="77777777" w:rsidR="007F3B6C" w:rsidRPr="00B46168" w:rsidRDefault="007F3B6C" w:rsidP="0010344F">
            <w:pPr>
              <w:widowControl w:val="0"/>
              <w:suppressAutoHyphens/>
              <w:ind w:left="-83"/>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7AA4935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 գների կամ մարժաների սահմանման հետևանքով տեղ է ունենում բյուջետային միջոցների գերածախս, ինչպես նաև ավելանում են սոցիալական և քաղաքական ռիսկերը։</w:t>
            </w:r>
          </w:p>
        </w:tc>
        <w:tc>
          <w:tcPr>
            <w:tcW w:w="1715" w:type="dxa"/>
          </w:tcPr>
          <w:p w14:paraId="16B5258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 -</w:t>
            </w:r>
          </w:p>
        </w:tc>
        <w:tc>
          <w:tcPr>
            <w:tcW w:w="2610" w:type="dxa"/>
          </w:tcPr>
          <w:p w14:paraId="3E6CA8F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 Մասնավոր գործընկերոջ մրցութային ընտրությունը (մրցութային ընթացակարգ)։</w:t>
            </w:r>
          </w:p>
          <w:p w14:paraId="699BFE0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Հաղորդակցություն՝ ավելի շատ մասնակիցներ ներգրավելու նպատակով։</w:t>
            </w:r>
          </w:p>
          <w:p w14:paraId="206D1FA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3. Հանրային գործընկերոջ կողմից այլ պետություններում թվայնացված անձնագրերի արժեքի վերաբերյալ իրականացված նախնական հետազոտություն (նախնական իրագործելիության ուսումնասիրության մաս)։ </w:t>
            </w:r>
          </w:p>
        </w:tc>
      </w:tr>
      <w:tr w:rsidR="007F3B6C" w:rsidRPr="00B46168" w14:paraId="3F14670B" w14:textId="77777777" w:rsidTr="00A84C68">
        <w:trPr>
          <w:jc w:val="center"/>
        </w:trPr>
        <w:tc>
          <w:tcPr>
            <w:tcW w:w="16291" w:type="dxa"/>
            <w:gridSpan w:val="11"/>
            <w:shd w:val="clear" w:color="auto" w:fill="D9D9D9" w:themeFill="background1" w:themeFillShade="D9"/>
          </w:tcPr>
          <w:p w14:paraId="31AC6E68" w14:textId="77777777" w:rsidR="007F3B6C" w:rsidRPr="00B46168" w:rsidRDefault="007F3B6C" w:rsidP="0010344F">
            <w:pPr>
              <w:widowControl w:val="0"/>
              <w:suppressAutoHyphens/>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Օրենսդրական և իրավական ռիսկերը</w:t>
            </w:r>
          </w:p>
        </w:tc>
      </w:tr>
      <w:tr w:rsidR="007F3B6C" w:rsidRPr="00B46168" w14:paraId="4C6BB28D" w14:textId="77777777" w:rsidTr="00A84C68">
        <w:trPr>
          <w:gridAfter w:val="1"/>
          <w:wAfter w:w="6" w:type="dxa"/>
          <w:jc w:val="center"/>
        </w:trPr>
        <w:tc>
          <w:tcPr>
            <w:tcW w:w="688" w:type="dxa"/>
            <w:shd w:val="clear" w:color="auto" w:fill="D9D9D9" w:themeFill="background1" w:themeFillShade="D9"/>
            <w:hideMark/>
          </w:tcPr>
          <w:p w14:paraId="0CC1F3FB"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5.</w:t>
            </w:r>
          </w:p>
        </w:tc>
        <w:tc>
          <w:tcPr>
            <w:tcW w:w="1958" w:type="dxa"/>
            <w:shd w:val="clear" w:color="auto" w:fill="D9D9D9" w:themeFill="background1" w:themeFillShade="D9"/>
            <w:hideMark/>
          </w:tcPr>
          <w:p w14:paraId="07B995A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Ընդհանուր իրավական և օրենսդրական ռիսկերը</w:t>
            </w:r>
          </w:p>
        </w:tc>
        <w:tc>
          <w:tcPr>
            <w:tcW w:w="2247" w:type="dxa"/>
            <w:hideMark/>
          </w:tcPr>
          <w:p w14:paraId="75AE638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Նույնականացման քարտերի և անձնագրերի թողարկման օրենսդրական դաշտի/պահանջների փոփոխում։ Ընթացիկ գործունեության կարգավորման դաշտում նորմատիվ իրավական հիմքի փոփոխում (սակագներ, </w:t>
            </w:r>
            <w:r w:rsidRPr="00B46168">
              <w:rPr>
                <w:rFonts w:ascii="GHEA Grapalat" w:hAnsi="GHEA Grapalat"/>
                <w:color w:val="000000" w:themeColor="text1"/>
                <w:sz w:val="18"/>
                <w:szCs w:val="18"/>
              </w:rPr>
              <w:lastRenderedPageBreak/>
              <w:t>հարկեր և այլն)։ Հանրային գործընկերն ի սկզբանե կրում է օրենսդրության մեջ անսպասելի կատարվող այն փոփոխությունների ռիսկը, որոնք չեն եղել հանրամատչելի մինչև հայտերի ներկայացման ժամկետը լրանալու նշված ամսաթիվը, և որի հետևանքով մասնավոր գործընկերոջ կողմից իր պայմանագրային պարտավորությունների կատարումն ամբողջությամբ կամ մասամբ անհնար է, հետաձգվել է կամ դարձել է ավելի թանկ, քան ակնկալվում էր (կամ որոնք անդրադարձել են դրա ներդրողների վրա)</w:t>
            </w:r>
          </w:p>
        </w:tc>
        <w:tc>
          <w:tcPr>
            <w:tcW w:w="1160" w:type="dxa"/>
            <w:hideMark/>
          </w:tcPr>
          <w:p w14:paraId="3E2E3A85"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100%</w:t>
            </w:r>
          </w:p>
        </w:tc>
        <w:tc>
          <w:tcPr>
            <w:tcW w:w="1241" w:type="dxa"/>
            <w:hideMark/>
          </w:tcPr>
          <w:p w14:paraId="0E87C494"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098D277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50%-70%</w:t>
            </w:r>
          </w:p>
        </w:tc>
        <w:tc>
          <w:tcPr>
            <w:tcW w:w="1104" w:type="dxa"/>
            <w:hideMark/>
          </w:tcPr>
          <w:p w14:paraId="072F3DC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3A6183F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Մատակարարին ներկայացվող նվազագույն պահանջների դեպքում կարող են հաշվի չառնվել ակնկալվող փոփոխությունները, հետևաբար մատակարարը կարող է հայցել փոփոխությունը և բարձրացնել գինը։ </w:t>
            </w:r>
          </w:p>
        </w:tc>
        <w:tc>
          <w:tcPr>
            <w:tcW w:w="1715" w:type="dxa"/>
            <w:hideMark/>
          </w:tcPr>
          <w:p w14:paraId="4A11371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117B06F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Հանրային գործընկերոջ ռիսկը կարող է նվազեցվել՝ ապահովելով, որ պայմանագրում հստակ սահմանվի, թե ինչն է համարվում փոփոխություն, ժամկետը լրանալու համապատասխան ամսաթիվը, և ինչն է համարվում հանրամատչելի։ Սա տարբեր կլինի՝ ելնելով ծրագրի բնույթից և </w:t>
            </w:r>
            <w:r w:rsidRPr="00B46168">
              <w:rPr>
                <w:rFonts w:ascii="GHEA Grapalat" w:hAnsi="GHEA Grapalat"/>
                <w:color w:val="000000" w:themeColor="text1"/>
                <w:sz w:val="18"/>
                <w:szCs w:val="18"/>
              </w:rPr>
              <w:lastRenderedPageBreak/>
              <w:t>համապատասխան օրենսդրական դաշտից։</w:t>
            </w:r>
          </w:p>
          <w:p w14:paraId="37C7A9A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Իրավական բնույթի փոփոխությունները խստորեն վերահսկվում են պայմանագրի դիտանցման հարցերով կոմիտեի կողմից։</w:t>
            </w:r>
          </w:p>
          <w:p w14:paraId="01C4E0D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3. Մասնավոր գործընկերոջ հետ հաստատված հաղորդակցական կապեր՝ նրա գործառնությունների վրա ազդեցությունը քննարկելու/դրա վերաբերյալ բանակցություններ վարելու նպատակով։</w:t>
            </w:r>
          </w:p>
          <w:p w14:paraId="78F231CD"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4. Մատակարարին ներկայացվող նվազագույն պահանջները ներառում են այն պահանջները, համաձայն որոնց՝ ծառայությունները պետք է համապատասխանեն կոնկրետ չափանիշների վերջին տարբերակներին, այսպիսով, մասնավոր գործընկերը պարտավոր է ապահովել ծառայությունների արդիականացումը, ինչից հետևում է, որ եթե փոփոխություններում արտացոլվում է միայն միջազգային չափանիշի փոփոխությունը, ապա այն չի համարվում փոփոխություն։</w:t>
            </w:r>
          </w:p>
          <w:p w14:paraId="7E6D914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5. Առաջարկվում է </w:t>
            </w:r>
            <w:r w:rsidRPr="00B46168">
              <w:rPr>
                <w:rFonts w:ascii="GHEA Grapalat" w:hAnsi="GHEA Grapalat"/>
                <w:color w:val="000000" w:themeColor="text1"/>
                <w:sz w:val="18"/>
                <w:szCs w:val="18"/>
              </w:rPr>
              <w:lastRenderedPageBreak/>
              <w:t>նույնականացման համակարգի նորմատիվ իրավական դաշտը թարմացնել մինչև մրցույթի անցկացումը։</w:t>
            </w:r>
          </w:p>
        </w:tc>
      </w:tr>
      <w:tr w:rsidR="007F3B6C" w:rsidRPr="00B46168" w14:paraId="3A75F043" w14:textId="77777777" w:rsidTr="00A84C68">
        <w:trPr>
          <w:gridAfter w:val="1"/>
          <w:wAfter w:w="6" w:type="dxa"/>
          <w:jc w:val="center"/>
        </w:trPr>
        <w:tc>
          <w:tcPr>
            <w:tcW w:w="688" w:type="dxa"/>
            <w:shd w:val="clear" w:color="auto" w:fill="D9D9D9" w:themeFill="background1" w:themeFillShade="D9"/>
            <w:hideMark/>
          </w:tcPr>
          <w:p w14:paraId="5AADB000"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6.</w:t>
            </w:r>
          </w:p>
        </w:tc>
        <w:tc>
          <w:tcPr>
            <w:tcW w:w="1958" w:type="dxa"/>
            <w:shd w:val="clear" w:color="auto" w:fill="D9D9D9" w:themeFill="background1" w:themeFillShade="D9"/>
            <w:hideMark/>
          </w:tcPr>
          <w:p w14:paraId="5445D59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ՊՄԳ պայմանագրի հետ կապված կոնկրետ իրավական ռիսկերը</w:t>
            </w:r>
          </w:p>
        </w:tc>
        <w:tc>
          <w:tcPr>
            <w:tcW w:w="2247" w:type="dxa"/>
            <w:hideMark/>
          </w:tcPr>
          <w:p w14:paraId="16205A7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Պայմանագրի և ծրագրի շրջանակներում այլ պայմանագրային հարաբերությունների հետ կապված իրավական ռիսկերը (կողմերի կողմից պարտավորությունների չկատարումը, պայմանագրի գործողության վաղաժամկետ դադարեցումը, գույքի ոչ ժամանակին փոխանցումը, պայմանագրով առանձին հարցերի չկարգավորումը կամ դրանց կարգավորման ոչ բավարար մակարդակը և այլն) </w:t>
            </w:r>
          </w:p>
        </w:tc>
        <w:tc>
          <w:tcPr>
            <w:tcW w:w="1160" w:type="dxa"/>
            <w:hideMark/>
          </w:tcPr>
          <w:p w14:paraId="723BB284"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50%</w:t>
            </w:r>
          </w:p>
        </w:tc>
        <w:tc>
          <w:tcPr>
            <w:tcW w:w="1241" w:type="dxa"/>
            <w:hideMark/>
          </w:tcPr>
          <w:p w14:paraId="773C54A1"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50%</w:t>
            </w:r>
          </w:p>
        </w:tc>
        <w:tc>
          <w:tcPr>
            <w:tcW w:w="1047" w:type="dxa"/>
            <w:hideMark/>
          </w:tcPr>
          <w:p w14:paraId="6087AD3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500D9D4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3558904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Ազդեցության մակարդակը կարող է տարբեր լինել՝ կախված կոնկրետ իրավական ռիսկից, օրինակ՝ որոշ դեպքերում դրա հետևանքը կարող է լինել ծրագրի մեկնարկի ձգձգումը, այլ դեպքերում դրա հետևանքը կարող է լինել ծրագրի ձախողումը և գործառնությունների դադարեցումը։ </w:t>
            </w:r>
          </w:p>
        </w:tc>
        <w:tc>
          <w:tcPr>
            <w:tcW w:w="1715" w:type="dxa"/>
            <w:hideMark/>
          </w:tcPr>
          <w:p w14:paraId="21A2DC1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7FE1327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Անկախ երրորդ կողմը (խորհրդականները) պետք է տեխնիկական աջակցություն տրամադրի ՊՄԳ պայմանագիրը կազմելու հարցում։ </w:t>
            </w:r>
          </w:p>
          <w:p w14:paraId="7D5A0B9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Պայմանագրի նախագծի շուրջ խորհրդակցություններ են անցկացվում շուկայի մասնակիցների հետ։</w:t>
            </w:r>
          </w:p>
          <w:p w14:paraId="027AC220"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3. ՀԿ-ի համապատասխան մարմինները (համաձայն ՊՄԳ կարգավորման) պետք է գործուղեն Կառավարության իրավասու մասնագետներին՝ պայմանագրի կազմման և վերանայման գործընթացում համագործակցություն իրականացնելու և մասնակցություն ունենալու համար</w:t>
            </w:r>
          </w:p>
        </w:tc>
      </w:tr>
      <w:tr w:rsidR="007F3B6C" w:rsidRPr="00B46168" w14:paraId="5D4E9C31" w14:textId="77777777" w:rsidTr="00A84C68">
        <w:trPr>
          <w:jc w:val="center"/>
        </w:trPr>
        <w:tc>
          <w:tcPr>
            <w:tcW w:w="16291" w:type="dxa"/>
            <w:gridSpan w:val="11"/>
            <w:shd w:val="clear" w:color="auto" w:fill="D9D9D9" w:themeFill="background1" w:themeFillShade="D9"/>
          </w:tcPr>
          <w:p w14:paraId="598EFB61" w14:textId="77777777" w:rsidR="007F3B6C" w:rsidRPr="00B46168" w:rsidRDefault="007F3B6C" w:rsidP="0010344F">
            <w:pPr>
              <w:widowControl w:val="0"/>
              <w:suppressAutoHyphens/>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Ծրագրի նախագծումը և կազմումը</w:t>
            </w:r>
          </w:p>
        </w:tc>
      </w:tr>
      <w:tr w:rsidR="007F3B6C" w:rsidRPr="00B46168" w14:paraId="63B4BF7A" w14:textId="77777777" w:rsidTr="00A84C68">
        <w:trPr>
          <w:gridAfter w:val="1"/>
          <w:wAfter w:w="6" w:type="dxa"/>
          <w:jc w:val="center"/>
        </w:trPr>
        <w:tc>
          <w:tcPr>
            <w:tcW w:w="688" w:type="dxa"/>
            <w:shd w:val="clear" w:color="auto" w:fill="D9D9D9" w:themeFill="background1" w:themeFillShade="D9"/>
            <w:hideMark/>
          </w:tcPr>
          <w:p w14:paraId="2BCAE97B"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7.</w:t>
            </w:r>
          </w:p>
        </w:tc>
        <w:tc>
          <w:tcPr>
            <w:tcW w:w="1958" w:type="dxa"/>
            <w:shd w:val="clear" w:color="auto" w:fill="D9D9D9" w:themeFill="background1" w:themeFillShade="D9"/>
            <w:hideMark/>
          </w:tcPr>
          <w:p w14:paraId="226BD9D2" w14:textId="0E37DD8C" w:rsidR="007F3B6C" w:rsidRPr="00B46168" w:rsidRDefault="003050F9" w:rsidP="0010344F">
            <w:pPr>
              <w:widowControl w:val="0"/>
              <w:suppressAutoHyphens/>
              <w:jc w:val="left"/>
              <w:rPr>
                <w:rFonts w:ascii="GHEA Grapalat" w:hAnsi="GHEA Grapalat" w:cs="Arial"/>
                <w:color w:val="000000" w:themeColor="text1"/>
                <w:sz w:val="18"/>
                <w:szCs w:val="18"/>
              </w:rPr>
            </w:pPr>
            <w:r>
              <w:rPr>
                <w:rFonts w:ascii="GHEA Grapalat" w:hAnsi="GHEA Grapalat"/>
                <w:color w:val="000000" w:themeColor="text1"/>
                <w:sz w:val="18"/>
                <w:szCs w:val="18"/>
              </w:rPr>
              <w:t>Ծրագրի</w:t>
            </w:r>
            <w:r w:rsidR="007F3B6C" w:rsidRPr="00B46168">
              <w:rPr>
                <w:rFonts w:ascii="GHEA Grapalat" w:hAnsi="GHEA Grapalat"/>
                <w:color w:val="000000" w:themeColor="text1"/>
                <w:sz w:val="18"/>
                <w:szCs w:val="18"/>
              </w:rPr>
              <w:t xml:space="preserve"> ոչ պատշաճ նախագ</w:t>
            </w:r>
            <w:r>
              <w:rPr>
                <w:rFonts w:ascii="GHEA Grapalat" w:hAnsi="GHEA Grapalat"/>
                <w:color w:val="000000" w:themeColor="text1"/>
                <w:sz w:val="18"/>
                <w:szCs w:val="18"/>
              </w:rPr>
              <w:t>ծումը</w:t>
            </w:r>
          </w:p>
        </w:tc>
        <w:tc>
          <w:tcPr>
            <w:tcW w:w="2247" w:type="dxa"/>
            <w:hideMark/>
          </w:tcPr>
          <w:p w14:paraId="1E90015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Ծրագրի նախագիծը կարող է լինել ոչ պատշաճ գրասենյակների, գույքի, սարքավորումների, գործառնությունների, տեխնոլոգիաների ընտրության առումով և այլն։ Հանրային </w:t>
            </w:r>
            <w:r w:rsidRPr="00B46168">
              <w:rPr>
                <w:rFonts w:ascii="GHEA Grapalat" w:hAnsi="GHEA Grapalat"/>
                <w:color w:val="000000" w:themeColor="text1"/>
                <w:sz w:val="18"/>
                <w:szCs w:val="18"/>
              </w:rPr>
              <w:lastRenderedPageBreak/>
              <w:t>գործընկերոջ նպատակն է, որպես կանոն, մրցութային փաստաթղթերում սահմանել արդյունքամետ ընդգրկուն մասնագիր՝ պահանջելով, որ մասնավոր գործընկերը նախագծի և կազմի ծրագիրն այնպես, որ բավարարվեն տեխնիկական բնութագրերը, և ապահովվի կիրառվող իրավական պահանջներին, ոլորտի լավագույն գործելակերպի չափանիշներին և կիրառելիության դեպքում՝ որակի նվազագույն չափանիշներին համապատասխանությունը։ Սա հնարավորություն է ընձեռում մասնավոր հատվածին նախագծում ներդնելու նորարություններ և բարձրացնելու դրա արդյունավետությունը։ Այս մոտեցման դեպքում մասնավոր գործընկերոջ հիմնական պատասխանատվությու</w:t>
            </w:r>
            <w:r w:rsidRPr="00B46168">
              <w:rPr>
                <w:rFonts w:ascii="GHEA Grapalat" w:hAnsi="GHEA Grapalat"/>
                <w:color w:val="000000" w:themeColor="text1"/>
                <w:sz w:val="18"/>
                <w:szCs w:val="18"/>
              </w:rPr>
              <w:lastRenderedPageBreak/>
              <w:t>նը կլինի համակարգի պատշաճության ապահովումը և դրա համապատասախանությունը վերնարդյունքներին /տեխնիկական բնութագրերին։</w:t>
            </w:r>
          </w:p>
        </w:tc>
        <w:tc>
          <w:tcPr>
            <w:tcW w:w="1160" w:type="dxa"/>
            <w:hideMark/>
          </w:tcPr>
          <w:p w14:paraId="15912FD8"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25%</w:t>
            </w:r>
          </w:p>
        </w:tc>
        <w:tc>
          <w:tcPr>
            <w:tcW w:w="1241" w:type="dxa"/>
            <w:hideMark/>
          </w:tcPr>
          <w:p w14:paraId="7DE529E3"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75%</w:t>
            </w:r>
          </w:p>
        </w:tc>
        <w:tc>
          <w:tcPr>
            <w:tcW w:w="1047" w:type="dxa"/>
            <w:hideMark/>
          </w:tcPr>
          <w:p w14:paraId="5B84E10D"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13BA85A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75A6B1B5" w14:textId="05D6B19C"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Ոչ պատշաճ նախագծի հետևանքով կարող են ավելանալ ծախսերը (օրինակ՝ անարդյունավետ գործընթացներ, ընտրված անարդյունավետ տեխնոլոգիաներ, աշխարհագրական ցանցի անարդյունավետ </w:t>
            </w:r>
            <w:r w:rsidRPr="00B46168">
              <w:rPr>
                <w:rFonts w:ascii="GHEA Grapalat" w:hAnsi="GHEA Grapalat"/>
                <w:color w:val="000000" w:themeColor="text1"/>
                <w:sz w:val="18"/>
                <w:szCs w:val="18"/>
              </w:rPr>
              <w:lastRenderedPageBreak/>
              <w:t xml:space="preserve">նախագիծ), </w:t>
            </w:r>
            <w:r w:rsidR="00E614A7">
              <w:rPr>
                <w:rFonts w:ascii="GHEA Grapalat" w:hAnsi="GHEA Grapalat"/>
                <w:color w:val="000000" w:themeColor="text1"/>
                <w:sz w:val="18"/>
                <w:szCs w:val="18"/>
              </w:rPr>
              <w:t>Ծառայությունների մատուցման պայման</w:t>
            </w:r>
            <w:r w:rsidR="00C347BE">
              <w:rPr>
                <w:rFonts w:ascii="GHEA Grapalat" w:hAnsi="GHEA Grapalat"/>
                <w:color w:val="000000" w:themeColor="text1"/>
                <w:sz w:val="18"/>
                <w:szCs w:val="18"/>
              </w:rPr>
              <w:t>ներ</w:t>
            </w:r>
            <w:r w:rsidRPr="00B46168">
              <w:rPr>
                <w:rFonts w:ascii="GHEA Grapalat" w:hAnsi="GHEA Grapalat"/>
                <w:color w:val="000000" w:themeColor="text1"/>
                <w:sz w:val="18"/>
                <w:szCs w:val="18"/>
              </w:rPr>
              <w:t xml:space="preserve">ի </w:t>
            </w:r>
            <w:r w:rsidR="00E614A7" w:rsidRPr="00E614A7">
              <w:rPr>
                <w:rFonts w:ascii="GHEA Grapalat" w:hAnsi="GHEA Grapalat"/>
                <w:color w:val="000000" w:themeColor="text1"/>
                <w:sz w:val="18"/>
                <w:szCs w:val="18"/>
              </w:rPr>
              <w:t>(</w:t>
            </w:r>
            <w:r w:rsidR="00E614A7">
              <w:rPr>
                <w:rFonts w:ascii="GHEA Grapalat" w:hAnsi="GHEA Grapalat"/>
                <w:color w:val="000000" w:themeColor="text1"/>
                <w:sz w:val="18"/>
                <w:szCs w:val="18"/>
              </w:rPr>
              <w:t>ԾՄՊ</w:t>
            </w:r>
            <w:r w:rsidR="00E614A7" w:rsidRPr="00E614A7">
              <w:rPr>
                <w:rFonts w:ascii="GHEA Grapalat" w:hAnsi="GHEA Grapalat"/>
                <w:color w:val="000000" w:themeColor="text1"/>
                <w:sz w:val="18"/>
                <w:szCs w:val="18"/>
              </w:rPr>
              <w:t xml:space="preserve">) </w:t>
            </w:r>
            <w:r w:rsidRPr="00B46168">
              <w:rPr>
                <w:rFonts w:ascii="GHEA Grapalat" w:hAnsi="GHEA Grapalat"/>
                <w:color w:val="000000" w:themeColor="text1"/>
                <w:sz w:val="18"/>
                <w:szCs w:val="18"/>
              </w:rPr>
              <w:t xml:space="preserve">չկատարում (ինչը հանգեցնում է եկամուտների նվազեցման)։ </w:t>
            </w:r>
          </w:p>
          <w:p w14:paraId="16FC5CA0" w14:textId="1187E244"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Հանրային գործընկերը պետք է կրի նրա կողմից տրամադրված ոչ ճշգրիտ տեխնիկական տեղեկությունների ռիսկն այնքանով, որքանով նախագծման նպատակներով մասնավոր գործընկերոջը թույլատրվել է ապավինել դրանց։ Եթե այդ ռիսկն իրականություն է դառնում, ապա դա կարող է հանգեցնել փոխհատուցման պահանջի։</w:t>
            </w:r>
          </w:p>
        </w:tc>
        <w:tc>
          <w:tcPr>
            <w:tcW w:w="1715" w:type="dxa"/>
            <w:hideMark/>
          </w:tcPr>
          <w:p w14:paraId="6A7A20F1" w14:textId="613743EC"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lastRenderedPageBreak/>
              <w:t>1,640,000</w:t>
            </w:r>
            <w:r w:rsidRPr="00B46168">
              <w:rPr>
                <w:rFonts w:ascii="GHEA Grapalat" w:hAnsi="GHEA Grapalat"/>
                <w:sz w:val="18"/>
                <w:szCs w:val="18"/>
              </w:rPr>
              <w:t xml:space="preserve"> (հաշվարկել է՝ հաշվի առնելով ԿԱՊԾԱԽՍ-երի ավելացման հավանակա</w:t>
            </w:r>
            <w:r w:rsidR="003050F9">
              <w:rPr>
                <w:rFonts w:ascii="GHEA Grapalat" w:hAnsi="GHEA Grapalat"/>
                <w:sz w:val="18"/>
                <w:szCs w:val="18"/>
              </w:rPr>
              <w:t>-</w:t>
            </w:r>
            <w:r w:rsidRPr="00B46168">
              <w:rPr>
                <w:rFonts w:ascii="GHEA Grapalat" w:hAnsi="GHEA Grapalat"/>
                <w:sz w:val="18"/>
                <w:szCs w:val="18"/>
              </w:rPr>
              <w:t xml:space="preserve">նությունը. դիտարկվել են գերածախսերի </w:t>
            </w:r>
            <w:r w:rsidRPr="00B46168">
              <w:rPr>
                <w:rFonts w:ascii="GHEA Grapalat" w:hAnsi="GHEA Grapalat"/>
                <w:sz w:val="18"/>
                <w:szCs w:val="18"/>
              </w:rPr>
              <w:lastRenderedPageBreak/>
              <w:t>հետևանքների մի քանի տարբերակ)</w:t>
            </w:r>
          </w:p>
        </w:tc>
        <w:tc>
          <w:tcPr>
            <w:tcW w:w="2610" w:type="dxa"/>
            <w:hideMark/>
          </w:tcPr>
          <w:p w14:paraId="6A4EADF1" w14:textId="022F9742" w:rsidR="007F3B6C" w:rsidRPr="00E53BBB" w:rsidRDefault="007F3B6C" w:rsidP="0010344F">
            <w:pPr>
              <w:widowControl w:val="0"/>
              <w:suppressAutoHyphens/>
              <w:jc w:val="left"/>
              <w:rPr>
                <w:rFonts w:ascii="GHEA Grapalat" w:hAnsi="GHEA Grapalat"/>
                <w:color w:val="000000" w:themeColor="text1"/>
                <w:sz w:val="18"/>
                <w:szCs w:val="18"/>
              </w:rPr>
            </w:pPr>
            <w:r w:rsidRPr="00B46168">
              <w:rPr>
                <w:rFonts w:ascii="GHEA Grapalat" w:hAnsi="GHEA Grapalat"/>
                <w:color w:val="000000" w:themeColor="text1"/>
                <w:sz w:val="18"/>
                <w:szCs w:val="18"/>
              </w:rPr>
              <w:lastRenderedPageBreak/>
              <w:t xml:space="preserve">1. </w:t>
            </w:r>
            <w:r w:rsidRPr="00E53BBB">
              <w:rPr>
                <w:rFonts w:ascii="GHEA Grapalat" w:hAnsi="GHEA Grapalat"/>
                <w:color w:val="000000" w:themeColor="text1"/>
                <w:sz w:val="18"/>
                <w:szCs w:val="18"/>
              </w:rPr>
              <w:t xml:space="preserve">Տեխնիկական պահանջները </w:t>
            </w:r>
            <w:r w:rsidR="00176D32">
              <w:rPr>
                <w:rFonts w:ascii="GHEA Grapalat" w:hAnsi="GHEA Grapalat"/>
                <w:color w:val="000000" w:themeColor="text1"/>
                <w:sz w:val="18"/>
                <w:szCs w:val="18"/>
              </w:rPr>
              <w:t>ներկայացվ</w:t>
            </w:r>
            <w:r w:rsidR="006869E6">
              <w:rPr>
                <w:rFonts w:ascii="GHEA Grapalat" w:hAnsi="GHEA Grapalat"/>
                <w:color w:val="000000" w:themeColor="text1"/>
                <w:sz w:val="18"/>
                <w:szCs w:val="18"/>
              </w:rPr>
              <w:t>ում</w:t>
            </w:r>
            <w:r w:rsidR="00176D32">
              <w:rPr>
                <w:rFonts w:ascii="GHEA Grapalat" w:hAnsi="GHEA Grapalat"/>
                <w:color w:val="000000" w:themeColor="text1"/>
                <w:sz w:val="18"/>
                <w:szCs w:val="18"/>
              </w:rPr>
              <w:t xml:space="preserve"> են </w:t>
            </w:r>
            <w:r w:rsidR="0012540B">
              <w:rPr>
                <w:rFonts w:ascii="GHEA Grapalat" w:hAnsi="GHEA Grapalat"/>
                <w:color w:val="000000" w:themeColor="text1"/>
                <w:sz w:val="18"/>
                <w:szCs w:val="18"/>
              </w:rPr>
              <w:t>հնարավոր մասնակիցների հետ</w:t>
            </w:r>
            <w:r w:rsidR="0012540B" w:rsidRPr="00E53BBB">
              <w:rPr>
                <w:rFonts w:ascii="GHEA Grapalat" w:hAnsi="GHEA Grapalat"/>
                <w:color w:val="000000" w:themeColor="text1"/>
                <w:sz w:val="18"/>
                <w:szCs w:val="18"/>
              </w:rPr>
              <w:t xml:space="preserve"> </w:t>
            </w:r>
            <w:r w:rsidRPr="00E53BBB">
              <w:rPr>
                <w:rFonts w:ascii="GHEA Grapalat" w:hAnsi="GHEA Grapalat"/>
                <w:color w:val="000000" w:themeColor="text1"/>
                <w:sz w:val="18"/>
                <w:szCs w:val="18"/>
              </w:rPr>
              <w:t xml:space="preserve">շուկայի </w:t>
            </w:r>
            <w:r w:rsidR="00176D32">
              <w:rPr>
                <w:rFonts w:ascii="GHEA Grapalat" w:hAnsi="GHEA Grapalat"/>
                <w:color w:val="000000" w:themeColor="text1"/>
                <w:sz w:val="18"/>
                <w:szCs w:val="18"/>
              </w:rPr>
              <w:t>նախնական հաղորդակցման փուլում</w:t>
            </w:r>
            <w:r w:rsidRPr="00E53BBB">
              <w:rPr>
                <w:rFonts w:ascii="GHEA Grapalat" w:hAnsi="GHEA Grapalat"/>
                <w:color w:val="000000" w:themeColor="text1"/>
                <w:sz w:val="18"/>
                <w:szCs w:val="18"/>
              </w:rPr>
              <w:t>։</w:t>
            </w:r>
          </w:p>
          <w:p w14:paraId="6773E212" w14:textId="385D8418" w:rsidR="007F3B6C" w:rsidRPr="00E53BBB" w:rsidRDefault="007F3B6C" w:rsidP="0010344F">
            <w:pPr>
              <w:widowControl w:val="0"/>
              <w:suppressAutoHyphens/>
              <w:jc w:val="left"/>
              <w:rPr>
                <w:rFonts w:ascii="GHEA Grapalat" w:hAnsi="GHEA Grapalat"/>
                <w:color w:val="000000" w:themeColor="text1"/>
                <w:sz w:val="18"/>
                <w:szCs w:val="18"/>
              </w:rPr>
            </w:pPr>
            <w:r w:rsidRPr="00B46168">
              <w:rPr>
                <w:rFonts w:ascii="GHEA Grapalat" w:hAnsi="GHEA Grapalat"/>
                <w:color w:val="000000" w:themeColor="text1"/>
                <w:sz w:val="18"/>
                <w:szCs w:val="18"/>
              </w:rPr>
              <w:t xml:space="preserve">2. Մասնակիցներից պահանջվելու է մրցույթի ընթացքում ներկայացնել </w:t>
            </w:r>
            <w:r w:rsidRPr="00B46168">
              <w:rPr>
                <w:rFonts w:ascii="GHEA Grapalat" w:hAnsi="GHEA Grapalat"/>
                <w:color w:val="000000" w:themeColor="text1"/>
                <w:sz w:val="18"/>
                <w:szCs w:val="18"/>
              </w:rPr>
              <w:lastRenderedPageBreak/>
              <w:t>նախնական նախագծերը։</w:t>
            </w:r>
          </w:p>
        </w:tc>
      </w:tr>
      <w:tr w:rsidR="007F3B6C" w:rsidRPr="00B46168" w14:paraId="50005ECA" w14:textId="77777777" w:rsidTr="00A84C68">
        <w:trPr>
          <w:gridAfter w:val="1"/>
          <w:wAfter w:w="6" w:type="dxa"/>
          <w:jc w:val="center"/>
        </w:trPr>
        <w:tc>
          <w:tcPr>
            <w:tcW w:w="688" w:type="dxa"/>
            <w:shd w:val="clear" w:color="auto" w:fill="D9D9D9" w:themeFill="background1" w:themeFillShade="D9"/>
          </w:tcPr>
          <w:p w14:paraId="28229D96"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8.</w:t>
            </w:r>
          </w:p>
        </w:tc>
        <w:tc>
          <w:tcPr>
            <w:tcW w:w="1958" w:type="dxa"/>
            <w:shd w:val="clear" w:color="auto" w:fill="D9D9D9" w:themeFill="background1" w:themeFillShade="D9"/>
          </w:tcPr>
          <w:p w14:paraId="53045D6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Տեխնիկական հնացածության ռիսկը</w:t>
            </w:r>
          </w:p>
        </w:tc>
        <w:tc>
          <w:tcPr>
            <w:tcW w:w="2247" w:type="dxa"/>
          </w:tcPr>
          <w:p w14:paraId="6980376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Որոշ տենիկական ենթակառուցվածներ, որոնք ծառայության համար դառնում են ոչ պիտանի, կամ ծառայությունների որակը վատթարանում է՝ ծրագրի ընթացքում տրամադրվող առավել արդիական ծառայությունների համեմատ։</w:t>
            </w:r>
          </w:p>
        </w:tc>
        <w:tc>
          <w:tcPr>
            <w:tcW w:w="1160" w:type="dxa"/>
          </w:tcPr>
          <w:p w14:paraId="76DAFF80"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0 %</w:t>
            </w:r>
          </w:p>
        </w:tc>
        <w:tc>
          <w:tcPr>
            <w:tcW w:w="1241" w:type="dxa"/>
          </w:tcPr>
          <w:p w14:paraId="4A88C676"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100 %</w:t>
            </w:r>
          </w:p>
        </w:tc>
        <w:tc>
          <w:tcPr>
            <w:tcW w:w="1047" w:type="dxa"/>
          </w:tcPr>
          <w:p w14:paraId="7C328B8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tcPr>
          <w:p w14:paraId="3A1FEB79" w14:textId="77777777" w:rsidR="007F3B6C" w:rsidRPr="00B46168" w:rsidRDefault="007F3B6C" w:rsidP="0010344F">
            <w:pPr>
              <w:widowControl w:val="0"/>
              <w:suppressAutoHyphens/>
              <w:ind w:left="-83"/>
              <w:jc w:val="left"/>
              <w:rPr>
                <w:rFonts w:ascii="GHEA Grapalat" w:hAnsi="GHEA Grapalat" w:cs="Arial"/>
                <w:color w:val="000000" w:themeColor="text1"/>
                <w:spacing w:val="-4"/>
                <w:sz w:val="18"/>
                <w:szCs w:val="18"/>
              </w:rPr>
            </w:pPr>
            <w:r w:rsidRPr="00B46168">
              <w:rPr>
                <w:rFonts w:ascii="GHEA Grapalat" w:hAnsi="GHEA Grapalat"/>
                <w:color w:val="000000" w:themeColor="text1"/>
                <w:spacing w:val="-4"/>
                <w:sz w:val="18"/>
                <w:szCs w:val="18"/>
              </w:rPr>
              <w:t>Չափավոր</w:t>
            </w:r>
          </w:p>
        </w:tc>
        <w:tc>
          <w:tcPr>
            <w:tcW w:w="2515" w:type="dxa"/>
          </w:tcPr>
          <w:p w14:paraId="75995F9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Սա կարող է անդրադառնալ մասնավոր գործընկերոջ գործառնությունների արդյունավետության վրա և հետևաբար հանգեցնել ԶՆԱ-ի նվազեցման։</w:t>
            </w:r>
          </w:p>
          <w:p w14:paraId="17F50D8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Հանձնման փուլում տեխնիկապես հին ենթակառուցվածքները կազդեն Կառավարության հետագա գործառնությունների արդյունավետության վրա: </w:t>
            </w:r>
          </w:p>
        </w:tc>
        <w:tc>
          <w:tcPr>
            <w:tcW w:w="1715" w:type="dxa"/>
          </w:tcPr>
          <w:p w14:paraId="2F13EC33" w14:textId="77777777" w:rsidR="007F3B6C" w:rsidRPr="00B46168" w:rsidRDefault="007F3B6C" w:rsidP="0010344F">
            <w:pPr>
              <w:widowControl w:val="0"/>
              <w:suppressAutoHyphens/>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w:t>
            </w:r>
          </w:p>
        </w:tc>
        <w:tc>
          <w:tcPr>
            <w:tcW w:w="2610" w:type="dxa"/>
          </w:tcPr>
          <w:p w14:paraId="2A592E4E" w14:textId="00F37FFA" w:rsidR="007F3B6C" w:rsidRPr="00FC1B8D" w:rsidRDefault="007F3B6C" w:rsidP="0010344F">
            <w:pPr>
              <w:widowControl w:val="0"/>
              <w:suppressAutoHyphens/>
              <w:jc w:val="left"/>
              <w:rPr>
                <w:rFonts w:ascii="GHEA Grapalat" w:hAnsi="GHEA Grapalat"/>
                <w:color w:val="000000" w:themeColor="text1"/>
                <w:sz w:val="18"/>
                <w:szCs w:val="18"/>
              </w:rPr>
            </w:pPr>
            <w:r w:rsidRPr="00FC1B8D">
              <w:rPr>
                <w:rFonts w:ascii="GHEA Grapalat" w:hAnsi="GHEA Grapalat"/>
                <w:color w:val="000000" w:themeColor="text1"/>
                <w:sz w:val="18"/>
                <w:szCs w:val="18"/>
              </w:rPr>
              <w:t xml:space="preserve">1. Հանձնման պահանջները ներառվել են </w:t>
            </w:r>
            <w:r w:rsidRPr="0033420E">
              <w:rPr>
                <w:rFonts w:ascii="GHEA Grapalat" w:hAnsi="GHEA Grapalat"/>
                <w:color w:val="000000" w:themeColor="text1"/>
                <w:sz w:val="18"/>
                <w:szCs w:val="18"/>
              </w:rPr>
              <w:t>Պայմանագր</w:t>
            </w:r>
            <w:r w:rsidR="0033420E">
              <w:rPr>
                <w:rFonts w:ascii="GHEA Grapalat" w:hAnsi="GHEA Grapalat"/>
                <w:color w:val="000000" w:themeColor="text1"/>
                <w:sz w:val="18"/>
                <w:szCs w:val="18"/>
              </w:rPr>
              <w:t>ում</w:t>
            </w:r>
            <w:r w:rsidRPr="0033420E">
              <w:rPr>
                <w:rFonts w:ascii="GHEA Grapalat" w:hAnsi="GHEA Grapalat"/>
                <w:color w:val="000000" w:themeColor="text1"/>
                <w:sz w:val="18"/>
                <w:szCs w:val="18"/>
              </w:rPr>
              <w:t>՝</w:t>
            </w:r>
            <w:r w:rsidRPr="00FC1B8D">
              <w:rPr>
                <w:rFonts w:ascii="GHEA Grapalat" w:hAnsi="GHEA Grapalat"/>
                <w:color w:val="000000" w:themeColor="text1"/>
                <w:sz w:val="18"/>
                <w:szCs w:val="18"/>
              </w:rPr>
              <w:t xml:space="preserve"> Կառավարությանը հանձնվող ենթակա</w:t>
            </w:r>
            <w:r w:rsidR="00B432C2">
              <w:rPr>
                <w:rFonts w:ascii="GHEA Grapalat" w:hAnsi="GHEA Grapalat"/>
                <w:color w:val="000000" w:themeColor="text1"/>
                <w:sz w:val="18"/>
                <w:szCs w:val="18"/>
              </w:rPr>
              <w:t>ռ</w:t>
            </w:r>
            <w:r w:rsidRPr="00FC1B8D">
              <w:rPr>
                <w:rFonts w:ascii="GHEA Grapalat" w:hAnsi="GHEA Grapalat"/>
                <w:color w:val="000000" w:themeColor="text1"/>
                <w:sz w:val="18"/>
                <w:szCs w:val="18"/>
              </w:rPr>
              <w:t>ուցվածքի լավ վիճակն ապահովելու պարտավորություն ստանձնելու համար (պետք է ներառել լավ վիճակը սահմանելու կոնկրետ պահանջ)։</w:t>
            </w:r>
          </w:p>
          <w:p w14:paraId="7DD42E47" w14:textId="6A177DD1"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Պայմանագրում սահմանվում են լրացուցիչ վճարներին ներկայացվող նոր պահանջների ներառման շուրջ բանակցություններ վարելու վերաբերյալ դրույթներ։</w:t>
            </w:r>
          </w:p>
        </w:tc>
      </w:tr>
      <w:tr w:rsidR="007F3B6C" w:rsidRPr="00B46168" w14:paraId="1B5A3241" w14:textId="77777777" w:rsidTr="00A84C68">
        <w:trPr>
          <w:gridAfter w:val="1"/>
          <w:wAfter w:w="6" w:type="dxa"/>
          <w:jc w:val="center"/>
        </w:trPr>
        <w:tc>
          <w:tcPr>
            <w:tcW w:w="688" w:type="dxa"/>
            <w:shd w:val="clear" w:color="auto" w:fill="D9D9D9" w:themeFill="background1" w:themeFillShade="D9"/>
          </w:tcPr>
          <w:p w14:paraId="3941551B"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9.</w:t>
            </w:r>
          </w:p>
        </w:tc>
        <w:tc>
          <w:tcPr>
            <w:tcW w:w="1958" w:type="dxa"/>
            <w:shd w:val="clear" w:color="auto" w:fill="D9D9D9" w:themeFill="background1" w:themeFillShade="D9"/>
          </w:tcPr>
          <w:p w14:paraId="1A6AD1F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Նորարարության հետ կապված ռիսկը</w:t>
            </w:r>
          </w:p>
        </w:tc>
        <w:tc>
          <w:tcPr>
            <w:tcW w:w="2247" w:type="dxa"/>
          </w:tcPr>
          <w:p w14:paraId="0F05AC74" w14:textId="77777777" w:rsidR="007F3B6C" w:rsidRPr="00B46168" w:rsidRDefault="007F3B6C" w:rsidP="0010344F">
            <w:pPr>
              <w:widowControl w:val="0"/>
              <w:pBdr>
                <w:top w:val="single" w:sz="2" w:space="0" w:color="D9D9E3"/>
                <w:left w:val="single" w:sz="2" w:space="0" w:color="D9D9E3"/>
                <w:bottom w:val="single" w:sz="2" w:space="0" w:color="D9D9E3"/>
                <w:right w:val="single" w:sz="2" w:space="0" w:color="D9D9E3"/>
              </w:pBdr>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Նորարարության հետ կապված ռիսկը նշանակում է նոր գաղափարներ, տեխնոլոգիաներ կամ բիզնես մոդելներ գործածելու հնարավոր ֆինանսական և գործառնական հետևանքները։ Դա այն ռիսկն է, որը կապված է </w:t>
            </w:r>
            <w:r w:rsidRPr="00B46168">
              <w:rPr>
                <w:rFonts w:ascii="GHEA Grapalat" w:hAnsi="GHEA Grapalat"/>
                <w:color w:val="000000" w:themeColor="text1"/>
                <w:sz w:val="18"/>
                <w:szCs w:val="18"/>
              </w:rPr>
              <w:lastRenderedPageBreak/>
              <w:t>նորարարական գործունեության արդյունքների անորոշության և անկանխատեսելիության հետ։</w:t>
            </w:r>
          </w:p>
          <w:p w14:paraId="67B588B3" w14:textId="77777777" w:rsidR="007F3B6C" w:rsidRPr="00B46168" w:rsidRDefault="007F3B6C" w:rsidP="0010344F">
            <w:pPr>
              <w:widowControl w:val="0"/>
              <w:pBdr>
                <w:top w:val="single" w:sz="2" w:space="0" w:color="D9D9E3"/>
                <w:left w:val="single" w:sz="2" w:space="0" w:color="D9D9E3"/>
                <w:bottom w:val="single" w:sz="2" w:space="0" w:color="D9D9E3"/>
                <w:right w:val="single" w:sz="2" w:space="0" w:color="D9D9E3"/>
              </w:pBdr>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Նորարությունը ենթադրում է նոր արտադրանքի, ծառայությունների կամ գործընթացների մշակում, որոնք այժմ չեն շրջանառվում շուկայում, կամ գոյություն ունեցող արտադրանքի, ծառայությունների կամ գործընթացների բարելավված տարբերակներ։ Երբ ընկերությունները ցանկանում են իրականացնել նորարարություններ, ապա նրանք պետք է գիտահետազոտական աշխատանքներում ներդնեն ժամանակ, ռեսուրսներ և գումար, ինչը կարող է լինել ծախսատար և ժամանակատար։ Ավելին, չկա որևէ երաշխիք, որ նորարարությունները կունենան հաջող ընթացք՝ հանգեցնելով ռեսուրսների և </w:t>
            </w:r>
            <w:r w:rsidRPr="00B46168">
              <w:rPr>
                <w:rFonts w:ascii="GHEA Grapalat" w:hAnsi="GHEA Grapalat"/>
                <w:color w:val="000000" w:themeColor="text1"/>
                <w:sz w:val="18"/>
                <w:szCs w:val="18"/>
              </w:rPr>
              <w:lastRenderedPageBreak/>
              <w:t>ներդրումների հնարավոր կորստի</w:t>
            </w:r>
          </w:p>
        </w:tc>
        <w:tc>
          <w:tcPr>
            <w:tcW w:w="1160" w:type="dxa"/>
          </w:tcPr>
          <w:p w14:paraId="3A4A1B76"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0 %</w:t>
            </w:r>
          </w:p>
        </w:tc>
        <w:tc>
          <w:tcPr>
            <w:tcW w:w="1241" w:type="dxa"/>
          </w:tcPr>
          <w:p w14:paraId="480C4EF0"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100 %</w:t>
            </w:r>
          </w:p>
        </w:tc>
        <w:tc>
          <w:tcPr>
            <w:tcW w:w="1047" w:type="dxa"/>
          </w:tcPr>
          <w:p w14:paraId="1B3D3B8F"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tcPr>
          <w:p w14:paraId="1722A5C8" w14:textId="77777777" w:rsidR="007F3B6C" w:rsidRPr="00B46168" w:rsidRDefault="007F3B6C" w:rsidP="0010344F">
            <w:pPr>
              <w:widowControl w:val="0"/>
              <w:suppressAutoHyphens/>
              <w:ind w:left="-83"/>
              <w:jc w:val="left"/>
              <w:rPr>
                <w:rFonts w:ascii="GHEA Grapalat" w:hAnsi="GHEA Grapalat" w:cs="Arial"/>
                <w:color w:val="000000" w:themeColor="text1"/>
                <w:sz w:val="18"/>
                <w:szCs w:val="18"/>
              </w:rPr>
            </w:pPr>
            <w:r w:rsidRPr="00B46168">
              <w:rPr>
                <w:rFonts w:ascii="GHEA Grapalat" w:hAnsi="GHEA Grapalat"/>
                <w:color w:val="000000" w:themeColor="text1"/>
                <w:spacing w:val="-4"/>
                <w:sz w:val="18"/>
                <w:szCs w:val="18"/>
              </w:rPr>
              <w:t>Չափավոր</w:t>
            </w:r>
          </w:p>
        </w:tc>
        <w:tc>
          <w:tcPr>
            <w:tcW w:w="2515" w:type="dxa"/>
          </w:tcPr>
          <w:p w14:paraId="273EB26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Սա կարող  անդրադառնալ մասնավոր գործընկերոջ գործառնությունների արդյունավետության վրա և հետևաբար հանգեցնել ԶՆԱ-ի նվազեցման։</w:t>
            </w:r>
          </w:p>
        </w:tc>
        <w:tc>
          <w:tcPr>
            <w:tcW w:w="1715" w:type="dxa"/>
          </w:tcPr>
          <w:p w14:paraId="2B4F4E4C" w14:textId="77777777" w:rsidR="007F3B6C" w:rsidRPr="00B46168" w:rsidRDefault="007F3B6C" w:rsidP="0010344F">
            <w:pPr>
              <w:widowControl w:val="0"/>
              <w:suppressAutoHyphens/>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w:t>
            </w:r>
          </w:p>
        </w:tc>
        <w:tc>
          <w:tcPr>
            <w:tcW w:w="2610" w:type="dxa"/>
          </w:tcPr>
          <w:p w14:paraId="1C7B7F8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 Տեխնիկական պահանջները, որոնք ձևակերպվել են՝ գործառնություններում կիրառվող այն տեխնոլոգիաները և կատարված այլ բարելավումներ հաշվի առնելու համար, որոնք լիարժեք մշակված են և փորձարկվել են շուկայում։</w:t>
            </w:r>
          </w:p>
          <w:p w14:paraId="48D7D6D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2. Շուկայի ուսումնասիրություն հնարավոր մասնակիցների հետ՝ հավաստիանալու համար, որ տեխնիկական պահանջները համապատասխանում են համաշխարհային շուկայի չափանիշներին և գործելակերպերին։ </w:t>
            </w:r>
          </w:p>
        </w:tc>
      </w:tr>
      <w:tr w:rsidR="007F3B6C" w:rsidRPr="00B46168" w14:paraId="4CAE5A30" w14:textId="77777777" w:rsidTr="00A84C68">
        <w:trPr>
          <w:gridAfter w:val="1"/>
          <w:wAfter w:w="6" w:type="dxa"/>
          <w:jc w:val="center"/>
        </w:trPr>
        <w:tc>
          <w:tcPr>
            <w:tcW w:w="688" w:type="dxa"/>
            <w:shd w:val="clear" w:color="auto" w:fill="D9D9D9" w:themeFill="background1" w:themeFillShade="D9"/>
            <w:hideMark/>
          </w:tcPr>
          <w:p w14:paraId="6E469EE8"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10.</w:t>
            </w:r>
          </w:p>
        </w:tc>
        <w:tc>
          <w:tcPr>
            <w:tcW w:w="1958" w:type="dxa"/>
            <w:shd w:val="clear" w:color="auto" w:fill="D9D9D9" w:themeFill="background1" w:themeFillShade="D9"/>
            <w:hideMark/>
          </w:tcPr>
          <w:p w14:paraId="264B2C6F"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Ծրագրի ոչ պատշաճ տեխնիկական բնութագրերը</w:t>
            </w:r>
          </w:p>
        </w:tc>
        <w:tc>
          <w:tcPr>
            <w:tcW w:w="2247" w:type="dxa"/>
            <w:hideMark/>
          </w:tcPr>
          <w:p w14:paraId="2CF4656F"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Ծրագրի կատարման կանխատեսումները կարող են լինել անիրական (այսինքն՝ ապահովումն անհնար լինի)</w:t>
            </w:r>
          </w:p>
        </w:tc>
        <w:tc>
          <w:tcPr>
            <w:tcW w:w="1160" w:type="dxa"/>
            <w:hideMark/>
          </w:tcPr>
          <w:p w14:paraId="36E41543"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25%</w:t>
            </w:r>
          </w:p>
        </w:tc>
        <w:tc>
          <w:tcPr>
            <w:tcW w:w="1241" w:type="dxa"/>
            <w:hideMark/>
          </w:tcPr>
          <w:p w14:paraId="67107F2F"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75%</w:t>
            </w:r>
          </w:p>
        </w:tc>
        <w:tc>
          <w:tcPr>
            <w:tcW w:w="1047" w:type="dxa"/>
            <w:hideMark/>
          </w:tcPr>
          <w:p w14:paraId="7EEC11B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4170FCBD" w14:textId="77777777" w:rsidR="007F3B6C" w:rsidRPr="00B46168" w:rsidRDefault="007F3B6C" w:rsidP="0010344F">
            <w:pPr>
              <w:widowControl w:val="0"/>
              <w:suppressAutoHyphens/>
              <w:ind w:left="-83"/>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69CB55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Ծրագրի ոչ պատշաճ տեխնիկական բնութագրերի հետևանքով մասնավոր գործընկերոջ համար կարող է դժվարանալ կատարել սահմանված ԾՄՊ-ն/պայմանագրային պարտավորությունը, ինչը հետևաբար կարող է հանգեցնել մասնավոր գործընկերոջ համար վճարների (եկամուտների) նվազեցման։</w:t>
            </w:r>
          </w:p>
          <w:p w14:paraId="64E61D9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p>
          <w:p w14:paraId="0E5BAD96" w14:textId="55D41685" w:rsidR="007F3B6C" w:rsidRPr="00B46168" w:rsidRDefault="007F3B6C" w:rsidP="009B76A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Ինչպես նաև Ծրագրի ոչ պատշաճ տեխնիկական բնութագրերի հետևանքով (օրինակ ԾՄՊ-ի չափազանց խիստ պահանջներ) կարող են ներկայացվել ավելի բարձր գնային առաջարկներ, իսկ հանրային գործընկերոջ համար կարող են ավելանալ ծրագրի ծախսերը։</w:t>
            </w:r>
            <w:r w:rsidR="009B76AF">
              <w:rPr>
                <w:rFonts w:ascii="GHEA Grapalat" w:hAnsi="GHEA Grapalat"/>
                <w:color w:val="000000" w:themeColor="text1"/>
                <w:sz w:val="18"/>
                <w:szCs w:val="18"/>
              </w:rPr>
              <w:t xml:space="preserve"> </w:t>
            </w:r>
            <w:r w:rsidRPr="00B46168">
              <w:rPr>
                <w:rFonts w:ascii="GHEA Grapalat" w:hAnsi="GHEA Grapalat"/>
                <w:color w:val="000000" w:themeColor="text1"/>
                <w:sz w:val="18"/>
                <w:szCs w:val="18"/>
              </w:rPr>
              <w:t xml:space="preserve">Որոշ դեպքերում մասնավոր կողմի գործունեության համար կարող է պահանջվել հանրային գործընկերոջ աջակցությունը։ Այսպիսի դեպքերում ԾՄՊ-ի չկատարման համար վճարների նվազեցում չի կիրառվի։ </w:t>
            </w:r>
          </w:p>
        </w:tc>
        <w:tc>
          <w:tcPr>
            <w:tcW w:w="1715" w:type="dxa"/>
            <w:hideMark/>
          </w:tcPr>
          <w:p w14:paraId="6E1F19D9"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3A2F892D"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Հնարավոր մասնակիցների հետ շուկայի վերաբերյալ խորհրդակցություններ։</w:t>
            </w:r>
          </w:p>
        </w:tc>
      </w:tr>
      <w:tr w:rsidR="007F3B6C" w:rsidRPr="00B46168" w14:paraId="7A1BC0A1" w14:textId="77777777" w:rsidTr="00A84C68">
        <w:trPr>
          <w:gridAfter w:val="1"/>
          <w:wAfter w:w="6" w:type="dxa"/>
          <w:jc w:val="center"/>
        </w:trPr>
        <w:tc>
          <w:tcPr>
            <w:tcW w:w="688" w:type="dxa"/>
            <w:shd w:val="clear" w:color="auto" w:fill="D9D9D9" w:themeFill="background1" w:themeFillShade="D9"/>
            <w:hideMark/>
          </w:tcPr>
          <w:p w14:paraId="57C6D148"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11.</w:t>
            </w:r>
          </w:p>
        </w:tc>
        <w:tc>
          <w:tcPr>
            <w:tcW w:w="1958" w:type="dxa"/>
            <w:shd w:val="clear" w:color="auto" w:fill="D9D9D9" w:themeFill="background1" w:themeFillShade="D9"/>
            <w:hideMark/>
          </w:tcPr>
          <w:p w14:paraId="01579BF0"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Ծրագրի ավարտի ուշացումը</w:t>
            </w:r>
          </w:p>
        </w:tc>
        <w:tc>
          <w:tcPr>
            <w:tcW w:w="2247" w:type="dxa"/>
            <w:hideMark/>
          </w:tcPr>
          <w:p w14:paraId="1906056E"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Նախագծման և կազմման ռիսկերը սերտորեն կապված են նախատեսված գրասենյակների՝ ժամանակին և բյուջեի շրջանակներում  շահագործման հանձնելու ռիսկի հետ։ Մինչև համապատասխան աշխատանքների ավարտման ամսաթիվը, ինչպես օրինակ՝ ֆինանսական փակման վերջնաժամկետին Ծրագրի հանձնման ձգձգումների պատճառները կարող են տարբեր լինել, օրինակ՝ շինարարական նյութի և սարքավորումների բացակայություն, առաքման ուշացումներ, ծրագրի իրականացման ժամանակացույցից շեղումներ կամ դրանում տեղ գտած սխալներ, ինչպես նաև եղանակային պայմաններ, քաղաքացիական անկարգություններ կամ գործադուլներ և հանրային գործընկերոջ կամ կառավարության գործողություններ։</w:t>
            </w:r>
          </w:p>
          <w:p w14:paraId="170B0C21"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Մասնավոր գործընկերը, որպես կանոն, կրում է ձգձգումների ռիսկն այնքանով, որքանով դրանք պայմանավորված չեն հանրային գործընկերոջ կողմից Ծրագրի ավարտման համար անհրաժեշտ հանձառությունները չկատարելու հանգամանքով։ </w:t>
            </w:r>
          </w:p>
        </w:tc>
        <w:tc>
          <w:tcPr>
            <w:tcW w:w="1160" w:type="dxa"/>
            <w:hideMark/>
          </w:tcPr>
          <w:p w14:paraId="1DDD11B0"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25%</w:t>
            </w:r>
          </w:p>
        </w:tc>
        <w:tc>
          <w:tcPr>
            <w:tcW w:w="1241" w:type="dxa"/>
            <w:hideMark/>
          </w:tcPr>
          <w:p w14:paraId="44FC57E7"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75%</w:t>
            </w:r>
          </w:p>
        </w:tc>
        <w:tc>
          <w:tcPr>
            <w:tcW w:w="1047" w:type="dxa"/>
            <w:hideMark/>
          </w:tcPr>
          <w:p w14:paraId="1FC51BA3"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67C20EC9" w14:textId="77777777" w:rsidR="007F3B6C" w:rsidRPr="00B46168" w:rsidRDefault="007F3B6C" w:rsidP="0010344F">
            <w:pPr>
              <w:widowControl w:val="0"/>
              <w:suppressAutoHyphens/>
              <w:ind w:left="-55" w:right="-54"/>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1ABE154E" w14:textId="77777777" w:rsidR="007F3B6C" w:rsidRPr="00B46168" w:rsidRDefault="007F3B6C" w:rsidP="0010344F">
            <w:pPr>
              <w:widowControl w:val="0"/>
              <w:suppressAutoHyphens/>
              <w:ind w:right="-67"/>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Մասնավոր գործընկերոջ համար համապատասխան աշխատանքների ավարտման ամսաթվից ուշացնելու հետևանքներն են ակնկալվող եկամտի կորուստը՝ պայմանավորված երկարաձգված ընթացիկ շինարարական աշխատանքների ծախսերի և ֆինանսական ծախսերի ավելացմամբ։ Սա կարող է հանգեցնել Ծրագրի զուտ ներկա արժեքի նվազեցման:</w:t>
            </w:r>
          </w:p>
          <w:p w14:paraId="0944147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Քանի դեռ չի ներդրվել Ծրագիրը, Կառավարությունը կարող է շարունակել իրականացնել իր նախկին գործառնությունները, սակայն ծայրահեղ դեպքերում Ծրագրի ավարտի ուշացմամբ կարող է սահմանափակվել ՀԿ-ի՝ գործառնությունների անխափան իրականացումը շարունակելու կարողությունը (օրինակ՝ մատակարարված նյութերի պակասի պատճառով)։</w:t>
            </w:r>
          </w:p>
          <w:p w14:paraId="13D23635"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Հանրային գործընկերը ստանձնում է ռիսկերն այն դեպքերում, երբ Ծրագրի ավարտման ուշացումը պայմանավորված է ՀԿ-ի կողմից </w:t>
            </w:r>
            <w:r w:rsidRPr="00B46168">
              <w:rPr>
                <w:rFonts w:ascii="GHEA Grapalat" w:hAnsi="GHEA Grapalat"/>
                <w:color w:val="000000" w:themeColor="text1"/>
                <w:sz w:val="18"/>
                <w:szCs w:val="18"/>
              </w:rPr>
              <w:lastRenderedPageBreak/>
              <w:t xml:space="preserve">հանձնառությունների չկատարմամբ (օրինակ՝ համաձայնեցված ժամկետում գրասենյակների հանձնում, փաստաթղթերի բլանկների համար գեղագիտական դիզայնի կազմման մասնագրերի ներկայացում)։ </w:t>
            </w:r>
          </w:p>
        </w:tc>
        <w:tc>
          <w:tcPr>
            <w:tcW w:w="1715" w:type="dxa"/>
            <w:hideMark/>
          </w:tcPr>
          <w:p w14:paraId="0276575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lastRenderedPageBreak/>
              <w:t>2,370,000</w:t>
            </w:r>
            <w:r w:rsidRPr="00B46168">
              <w:rPr>
                <w:rFonts w:ascii="GHEA Grapalat" w:hAnsi="GHEA Grapalat"/>
                <w:color w:val="000000" w:themeColor="text1"/>
                <w:sz w:val="18"/>
                <w:szCs w:val="18"/>
              </w:rPr>
              <w:t xml:space="preserve"> </w:t>
            </w:r>
            <w:r w:rsidRPr="00B46168">
              <w:rPr>
                <w:rFonts w:ascii="GHEA Grapalat" w:hAnsi="GHEA Grapalat"/>
                <w:sz w:val="18"/>
                <w:szCs w:val="18"/>
              </w:rPr>
              <w:t>(հաշվարկվել է՝ հաշվի առնելով Ծրագրից եկամուտ ստանալու կորցված հնարավորությունը. դիտարկվել են հետևանքների մի քանի տարբերակ՝ տեղի ունենալու սահմանված հավանականությամբ)</w:t>
            </w:r>
          </w:p>
        </w:tc>
        <w:tc>
          <w:tcPr>
            <w:tcW w:w="2610" w:type="dxa"/>
            <w:hideMark/>
          </w:tcPr>
          <w:p w14:paraId="11014E0B" w14:textId="6CCA0139"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Պայմանագրի </w:t>
            </w:r>
            <w:r w:rsidR="00AD54E3">
              <w:rPr>
                <w:rFonts w:ascii="GHEA Grapalat" w:hAnsi="GHEA Grapalat"/>
                <w:color w:val="000000" w:themeColor="text1"/>
                <w:sz w:val="18"/>
                <w:szCs w:val="18"/>
              </w:rPr>
              <w:t>մշտադիտարկման</w:t>
            </w:r>
            <w:r w:rsidRPr="00B46168">
              <w:rPr>
                <w:rFonts w:ascii="GHEA Grapalat" w:hAnsi="GHEA Grapalat"/>
                <w:color w:val="000000" w:themeColor="text1"/>
                <w:sz w:val="18"/>
                <w:szCs w:val="18"/>
              </w:rPr>
              <w:t xml:space="preserve"> </w:t>
            </w:r>
            <w:r w:rsidR="00AD54E3">
              <w:rPr>
                <w:rFonts w:ascii="GHEA Grapalat" w:hAnsi="GHEA Grapalat"/>
                <w:color w:val="000000" w:themeColor="text1"/>
                <w:sz w:val="18"/>
                <w:szCs w:val="18"/>
              </w:rPr>
              <w:t>հանձնաժողովի</w:t>
            </w:r>
            <w:r w:rsidRPr="00B46168">
              <w:rPr>
                <w:rFonts w:ascii="GHEA Grapalat" w:hAnsi="GHEA Grapalat"/>
                <w:color w:val="000000" w:themeColor="text1"/>
                <w:sz w:val="18"/>
                <w:szCs w:val="18"/>
              </w:rPr>
              <w:t xml:space="preserve"> կողմից պայմանագրի կատարման ընթացքի խիստ </w:t>
            </w:r>
            <w:r w:rsidR="00AD54E3">
              <w:rPr>
                <w:rFonts w:ascii="GHEA Grapalat" w:hAnsi="GHEA Grapalat"/>
                <w:color w:val="000000" w:themeColor="text1"/>
                <w:sz w:val="18"/>
                <w:szCs w:val="18"/>
              </w:rPr>
              <w:t>մշտադիտարկում</w:t>
            </w:r>
            <w:r w:rsidRPr="00B46168">
              <w:rPr>
                <w:rFonts w:ascii="GHEA Grapalat" w:hAnsi="GHEA Grapalat"/>
                <w:color w:val="000000" w:themeColor="text1"/>
                <w:sz w:val="18"/>
                <w:szCs w:val="18"/>
              </w:rPr>
              <w:t xml:space="preserve"> </w:t>
            </w:r>
          </w:p>
        </w:tc>
      </w:tr>
      <w:tr w:rsidR="007F3B6C" w:rsidRPr="00B46168" w14:paraId="0E01DA23" w14:textId="77777777" w:rsidTr="00A84C68">
        <w:trPr>
          <w:gridAfter w:val="1"/>
          <w:wAfter w:w="6" w:type="dxa"/>
          <w:jc w:val="center"/>
        </w:trPr>
        <w:tc>
          <w:tcPr>
            <w:tcW w:w="688" w:type="dxa"/>
            <w:shd w:val="clear" w:color="auto" w:fill="D9D9D9" w:themeFill="background1" w:themeFillShade="D9"/>
            <w:hideMark/>
          </w:tcPr>
          <w:p w14:paraId="15B9E005"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12.</w:t>
            </w:r>
          </w:p>
        </w:tc>
        <w:tc>
          <w:tcPr>
            <w:tcW w:w="1958" w:type="dxa"/>
            <w:shd w:val="clear" w:color="auto" w:fill="D9D9D9" w:themeFill="background1" w:themeFillShade="D9"/>
            <w:hideMark/>
          </w:tcPr>
          <w:p w14:paraId="16D3D94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Ֆինանսական միջոցների գերօգտագործումը (գերածախս)</w:t>
            </w:r>
          </w:p>
        </w:tc>
        <w:tc>
          <w:tcPr>
            <w:tcW w:w="2247" w:type="dxa"/>
            <w:hideMark/>
          </w:tcPr>
          <w:p w14:paraId="5843AB92"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Նախագծման և կազմման ռիսկերը սերտորեն կապված են նախատեսված գրասենյակների՝ ժամանակին և բյուջեի շրջանակներում  շահագործման հանձնելու ռիսկի հետ։</w:t>
            </w:r>
          </w:p>
          <w:p w14:paraId="3719E90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Ֆինանսական միջոցների գերօգտագործումը (այսինքն՝ ֆինանսական փակման վերջնաժամկետում ծրագրի ֆինանսական մոդելում ենթադրաբար կրած շինարարական ծախսերը գերազանցող ծախսերը) կարող է պայմանավորված լինել տարբեր հանգամանքներով, ինչպես օրինակ՝ </w:t>
            </w:r>
            <w:r w:rsidRPr="00B46168">
              <w:rPr>
                <w:rFonts w:ascii="GHEA Grapalat" w:hAnsi="GHEA Grapalat"/>
                <w:color w:val="000000" w:themeColor="text1"/>
                <w:sz w:val="18"/>
                <w:szCs w:val="18"/>
              </w:rPr>
              <w:lastRenderedPageBreak/>
              <w:t xml:space="preserve">շինարարարության նախահաշվում կատարված սխալներ, նյութերի արժեքի ավելացում, հանրային գործընկերոջ կամ կառավարության գործողություններ, շինարարության ծրագրից շեղումներ, կամ Ծրագրի կատարման ուշացում կամ հնարավոր ուշացումների նվազեցում։ </w:t>
            </w:r>
          </w:p>
          <w:p w14:paraId="780D0448" w14:textId="21C7D603"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Մասնավոր գործընկերը</w:t>
            </w:r>
            <w:r w:rsidR="007A7B49">
              <w:rPr>
                <w:rFonts w:ascii="GHEA Grapalat" w:hAnsi="GHEA Grapalat"/>
                <w:color w:val="000000" w:themeColor="text1"/>
                <w:sz w:val="18"/>
                <w:szCs w:val="18"/>
              </w:rPr>
              <w:t xml:space="preserve"> պայմանագրի համաձայն</w:t>
            </w:r>
            <w:r w:rsidRPr="00B46168">
              <w:rPr>
                <w:rFonts w:ascii="GHEA Grapalat" w:hAnsi="GHEA Grapalat"/>
                <w:color w:val="000000" w:themeColor="text1"/>
                <w:sz w:val="18"/>
                <w:szCs w:val="18"/>
              </w:rPr>
              <w:t xml:space="preserve"> կրում է ծախսերի ավելացման ռիսկն այնքանով, որքանով դրանք պայմանավորված չեն անհաղթահարելի ուժով, փոխհատուցման պահանջներով (օրինակ՝ տոպոգեոդեզիական հետախուզության չենթարկված վայրի պայմանների հետ կապված) և չեն կարգավորվում են այլ համաձայնեցված դրույթներով։</w:t>
            </w:r>
          </w:p>
        </w:tc>
        <w:tc>
          <w:tcPr>
            <w:tcW w:w="1160" w:type="dxa"/>
            <w:hideMark/>
          </w:tcPr>
          <w:p w14:paraId="266A4973"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25%</w:t>
            </w:r>
          </w:p>
        </w:tc>
        <w:tc>
          <w:tcPr>
            <w:tcW w:w="1241" w:type="dxa"/>
            <w:hideMark/>
          </w:tcPr>
          <w:p w14:paraId="56908E07"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75%</w:t>
            </w:r>
          </w:p>
        </w:tc>
        <w:tc>
          <w:tcPr>
            <w:tcW w:w="1047" w:type="dxa"/>
            <w:hideMark/>
          </w:tcPr>
          <w:p w14:paraId="02A586CD"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23311B4D" w14:textId="77777777" w:rsidR="007F3B6C" w:rsidRPr="00B46168" w:rsidRDefault="007F3B6C" w:rsidP="0010344F">
            <w:pPr>
              <w:widowControl w:val="0"/>
              <w:suppressAutoHyphens/>
              <w:ind w:left="-83" w:right="-54"/>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DF10EA0"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Մասնավոր գործընկերոջ համար սա կարող է հանգեցնել ծրագրի ԶՆԱ-ի նվազեցման։</w:t>
            </w:r>
          </w:p>
          <w:p w14:paraId="13CADCB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Հանրային գործընկերը կրում է ռիսկերն այն դեպքերում, երբ գերածախսը պայմանավորված է հանրային գործընկերոջ կողմից իր հանձնառությունների չկատարմամբ (օրինակ՝ հանրային գործընկերոջ մեղքով Ծրագրի իրականացման ուշացումներ)։</w:t>
            </w:r>
          </w:p>
        </w:tc>
        <w:tc>
          <w:tcPr>
            <w:tcW w:w="1715" w:type="dxa"/>
            <w:hideMark/>
          </w:tcPr>
          <w:p w14:paraId="6881B14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t>2,190,000</w:t>
            </w:r>
            <w:r w:rsidRPr="00B46168">
              <w:rPr>
                <w:rFonts w:ascii="GHEA Grapalat" w:hAnsi="GHEA Grapalat"/>
                <w:sz w:val="18"/>
                <w:szCs w:val="18"/>
              </w:rPr>
              <w:t xml:space="preserve"> (հաշվարկել է՝ հաշվի առնելով ԿԱՊԾԱԽՍ-երի ավելացման հավանականությունը. դիտարկվել են գերածախսերի հետևանքների մի քանի տարբերակ)</w:t>
            </w:r>
          </w:p>
        </w:tc>
        <w:tc>
          <w:tcPr>
            <w:tcW w:w="2610" w:type="dxa"/>
            <w:hideMark/>
          </w:tcPr>
          <w:p w14:paraId="527B6429"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Պայմանագրի դիտացման կոմիտեի կողմից պայմանագրի կատարման ընթացքի խիստ դիտանցում </w:t>
            </w:r>
          </w:p>
          <w:p w14:paraId="62BE5188"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Շինարարական նյութերի մատակարարման՝</w:t>
            </w:r>
          </w:p>
          <w:p w14:paraId="3A4ACA0A"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հաստատուն գնով պայմանագրեր</w:t>
            </w:r>
          </w:p>
          <w:p w14:paraId="6235B03B"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3. Չնախատեսված ծախսերի համար նախատեսված պայմանագրի դրույթներ</w:t>
            </w:r>
          </w:p>
          <w:p w14:paraId="40B6B60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4. Որոշ շուկաներում ռիսկը համարվում է մասնավոր գործընկերոջ կողմից կառավարելի պարտավորությունները  վստահելի և փորձառու ենթակապալառուներին լիարժեք փոխանցելու, պատշաճ ժամանակացույց տրամադրելու և չնախատեսված ծախսերի բյուջե ունենալու </w:t>
            </w:r>
            <w:r w:rsidRPr="00B46168">
              <w:rPr>
                <w:rFonts w:ascii="GHEA Grapalat" w:hAnsi="GHEA Grapalat"/>
                <w:color w:val="000000" w:themeColor="text1"/>
                <w:sz w:val="18"/>
                <w:szCs w:val="18"/>
              </w:rPr>
              <w:lastRenderedPageBreak/>
              <w:t>հնարավորության դեպքում, ինչպես նաև չկատարման ռիսկից պատշաճ պաշտպանություն ապահովելու դեպքում։</w:t>
            </w:r>
          </w:p>
          <w:p w14:paraId="3C720847"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5. Մասնավոր գործընկերը կարող է նվազեցնել ենթակապալառուների կողմից չկատարման ռիսկը՝ ապահովելով ենթակապալառուներից պատշաճ պաշտպանությունը (օրինակ՝ մայր ընկերության երաշխիքներ և (կամ) պարտավորությունների կատարումն ապահովելու միջոցներ)։</w:t>
            </w:r>
          </w:p>
          <w:p w14:paraId="7DB46E8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6. Հանրային գործընկերը երբեմն կարող է ինքնուրույն հայցել լրացուցիչ երաշխիքներ՝ այդ ծախսերի մարումն ապահովելու համար։</w:t>
            </w:r>
          </w:p>
        </w:tc>
      </w:tr>
      <w:tr w:rsidR="007F3B6C" w:rsidRPr="00B46168" w14:paraId="0B9E545F" w14:textId="77777777" w:rsidTr="00A84C68">
        <w:trPr>
          <w:gridAfter w:val="1"/>
          <w:wAfter w:w="6" w:type="dxa"/>
          <w:jc w:val="center"/>
        </w:trPr>
        <w:tc>
          <w:tcPr>
            <w:tcW w:w="688" w:type="dxa"/>
            <w:shd w:val="clear" w:color="auto" w:fill="D9D9D9" w:themeFill="background1" w:themeFillShade="D9"/>
            <w:hideMark/>
          </w:tcPr>
          <w:p w14:paraId="781A2C21" w14:textId="77777777" w:rsidR="007F3B6C" w:rsidRPr="00B46168" w:rsidRDefault="007F3B6C" w:rsidP="0010344F">
            <w:pPr>
              <w:widowControl w:val="0"/>
              <w:suppressAutoHyphens/>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13.</w:t>
            </w:r>
          </w:p>
        </w:tc>
        <w:tc>
          <w:tcPr>
            <w:tcW w:w="1958" w:type="dxa"/>
            <w:shd w:val="clear" w:color="auto" w:fill="D9D9D9" w:themeFill="background1" w:themeFillShade="D9"/>
            <w:hideMark/>
          </w:tcPr>
          <w:p w14:paraId="1F1BEFC4"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Ակտիվների հասանելիությունը և օգտագործման պայմանները</w:t>
            </w:r>
          </w:p>
        </w:tc>
        <w:tc>
          <w:tcPr>
            <w:tcW w:w="2247" w:type="dxa"/>
            <w:hideMark/>
          </w:tcPr>
          <w:p w14:paraId="0DC9FCC3"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Մասնավոր գործընկերոջն ակտիվների կառավարման և (կամ) </w:t>
            </w:r>
            <w:r w:rsidRPr="00B46168">
              <w:rPr>
                <w:rFonts w:ascii="GHEA Grapalat" w:hAnsi="GHEA Grapalat"/>
                <w:color w:val="000000" w:themeColor="text1"/>
                <w:sz w:val="18"/>
                <w:szCs w:val="18"/>
              </w:rPr>
              <w:lastRenderedPageBreak/>
              <w:t>հողամասերի օգտագործման իրավունքների փոխանցման հետ կապված ռիսկերը</w:t>
            </w:r>
          </w:p>
        </w:tc>
        <w:tc>
          <w:tcPr>
            <w:tcW w:w="1160" w:type="dxa"/>
            <w:hideMark/>
          </w:tcPr>
          <w:p w14:paraId="18F26E0E"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hideMark/>
          </w:tcPr>
          <w:p w14:paraId="2774BED1" w14:textId="77777777" w:rsidR="007F3B6C" w:rsidRPr="00B46168" w:rsidRDefault="007F3B6C" w:rsidP="0010344F">
            <w:pPr>
              <w:widowControl w:val="0"/>
              <w:suppressAutoHyphens/>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44C92673"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73D4F16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4B3DDE4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Սա կարող է հանգեցնել ծրագրի իրականացման ձգձգման</w:t>
            </w:r>
          </w:p>
        </w:tc>
        <w:tc>
          <w:tcPr>
            <w:tcW w:w="1715" w:type="dxa"/>
            <w:hideMark/>
          </w:tcPr>
          <w:p w14:paraId="1F8505F6"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 </w:t>
            </w:r>
          </w:p>
        </w:tc>
        <w:tc>
          <w:tcPr>
            <w:tcW w:w="2610" w:type="dxa"/>
            <w:hideMark/>
          </w:tcPr>
          <w:p w14:paraId="4D4282BC" w14:textId="77777777" w:rsidR="007F3B6C" w:rsidRPr="00B46168" w:rsidRDefault="007F3B6C" w:rsidP="0010344F">
            <w:pPr>
              <w:widowControl w:val="0"/>
              <w:suppressAutoHyphens/>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ՊՄԳ-ի ծրագրի նախագծման փուլում փոխանցման պայմանների մանրամասն վերլուծությունը </w:t>
            </w:r>
            <w:r w:rsidRPr="00B46168">
              <w:rPr>
                <w:rFonts w:ascii="GHEA Grapalat" w:hAnsi="GHEA Grapalat"/>
                <w:color w:val="000000" w:themeColor="text1"/>
                <w:sz w:val="18"/>
                <w:szCs w:val="18"/>
              </w:rPr>
              <w:lastRenderedPageBreak/>
              <w:t>և մշակումը</w:t>
            </w:r>
          </w:p>
        </w:tc>
      </w:tr>
      <w:tr w:rsidR="007F3B6C" w:rsidRPr="00B46168" w14:paraId="21CF6DD6" w14:textId="77777777" w:rsidTr="00A84C68">
        <w:trPr>
          <w:jc w:val="center"/>
        </w:trPr>
        <w:tc>
          <w:tcPr>
            <w:tcW w:w="16291" w:type="dxa"/>
            <w:gridSpan w:val="11"/>
            <w:shd w:val="clear" w:color="auto" w:fill="D9D9D9" w:themeFill="background1" w:themeFillShade="D9"/>
          </w:tcPr>
          <w:p w14:paraId="54176D78" w14:textId="77777777" w:rsidR="007F3B6C" w:rsidRPr="00B46168" w:rsidRDefault="007F3B6C" w:rsidP="0010344F">
            <w:pPr>
              <w:widowControl w:val="0"/>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Գործառնական</w:t>
            </w:r>
          </w:p>
        </w:tc>
      </w:tr>
      <w:tr w:rsidR="007F3B6C" w:rsidRPr="00B46168" w14:paraId="76EFB380" w14:textId="77777777" w:rsidTr="00A84C68">
        <w:trPr>
          <w:gridAfter w:val="1"/>
          <w:wAfter w:w="6" w:type="dxa"/>
          <w:jc w:val="center"/>
        </w:trPr>
        <w:tc>
          <w:tcPr>
            <w:tcW w:w="688" w:type="dxa"/>
            <w:shd w:val="clear" w:color="auto" w:fill="D9D9D9" w:themeFill="background1" w:themeFillShade="D9"/>
          </w:tcPr>
          <w:p w14:paraId="2DB56B08"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14.</w:t>
            </w:r>
          </w:p>
        </w:tc>
        <w:tc>
          <w:tcPr>
            <w:tcW w:w="1958" w:type="dxa"/>
            <w:shd w:val="clear" w:color="auto" w:fill="D9D9D9" w:themeFill="background1" w:themeFillShade="D9"/>
          </w:tcPr>
          <w:p w14:paraId="23D7E5E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Ավելացող գործառնական ծախսեր</w:t>
            </w:r>
          </w:p>
        </w:tc>
        <w:tc>
          <w:tcPr>
            <w:tcW w:w="2247" w:type="dxa"/>
          </w:tcPr>
          <w:p w14:paraId="2C9B9A2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Ծրագրի շահագործման փուլի ընթացքում ակնկալվող ապագա ծախսերի ոչ ճիշտ գնահատումը:  Գործառնական փուլում ավելացող ծախսերը և ուշացումները կարող են բազմաթիվ պատճառներ ունենալ՝ սկսած տեխնիկական սպասարկման ծախսերի հաշվարկներից մինչև ծայրահեղ եղանակային պայմանների հետևանքով գործառնական պայմանների փոփոխությունները: Գնաճի հետ կապված ճշգրտումներից բացի` մասնավոր գործընկերը, ընդհանուր առմամբ, կրում է աշխատանքներին խոչընդոտող և (կամ)  մոդելավորված ծախսերի համեմատ (ներդրողի կողմից հաշվարկված ծախսերը </w:t>
            </w:r>
            <w:r w:rsidRPr="00B46168">
              <w:rPr>
                <w:rFonts w:ascii="GHEA Grapalat" w:hAnsi="GHEA Grapalat"/>
                <w:color w:val="000000" w:themeColor="text1"/>
                <w:sz w:val="18"/>
                <w:szCs w:val="18"/>
              </w:rPr>
              <w:lastRenderedPageBreak/>
              <w:t xml:space="preserve">հայտ ներկայացնելու պահին)  ավելի խոշոր ծախսերի հանգեցնող իրադարձությունների ռիսկերը այնքանով, որքանով այդ ռիսկերը պատասխանատվությունից ազատման, անհաղթահարելի ուժի ազդեցության, փոխհատուցման դրույթներին չեն վերաբերում և չեն վերացվում այլ՝ համաձայնեցված դրույթների միջոցով: </w:t>
            </w:r>
          </w:p>
        </w:tc>
        <w:tc>
          <w:tcPr>
            <w:tcW w:w="1160" w:type="dxa"/>
          </w:tcPr>
          <w:p w14:paraId="6875655D"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tcPr>
          <w:p w14:paraId="7ABE9E83"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tcPr>
          <w:p w14:paraId="7DD3FFD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tcPr>
          <w:p w14:paraId="490B1634" w14:textId="77777777" w:rsidR="007F3B6C" w:rsidRPr="00B46168" w:rsidRDefault="007F3B6C" w:rsidP="0010344F">
            <w:pPr>
              <w:widowControl w:val="0"/>
              <w:ind w:right="-81"/>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495F91C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հանգեցնել ծրագրի զուտ բերված արժեքի նվազման: </w:t>
            </w:r>
          </w:p>
        </w:tc>
        <w:tc>
          <w:tcPr>
            <w:tcW w:w="1715" w:type="dxa"/>
          </w:tcPr>
          <w:p w14:paraId="72690ED5" w14:textId="77777777" w:rsidR="007F3B6C" w:rsidRPr="00B46168" w:rsidDel="00774D26"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t xml:space="preserve">7,640,000 </w:t>
            </w:r>
            <w:r w:rsidRPr="00B46168">
              <w:rPr>
                <w:rFonts w:ascii="GHEA Grapalat" w:hAnsi="GHEA Grapalat"/>
                <w:color w:val="000000" w:themeColor="text1"/>
                <w:sz w:val="18"/>
                <w:szCs w:val="18"/>
              </w:rPr>
              <w:t>(հաշվարկվել է Ծրագրի գործողության ժամկետում ԳՈՐԾԾԱԽՍ-երի ավելացման հնարավորության հիման վրա. դիտարկվել են ծախսերի գերակատարման հետևանքների մի քանի տարբերակներ)</w:t>
            </w:r>
          </w:p>
        </w:tc>
        <w:tc>
          <w:tcPr>
            <w:tcW w:w="2610" w:type="dxa"/>
          </w:tcPr>
          <w:p w14:paraId="436AE56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Ծրագրի իրագործմանը նախորդող փուլում ծրագրի ծախսերի մասով շուկայի վերաբերյալ խորհրդատվություն: </w:t>
            </w:r>
          </w:p>
        </w:tc>
      </w:tr>
      <w:tr w:rsidR="007F3B6C" w:rsidRPr="00B46168" w14:paraId="34772C43" w14:textId="77777777" w:rsidTr="00A84C68">
        <w:trPr>
          <w:gridAfter w:val="1"/>
          <w:wAfter w:w="6" w:type="dxa"/>
          <w:jc w:val="center"/>
        </w:trPr>
        <w:tc>
          <w:tcPr>
            <w:tcW w:w="688" w:type="dxa"/>
            <w:shd w:val="clear" w:color="auto" w:fill="D9D9D9" w:themeFill="background1" w:themeFillShade="D9"/>
            <w:hideMark/>
          </w:tcPr>
          <w:p w14:paraId="64C624D7"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15.</w:t>
            </w:r>
          </w:p>
        </w:tc>
        <w:tc>
          <w:tcPr>
            <w:tcW w:w="1958" w:type="dxa"/>
            <w:shd w:val="clear" w:color="auto" w:fill="D9D9D9" w:themeFill="background1" w:themeFillShade="D9"/>
            <w:hideMark/>
          </w:tcPr>
          <w:p w14:paraId="2080495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Մատակարարին փոխելու անկարողություն</w:t>
            </w:r>
          </w:p>
        </w:tc>
        <w:tc>
          <w:tcPr>
            <w:tcW w:w="2247" w:type="dxa"/>
            <w:hideMark/>
          </w:tcPr>
          <w:p w14:paraId="7489498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Արտոնագրված ծրագրաշարից, սարքաշարից և համակարգերից՝ երկու կողմերի կախվածության հետ կապված ռիսկեր</w:t>
            </w:r>
          </w:p>
        </w:tc>
        <w:tc>
          <w:tcPr>
            <w:tcW w:w="1160" w:type="dxa"/>
            <w:hideMark/>
          </w:tcPr>
          <w:p w14:paraId="51D73E46"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241" w:type="dxa"/>
            <w:hideMark/>
          </w:tcPr>
          <w:p w14:paraId="497CE91B"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58079D4E"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372A93C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Ցածր</w:t>
            </w:r>
          </w:p>
        </w:tc>
        <w:tc>
          <w:tcPr>
            <w:tcW w:w="2515" w:type="dxa"/>
          </w:tcPr>
          <w:p w14:paraId="7773F5F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հանգեցնել կոնկրետ տեխնոլոգիական լուծումների համար գործառնական ծախսերի աճի. մատակարարին փոխելու անկարողության պատճառով մրցակցության բացակայությունը կարող է հանգեցնել տեխնիկական սպասարկման կամ լիցենզավորման ծախսերի ավելացման:  </w:t>
            </w:r>
          </w:p>
        </w:tc>
        <w:tc>
          <w:tcPr>
            <w:tcW w:w="1715" w:type="dxa"/>
            <w:hideMark/>
          </w:tcPr>
          <w:p w14:paraId="36B0A35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3176C52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Խորհրդակցություն մրցույթի հնարավոր մասնակիցների հետ՝ տեխնիկական պահանջները մշակելիս այնպիսի պահանջների մշակումը կանխելու համար, որոնք կարող են ենթադրել միայն հատուկ տեխնոլոգիական լուծումներ:  </w:t>
            </w:r>
          </w:p>
        </w:tc>
      </w:tr>
      <w:tr w:rsidR="007F3B6C" w:rsidRPr="00B46168" w14:paraId="41BFDAFC" w14:textId="77777777" w:rsidTr="00A84C68">
        <w:trPr>
          <w:gridAfter w:val="1"/>
          <w:wAfter w:w="6" w:type="dxa"/>
          <w:jc w:val="center"/>
        </w:trPr>
        <w:tc>
          <w:tcPr>
            <w:tcW w:w="688" w:type="dxa"/>
            <w:shd w:val="clear" w:color="auto" w:fill="D9D9D9" w:themeFill="background1" w:themeFillShade="D9"/>
            <w:hideMark/>
          </w:tcPr>
          <w:p w14:paraId="5AE9C2CE"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16.</w:t>
            </w:r>
          </w:p>
        </w:tc>
        <w:tc>
          <w:tcPr>
            <w:tcW w:w="1958" w:type="dxa"/>
            <w:shd w:val="clear" w:color="auto" w:fill="D9D9D9" w:themeFill="background1" w:themeFillShade="D9"/>
            <w:hideMark/>
          </w:tcPr>
          <w:p w14:paraId="54E3491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Անվտանգության խախտում </w:t>
            </w:r>
          </w:p>
        </w:tc>
        <w:tc>
          <w:tcPr>
            <w:tcW w:w="2247" w:type="dxa"/>
            <w:hideMark/>
          </w:tcPr>
          <w:p w14:paraId="2E7761D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Այդ թվում՝ ֆիզիկական և տեղեկատվական, ինչպիսիք են՝ Կիբերանվտանգության հետ կապված հարձակումները, մասնավոր կյանքի իրավունքի խախտումները, որոնք հանգեցնում են </w:t>
            </w:r>
            <w:r w:rsidRPr="00B46168">
              <w:rPr>
                <w:rFonts w:ascii="GHEA Grapalat" w:hAnsi="GHEA Grapalat"/>
                <w:color w:val="000000" w:themeColor="text1"/>
                <w:sz w:val="18"/>
                <w:szCs w:val="18"/>
              </w:rPr>
              <w:lastRenderedPageBreak/>
              <w:t xml:space="preserve">անվտանգության խախտումների </w:t>
            </w:r>
          </w:p>
        </w:tc>
        <w:tc>
          <w:tcPr>
            <w:tcW w:w="1160" w:type="dxa"/>
            <w:hideMark/>
          </w:tcPr>
          <w:p w14:paraId="34F1BD04"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hideMark/>
          </w:tcPr>
          <w:p w14:paraId="38ED0D9B"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792FD44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3AEF103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004CF96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հանգեցնել պայմանագրով ստանձնած պարտավորությունների չկատարման տույժերի կամ, որոշ դեպքերում, ընդհատված գործառնությունները վերականգնելու հետ կապված լրացուցիչ ծախսերի: </w:t>
            </w:r>
          </w:p>
        </w:tc>
        <w:tc>
          <w:tcPr>
            <w:tcW w:w="1715" w:type="dxa"/>
            <w:hideMark/>
          </w:tcPr>
          <w:p w14:paraId="2408907A" w14:textId="77777777" w:rsidR="007F3B6C" w:rsidRPr="00886A17" w:rsidRDefault="007F3B6C" w:rsidP="0010344F">
            <w:pPr>
              <w:widowControl w:val="0"/>
              <w:jc w:val="left"/>
              <w:rPr>
                <w:rFonts w:ascii="GHEA Grapalat" w:hAnsi="GHEA Grapalat"/>
                <w:color w:val="000000" w:themeColor="text1"/>
                <w:sz w:val="18"/>
                <w:szCs w:val="18"/>
              </w:rPr>
            </w:pPr>
            <w:r w:rsidRPr="00886A17">
              <w:rPr>
                <w:rFonts w:ascii="GHEA Grapalat" w:hAnsi="GHEA Grapalat"/>
                <w:color w:val="000000" w:themeColor="text1"/>
                <w:sz w:val="18"/>
                <w:szCs w:val="18"/>
              </w:rPr>
              <w:t>Պայմանագրով նախատեսված տույժերի չափով:</w:t>
            </w:r>
          </w:p>
        </w:tc>
        <w:tc>
          <w:tcPr>
            <w:tcW w:w="2610" w:type="dxa"/>
            <w:hideMark/>
          </w:tcPr>
          <w:p w14:paraId="779B6AA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Պայմանագրով նախատեսված ուղղակի և անուղղակի ծախսերը ծածկելու՝ մասնավոր գործընկերոջ պարտավորությունը: </w:t>
            </w:r>
          </w:p>
          <w:p w14:paraId="2057FBE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2. Պայմանագրով նախատեսված՝ ապահովագրությանը ներկայացվող պահանջները: </w:t>
            </w:r>
          </w:p>
          <w:p w14:paraId="6A66FE5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3. Երրորդ կողմերի կողմից անվտանգության (այդ թվում՝ կիբերանվտանգության) միջոցների սերտիֆիկացմանը ներկայացվող պահանջները, որով հաստատվում է տեխնիկական առաջադրանքում ներառված, նախատեսված տեխնիկական աուդիտներով գնահատված համապատասխանությունը:     </w:t>
            </w:r>
          </w:p>
          <w:p w14:paraId="0C3754E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4. Որակավորման չափորոշիչները պետք է ներառեն չկատարված պայմանագրերի և դատավարությունների պատմությունը, այդ թվում՝ անվտանգության խախտումների համար: </w:t>
            </w:r>
          </w:p>
        </w:tc>
      </w:tr>
      <w:tr w:rsidR="007F3B6C" w:rsidRPr="00B46168" w14:paraId="24F1AD70" w14:textId="77777777" w:rsidTr="00A84C68">
        <w:trPr>
          <w:gridAfter w:val="1"/>
          <w:wAfter w:w="6" w:type="dxa"/>
          <w:jc w:val="center"/>
        </w:trPr>
        <w:tc>
          <w:tcPr>
            <w:tcW w:w="688" w:type="dxa"/>
            <w:shd w:val="clear" w:color="auto" w:fill="D9D9D9" w:themeFill="background1" w:themeFillShade="D9"/>
            <w:hideMark/>
          </w:tcPr>
          <w:p w14:paraId="7840C591"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17.</w:t>
            </w:r>
          </w:p>
        </w:tc>
        <w:tc>
          <w:tcPr>
            <w:tcW w:w="1958" w:type="dxa"/>
            <w:shd w:val="clear" w:color="auto" w:fill="D9D9D9" w:themeFill="background1" w:themeFillShade="D9"/>
            <w:hideMark/>
          </w:tcPr>
          <w:p w14:paraId="67E84B9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Կապալառուի կողմից աշխատանքների թերի (անորակ) կատարումը</w:t>
            </w:r>
          </w:p>
        </w:tc>
        <w:tc>
          <w:tcPr>
            <w:tcW w:w="2247" w:type="dxa"/>
            <w:hideMark/>
          </w:tcPr>
          <w:p w14:paraId="55A8490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Ներառյալ արտադրական ցուցանիշներին չհամապատասխանելը և ծառայությունների ցածր որակը՝ պայմանագրով նախօրոք համաձայնեցված (պահանջվող) որակի համեմատ, այդ թվում՝ սահմանված ծավալով ճամփորդական և անձը հաստատող փաստաթղթերի արտադրության և </w:t>
            </w:r>
            <w:r w:rsidRPr="00B46168">
              <w:rPr>
                <w:rFonts w:ascii="GHEA Grapalat" w:hAnsi="GHEA Grapalat"/>
                <w:color w:val="000000" w:themeColor="text1"/>
                <w:sz w:val="18"/>
                <w:szCs w:val="18"/>
              </w:rPr>
              <w:lastRenderedPageBreak/>
              <w:t xml:space="preserve">բաշխման կարողությունը՝ ԾՄՊ-ին համապատասխան:    </w:t>
            </w:r>
          </w:p>
        </w:tc>
        <w:tc>
          <w:tcPr>
            <w:tcW w:w="1160" w:type="dxa"/>
            <w:hideMark/>
          </w:tcPr>
          <w:p w14:paraId="340575D8"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hideMark/>
          </w:tcPr>
          <w:p w14:paraId="5086A813"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58EABB1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40193C0D" w14:textId="77777777" w:rsidR="007F3B6C" w:rsidRPr="00B46168" w:rsidRDefault="007F3B6C" w:rsidP="0010344F">
            <w:pPr>
              <w:widowControl w:val="0"/>
              <w:ind w:right="-138"/>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321838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սահմանափակել կառավարության և մասնավոր գործընկերոջ համար ծրագրի օգուտների իրացումը և կարող է հանգեցնել ԾՄՊ-ների չկատարման հետ կապված տույժերի:  </w:t>
            </w:r>
          </w:p>
        </w:tc>
        <w:tc>
          <w:tcPr>
            <w:tcW w:w="1715" w:type="dxa"/>
            <w:hideMark/>
          </w:tcPr>
          <w:p w14:paraId="57BEE25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Պայմանագրով նախատեսված տույժերի չափով:</w:t>
            </w:r>
          </w:p>
        </w:tc>
        <w:tc>
          <w:tcPr>
            <w:tcW w:w="2610" w:type="dxa"/>
            <w:hideMark/>
          </w:tcPr>
          <w:p w14:paraId="50FD6AA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Չկատարված ԾՄՊ-ների հիման վրա պայմանագրով սահմանված հնարավոր տույժերը:</w:t>
            </w:r>
          </w:p>
        </w:tc>
      </w:tr>
      <w:tr w:rsidR="007F3B6C" w:rsidRPr="00B46168" w14:paraId="366EFB26" w14:textId="77777777" w:rsidTr="00A84C68">
        <w:trPr>
          <w:gridAfter w:val="1"/>
          <w:wAfter w:w="6" w:type="dxa"/>
          <w:jc w:val="center"/>
        </w:trPr>
        <w:tc>
          <w:tcPr>
            <w:tcW w:w="688" w:type="dxa"/>
            <w:shd w:val="clear" w:color="auto" w:fill="D9D9D9" w:themeFill="background1" w:themeFillShade="D9"/>
            <w:hideMark/>
          </w:tcPr>
          <w:p w14:paraId="66976592"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18.</w:t>
            </w:r>
          </w:p>
        </w:tc>
        <w:tc>
          <w:tcPr>
            <w:tcW w:w="1958" w:type="dxa"/>
            <w:shd w:val="clear" w:color="auto" w:fill="D9D9D9" w:themeFill="background1" w:themeFillShade="D9"/>
            <w:hideMark/>
          </w:tcPr>
          <w:p w14:paraId="5920819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Մատակարարման և օգտագործվող նյութերի պակաս</w:t>
            </w:r>
          </w:p>
        </w:tc>
        <w:tc>
          <w:tcPr>
            <w:tcW w:w="2247" w:type="dxa"/>
            <w:hideMark/>
          </w:tcPr>
          <w:p w14:paraId="4F1902E8"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Մասնավոր գործընկերոջ կողմից աշխատանքային գործընթացի ոչ պատշաճ հսկողությամբ կամ ցանկացած այլ գործոններով պայմանավորված՝ ենթակապալառուների կողմից անորակ աշխատանքի հետ կապված ռիսկերը    </w:t>
            </w:r>
          </w:p>
        </w:tc>
        <w:tc>
          <w:tcPr>
            <w:tcW w:w="1160" w:type="dxa"/>
            <w:hideMark/>
          </w:tcPr>
          <w:p w14:paraId="0D9151D4"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241" w:type="dxa"/>
            <w:hideMark/>
          </w:tcPr>
          <w:p w14:paraId="1AFCF9CD"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7607E16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275EDB2D" w14:textId="77777777" w:rsidR="007F3B6C" w:rsidRPr="00B46168" w:rsidRDefault="007F3B6C" w:rsidP="0010344F">
            <w:pPr>
              <w:widowControl w:val="0"/>
              <w:ind w:right="-138"/>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Ցածր</w:t>
            </w:r>
          </w:p>
        </w:tc>
        <w:tc>
          <w:tcPr>
            <w:tcW w:w="2515" w:type="dxa"/>
          </w:tcPr>
          <w:p w14:paraId="7D0B0E0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Սա կարող է սահմանափակել մասնավոր գործընկերոջ՝ ԾՄՊ-ները կատարելու կարողությունը, և հանգեցնել տույժերի (վճարների իջեցման):</w:t>
            </w:r>
          </w:p>
        </w:tc>
        <w:tc>
          <w:tcPr>
            <w:tcW w:w="1715" w:type="dxa"/>
            <w:hideMark/>
          </w:tcPr>
          <w:p w14:paraId="2C25599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Պայմանագրով նախատեսված տույժերի չափով:</w:t>
            </w:r>
          </w:p>
        </w:tc>
        <w:tc>
          <w:tcPr>
            <w:tcW w:w="2610" w:type="dxa"/>
            <w:hideMark/>
          </w:tcPr>
          <w:p w14:paraId="2FE9C67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Չկատարված ԾՄՊ-ների հիման վրա պայմանագրով նախատեսված հնարավոր տույժերը:</w:t>
            </w:r>
          </w:p>
        </w:tc>
      </w:tr>
      <w:tr w:rsidR="007F3B6C" w:rsidRPr="00B46168" w14:paraId="0A1264AF" w14:textId="77777777" w:rsidTr="00A84C68">
        <w:trPr>
          <w:gridAfter w:val="1"/>
          <w:wAfter w:w="6" w:type="dxa"/>
          <w:jc w:val="center"/>
        </w:trPr>
        <w:tc>
          <w:tcPr>
            <w:tcW w:w="688" w:type="dxa"/>
            <w:shd w:val="clear" w:color="auto" w:fill="D9D9D9" w:themeFill="background1" w:themeFillShade="D9"/>
            <w:hideMark/>
          </w:tcPr>
          <w:p w14:paraId="5AA5C4AF"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19.</w:t>
            </w:r>
          </w:p>
        </w:tc>
        <w:tc>
          <w:tcPr>
            <w:tcW w:w="1958" w:type="dxa"/>
            <w:shd w:val="clear" w:color="auto" w:fill="D9D9D9" w:themeFill="background1" w:themeFillShade="D9"/>
            <w:hideMark/>
          </w:tcPr>
          <w:p w14:paraId="24774C4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Դադարեցված գործառնությունների ռիսկը (վերադարձման փուլ)</w:t>
            </w:r>
          </w:p>
        </w:tc>
        <w:tc>
          <w:tcPr>
            <w:tcW w:w="2247" w:type="dxa"/>
            <w:hideMark/>
          </w:tcPr>
          <w:p w14:paraId="0FB656C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Վերադարձման փուլում անթերի գործընթաց ապահովելու անկարողության ռիսկը կամ աշխատանքը շարունակելու համար ոչ պատշաճ վիճակում գտնվող ակտիվի վերադարձման (մասնավոր գործընկերոջը փոխանցման) ռիսկը:    Ռիսկերի մեծ մասը կրում է մասնավոր գործընկերը, սակայն գործառնությունները կարող են դադարեցվել պետական գործընկերոջ՝ գործառնությունների կատարումը հաջողությամբ ստանձնելու </w:t>
            </w:r>
            <w:r w:rsidRPr="00B46168">
              <w:rPr>
                <w:rFonts w:ascii="GHEA Grapalat" w:hAnsi="GHEA Grapalat"/>
                <w:color w:val="000000" w:themeColor="text1"/>
                <w:sz w:val="18"/>
                <w:szCs w:val="18"/>
              </w:rPr>
              <w:lastRenderedPageBreak/>
              <w:t xml:space="preserve">անկարողության պատճառով (օրինակ՝ </w:t>
            </w:r>
            <w:r w:rsidRPr="00B46168">
              <w:rPr>
                <w:rFonts w:ascii="GHEA Grapalat" w:hAnsi="GHEA Grapalat"/>
                <w:sz w:val="18"/>
                <w:szCs w:val="18"/>
              </w:rPr>
              <w:tab/>
            </w:r>
            <w:r w:rsidRPr="00B46168">
              <w:rPr>
                <w:rFonts w:ascii="GHEA Grapalat" w:hAnsi="GHEA Grapalat"/>
                <w:color w:val="000000" w:themeColor="text1"/>
                <w:sz w:val="18"/>
                <w:szCs w:val="18"/>
              </w:rPr>
              <w:t xml:space="preserve">վատ կառավարում և այլն): Արդյունավետ փոխանցումը դյուրացնելու համար պետական գործընկերը պետք է պատրաստվի նախօրոք, տեխնիկական աուդիտ անցկացնի՝ նախքան վերադարձնելը և համագործակցի մասնավոր գործընկերոջ հետ՝ գործառնությունները շարունակելու համար: </w:t>
            </w:r>
          </w:p>
        </w:tc>
        <w:tc>
          <w:tcPr>
            <w:tcW w:w="1160" w:type="dxa"/>
            <w:hideMark/>
          </w:tcPr>
          <w:p w14:paraId="612BC3FE"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25%</w:t>
            </w:r>
          </w:p>
        </w:tc>
        <w:tc>
          <w:tcPr>
            <w:tcW w:w="1241" w:type="dxa"/>
            <w:hideMark/>
          </w:tcPr>
          <w:p w14:paraId="670ACDD9"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75%</w:t>
            </w:r>
          </w:p>
        </w:tc>
        <w:tc>
          <w:tcPr>
            <w:tcW w:w="1047" w:type="dxa"/>
            <w:hideMark/>
          </w:tcPr>
          <w:p w14:paraId="2487F13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0E3DE70F" w14:textId="77777777" w:rsidR="007F3B6C" w:rsidRPr="00B46168" w:rsidRDefault="007F3B6C" w:rsidP="0010344F">
            <w:pPr>
              <w:widowControl w:val="0"/>
              <w:ind w:right="-67"/>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77D5EBA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Եթե մասնավոր գործընկերը չի կատարել փոխանցմանը ներկայացվող պահանջները, դա կարող է հանգեցնել նրա նկատմամբ տույժերի սահմանման: </w:t>
            </w:r>
          </w:p>
          <w:p w14:paraId="64BDA71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Հայաստանի կառավարության համար դա կարող է հանգեցնել անձնագրերի և նույնականացման քարտերի թողարկման հետ կապված գործառնությունների ընթացքի խաթարման:</w:t>
            </w:r>
          </w:p>
        </w:tc>
        <w:tc>
          <w:tcPr>
            <w:tcW w:w="1715" w:type="dxa"/>
            <w:hideMark/>
          </w:tcPr>
          <w:p w14:paraId="5AC0770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Պայմանագրով մասնավոր գործընկերոջ համար նախատեսված տույժերի չափով:</w:t>
            </w:r>
          </w:p>
        </w:tc>
        <w:tc>
          <w:tcPr>
            <w:tcW w:w="2610" w:type="dxa"/>
            <w:hideMark/>
          </w:tcPr>
          <w:p w14:paraId="24A2EE3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 Պայմանագրում մանրամասն սահմանվում է փոխանցման ընթացակարգը:</w:t>
            </w:r>
          </w:p>
          <w:p w14:paraId="1999369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Ակտիվների որակի պահպանման համար սահմանված ներդրումային պարտավորությունները:</w:t>
            </w:r>
          </w:p>
          <w:p w14:paraId="25D0998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3. Մասնավոր գործընկերոջ կողմից փոխանցման հետ կապված պահանջները չկատարելու դեպքում նախատեսվող տույժերը:</w:t>
            </w:r>
          </w:p>
          <w:p w14:paraId="4E9D780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4. Պայմանագրի գործողության նկատմամբ մոնիտորինգի գործընթաց, որը նախատեսված է վաղ նախազգուշացման նշանները հասկանալու համար:  </w:t>
            </w:r>
          </w:p>
        </w:tc>
      </w:tr>
      <w:tr w:rsidR="007F3B6C" w:rsidRPr="00B46168" w14:paraId="3F10BACE" w14:textId="77777777" w:rsidTr="00A84C68">
        <w:trPr>
          <w:gridAfter w:val="1"/>
          <w:wAfter w:w="6" w:type="dxa"/>
          <w:jc w:val="center"/>
        </w:trPr>
        <w:tc>
          <w:tcPr>
            <w:tcW w:w="688" w:type="dxa"/>
            <w:shd w:val="clear" w:color="auto" w:fill="D9D9D9" w:themeFill="background1" w:themeFillShade="D9"/>
            <w:hideMark/>
          </w:tcPr>
          <w:p w14:paraId="7EAD53A1"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20.</w:t>
            </w:r>
          </w:p>
        </w:tc>
        <w:tc>
          <w:tcPr>
            <w:tcW w:w="1958" w:type="dxa"/>
            <w:shd w:val="clear" w:color="auto" w:fill="D9D9D9" w:themeFill="background1" w:themeFillShade="D9"/>
            <w:hideMark/>
          </w:tcPr>
          <w:p w14:paraId="5A6E415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Գործառնություն-ների դադարեցման ռիսկը (վերադարձման փուլ)</w:t>
            </w:r>
          </w:p>
        </w:tc>
        <w:tc>
          <w:tcPr>
            <w:tcW w:w="2247" w:type="dxa"/>
            <w:hideMark/>
          </w:tcPr>
          <w:p w14:paraId="52CCCE1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Գործառնությունների կատարման փուլում անթերի գործընթաց ապահովելու անկարողությունը: Սա նաև ներառում է սեփականատիրոջ փոփոխության հետ կապված հարցը:</w:t>
            </w:r>
          </w:p>
        </w:tc>
        <w:tc>
          <w:tcPr>
            <w:tcW w:w="1160" w:type="dxa"/>
            <w:hideMark/>
          </w:tcPr>
          <w:p w14:paraId="160C1AE2"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241" w:type="dxa"/>
            <w:hideMark/>
          </w:tcPr>
          <w:p w14:paraId="69701C9A"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0D062B3F"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40B5C78F"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Ցածր</w:t>
            </w:r>
          </w:p>
        </w:tc>
        <w:tc>
          <w:tcPr>
            <w:tcW w:w="2515" w:type="dxa"/>
          </w:tcPr>
          <w:p w14:paraId="18B59138"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Եթե մասնավոր գործընկերը չի կատարել գործառնություններին ներկայացվող պահանջները, ապա դա կարող է հանգեցնել նրա նկատմամբ տույժերի սահմանման: </w:t>
            </w:r>
          </w:p>
          <w:p w14:paraId="0890C3C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Հայաստանի կառավարության համար դա կարող է հանգեցնել անձնագրերի և նույնականացման քարտերի թողարկման հետ կապված գործառնությունների ընթացքի խաթարման, նախատեսված օգուտները չիրացնելուն:</w:t>
            </w:r>
          </w:p>
        </w:tc>
        <w:tc>
          <w:tcPr>
            <w:tcW w:w="1715" w:type="dxa"/>
            <w:hideMark/>
          </w:tcPr>
          <w:p w14:paraId="34B33FC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Պայմանագրով մասնավոր գործընկերոջ համար նախատեսված տույժերի չափով:</w:t>
            </w:r>
          </w:p>
        </w:tc>
        <w:tc>
          <w:tcPr>
            <w:tcW w:w="2610" w:type="dxa"/>
            <w:hideMark/>
          </w:tcPr>
          <w:p w14:paraId="5BA2554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Պայմանագրով նախատեսված հնարավոր տույժերը չկատարված պարտավորությունների դեպքում, եթե չկատարումը պայմանավորված չէ անհաղթահարելի ուժի ազդեցությամբ: </w:t>
            </w:r>
          </w:p>
          <w:p w14:paraId="7DAEC0D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Տեխնիկական առաջադրանքը ներառում է մասնավոր գործընկերոջ կողմից գործունեության շարունակականության համապատասխան պլան կազմելու և կատարելու պահանջը:</w:t>
            </w:r>
          </w:p>
          <w:p w14:paraId="3429B4FA" w14:textId="223A5D5D"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3. Լավ կազմված մրցութային փաստաթղթերով (ՈՀ (Որակավորման հարցման), </w:t>
            </w:r>
            <w:r w:rsidRPr="00B46168">
              <w:rPr>
                <w:rFonts w:ascii="GHEA Grapalat" w:hAnsi="GHEA Grapalat"/>
                <w:color w:val="000000" w:themeColor="text1"/>
                <w:sz w:val="18"/>
                <w:szCs w:val="18"/>
              </w:rPr>
              <w:lastRenderedPageBreak/>
              <w:t xml:space="preserve">ԱՀ (առաջարկի հարցման) ՊՄԳ պայմանագիր) կներկայացվեն </w:t>
            </w:r>
            <w:r w:rsidR="00824CBA">
              <w:rPr>
                <w:rFonts w:ascii="GHEA Grapalat" w:hAnsi="GHEA Grapalat"/>
                <w:color w:val="000000" w:themeColor="text1"/>
                <w:sz w:val="18"/>
                <w:szCs w:val="18"/>
              </w:rPr>
              <w:t>Հատուկ նշանակության գործիքի</w:t>
            </w:r>
            <w:r w:rsidR="00824CBA" w:rsidRPr="00824CBA">
              <w:rPr>
                <w:rFonts w:ascii="GHEA Grapalat" w:hAnsi="GHEA Grapalat"/>
                <w:color w:val="000000" w:themeColor="text1"/>
                <w:sz w:val="18"/>
                <w:szCs w:val="18"/>
              </w:rPr>
              <w:t xml:space="preserve"> (</w:t>
            </w:r>
            <w:r w:rsidR="00824CBA">
              <w:rPr>
                <w:rFonts w:ascii="GHEA Grapalat" w:hAnsi="GHEA Grapalat"/>
                <w:color w:val="000000" w:themeColor="text1"/>
                <w:sz w:val="18"/>
                <w:szCs w:val="18"/>
              </w:rPr>
              <w:t>ՀՆԳ</w:t>
            </w:r>
            <w:r w:rsidR="00824CBA" w:rsidRPr="00824CBA">
              <w:rPr>
                <w:rFonts w:ascii="GHEA Grapalat" w:hAnsi="GHEA Grapalat"/>
                <w:color w:val="000000" w:themeColor="text1"/>
                <w:sz w:val="18"/>
                <w:szCs w:val="18"/>
              </w:rPr>
              <w:t>)</w:t>
            </w:r>
            <w:r w:rsidRPr="00B46168">
              <w:rPr>
                <w:rFonts w:ascii="GHEA Grapalat" w:hAnsi="GHEA Grapalat"/>
                <w:color w:val="000000" w:themeColor="text1"/>
                <w:sz w:val="18"/>
                <w:szCs w:val="18"/>
              </w:rPr>
              <w:t xml:space="preserve"> վերաբերյալ պահանջները (այդ թվում՝ նախքան պայմանագրի կնքումը և պայմանագրի գործողության ժամկետի ընթացքում ՀՆ</w:t>
            </w:r>
            <w:r w:rsidR="00824CBA">
              <w:rPr>
                <w:rFonts w:ascii="GHEA Grapalat" w:hAnsi="GHEA Grapalat"/>
                <w:color w:val="000000" w:themeColor="text1"/>
                <w:sz w:val="18"/>
                <w:szCs w:val="18"/>
              </w:rPr>
              <w:t>Գ</w:t>
            </w:r>
            <w:r w:rsidRPr="00B46168">
              <w:rPr>
                <w:rFonts w:ascii="GHEA Grapalat" w:hAnsi="GHEA Grapalat"/>
                <w:color w:val="000000" w:themeColor="text1"/>
                <w:sz w:val="18"/>
                <w:szCs w:val="18"/>
              </w:rPr>
              <w:t xml:space="preserve"> սեփականության կառուցվածքի մասին կանոնները, ժամկետը, որի ընթացքում փոփոխությունների կատարում չի թույլատրվում, սեփականության իրավունք շնորհող անձի կողմից սեփականության փոփոխությունների նախնական հաստատման ընթացակարգերը և այլն)՝ այս ռիսկերը  հասցեագրելու համար: </w:t>
            </w:r>
          </w:p>
        </w:tc>
      </w:tr>
      <w:tr w:rsidR="007F3B6C" w:rsidRPr="00B46168" w14:paraId="38AF08D9" w14:textId="77777777" w:rsidTr="00A84C68">
        <w:trPr>
          <w:gridAfter w:val="1"/>
          <w:wAfter w:w="6" w:type="dxa"/>
          <w:jc w:val="center"/>
        </w:trPr>
        <w:tc>
          <w:tcPr>
            <w:tcW w:w="688" w:type="dxa"/>
            <w:shd w:val="clear" w:color="auto" w:fill="D9D9D9" w:themeFill="background1" w:themeFillShade="D9"/>
            <w:hideMark/>
          </w:tcPr>
          <w:p w14:paraId="7FDB3E75"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21.</w:t>
            </w:r>
          </w:p>
        </w:tc>
        <w:tc>
          <w:tcPr>
            <w:tcW w:w="1958" w:type="dxa"/>
            <w:shd w:val="clear" w:color="auto" w:fill="D9D9D9" w:themeFill="background1" w:themeFillShade="D9"/>
            <w:hideMark/>
          </w:tcPr>
          <w:p w14:paraId="18F8159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Համակարգի խափանումներ </w:t>
            </w:r>
          </w:p>
        </w:tc>
        <w:tc>
          <w:tcPr>
            <w:tcW w:w="2247" w:type="dxa"/>
            <w:hideMark/>
          </w:tcPr>
          <w:p w14:paraId="00617B9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Համակարգի կամ դրա բաղադրիչների խափանումներ, որոնք հանգեցնում են գործառնությունների դադարեցման  </w:t>
            </w:r>
          </w:p>
        </w:tc>
        <w:tc>
          <w:tcPr>
            <w:tcW w:w="1160" w:type="dxa"/>
            <w:hideMark/>
          </w:tcPr>
          <w:p w14:paraId="36CFA7CD"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241" w:type="dxa"/>
            <w:hideMark/>
          </w:tcPr>
          <w:p w14:paraId="576529AE"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5EFCE80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275D488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40B3440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ազդել մասնավոր գործընկերոջ՝ սահմանված ԾՄՊ-ներին համապատասխանելու կարողության վրա: </w:t>
            </w:r>
          </w:p>
        </w:tc>
        <w:tc>
          <w:tcPr>
            <w:tcW w:w="1715" w:type="dxa"/>
            <w:hideMark/>
          </w:tcPr>
          <w:p w14:paraId="3846494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Պայմանագրով նախատեսված տույժերի չափով:</w:t>
            </w:r>
          </w:p>
        </w:tc>
        <w:tc>
          <w:tcPr>
            <w:tcW w:w="2610" w:type="dxa"/>
            <w:hideMark/>
          </w:tcPr>
          <w:p w14:paraId="7B75856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1. Որպես ԱՆՀ-ի պահանջների մաս՝ շարունակական սպասարկման և որակի ապահովման ծառայությունների մատուցում: </w:t>
            </w:r>
          </w:p>
          <w:p w14:paraId="668C8AA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2. Տեխնիկական առաջադրանքը ներառում է մասնավոր գործընկերոջ կողմից գործունեության շարունակականության համապատասխան պլանը կազմելու և կատարելու </w:t>
            </w:r>
            <w:r w:rsidRPr="00B46168">
              <w:rPr>
                <w:rFonts w:ascii="GHEA Grapalat" w:hAnsi="GHEA Grapalat"/>
                <w:color w:val="000000" w:themeColor="text1"/>
                <w:sz w:val="18"/>
                <w:szCs w:val="18"/>
              </w:rPr>
              <w:lastRenderedPageBreak/>
              <w:t>պահանջը:</w:t>
            </w:r>
          </w:p>
        </w:tc>
      </w:tr>
      <w:tr w:rsidR="007F3B6C" w:rsidRPr="00B46168" w14:paraId="1E202860" w14:textId="77777777" w:rsidTr="00A84C68">
        <w:trPr>
          <w:gridAfter w:val="1"/>
          <w:wAfter w:w="6" w:type="dxa"/>
          <w:jc w:val="center"/>
        </w:trPr>
        <w:tc>
          <w:tcPr>
            <w:tcW w:w="688" w:type="dxa"/>
            <w:shd w:val="clear" w:color="auto" w:fill="D9D9D9" w:themeFill="background1" w:themeFillShade="D9"/>
            <w:hideMark/>
          </w:tcPr>
          <w:p w14:paraId="2DF335D0"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22.</w:t>
            </w:r>
          </w:p>
        </w:tc>
        <w:tc>
          <w:tcPr>
            <w:tcW w:w="1958" w:type="dxa"/>
            <w:shd w:val="clear" w:color="auto" w:fill="D9D9D9" w:themeFill="background1" w:themeFillShade="D9"/>
            <w:hideMark/>
          </w:tcPr>
          <w:p w14:paraId="6664434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Տաղանդների ներգրավում</w:t>
            </w:r>
          </w:p>
        </w:tc>
        <w:tc>
          <w:tcPr>
            <w:tcW w:w="2247" w:type="dxa"/>
            <w:hideMark/>
          </w:tcPr>
          <w:p w14:paraId="2F74F48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Նոր տեխնոլոգիական համակարգերի մշակման և պահպանման համար անհրաժեշտ բարձրակարգ մասնագետների ներգրավման անհնարինության ռիսկը  </w:t>
            </w:r>
          </w:p>
        </w:tc>
        <w:tc>
          <w:tcPr>
            <w:tcW w:w="1160" w:type="dxa"/>
            <w:hideMark/>
          </w:tcPr>
          <w:p w14:paraId="34D57F57"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241" w:type="dxa"/>
            <w:hideMark/>
          </w:tcPr>
          <w:p w14:paraId="7D82EB18"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2281E44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6C1FCC5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1AEFF1B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Սա կարող է հանգեցնել մասնավոր գործընկերների կողմից՝ սահմանված ԾՄՊ-ները կատարելու կարողության կամ ընթացիկ գործառնությունների ավելացող ծախսերի ավելացման (սխալներն ուղղելու անհրաժեշտության և այլ պատճառներով):  </w:t>
            </w:r>
          </w:p>
        </w:tc>
        <w:tc>
          <w:tcPr>
            <w:tcW w:w="1715" w:type="dxa"/>
            <w:hideMark/>
          </w:tcPr>
          <w:p w14:paraId="0217C7F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655F8FE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Ռիսկի մակարդակը ցածր է, քանի որ տեղում բարձրակարգ մասնագետների պահանջարկը սահմանափակ է, մինչդեռ ակնկալվում է, որ միջազգային փորձն ու վերապատրաստումը պետք է տրամադրվեն միջազգային թիմի կողմից:   </w:t>
            </w:r>
          </w:p>
        </w:tc>
      </w:tr>
      <w:tr w:rsidR="007F3B6C" w:rsidRPr="00B46168" w14:paraId="3897965D" w14:textId="77777777" w:rsidTr="00A84C68">
        <w:trPr>
          <w:jc w:val="center"/>
        </w:trPr>
        <w:tc>
          <w:tcPr>
            <w:tcW w:w="16291" w:type="dxa"/>
            <w:gridSpan w:val="11"/>
            <w:shd w:val="clear" w:color="auto" w:fill="D9D9D9" w:themeFill="background1" w:themeFillShade="D9"/>
          </w:tcPr>
          <w:p w14:paraId="52B9AFBC" w14:textId="77777777" w:rsidR="007F3B6C" w:rsidRPr="00B46168" w:rsidRDefault="007F3B6C" w:rsidP="0010344F">
            <w:pPr>
              <w:widowControl w:val="0"/>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Առևտրային</w:t>
            </w:r>
          </w:p>
        </w:tc>
      </w:tr>
      <w:tr w:rsidR="007F3B6C" w:rsidRPr="00B46168" w14:paraId="539FFD3F" w14:textId="77777777" w:rsidTr="00A84C68">
        <w:trPr>
          <w:gridAfter w:val="1"/>
          <w:wAfter w:w="6" w:type="dxa"/>
          <w:jc w:val="center"/>
        </w:trPr>
        <w:tc>
          <w:tcPr>
            <w:tcW w:w="688" w:type="dxa"/>
            <w:shd w:val="clear" w:color="auto" w:fill="D9D9D9" w:themeFill="background1" w:themeFillShade="D9"/>
            <w:hideMark/>
          </w:tcPr>
          <w:p w14:paraId="2A704A2C"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23.</w:t>
            </w:r>
          </w:p>
        </w:tc>
        <w:tc>
          <w:tcPr>
            <w:tcW w:w="1958" w:type="dxa"/>
            <w:shd w:val="clear" w:color="auto" w:fill="D9D9D9" w:themeFill="background1" w:themeFillShade="D9"/>
            <w:hideMark/>
          </w:tcPr>
          <w:p w14:paraId="30DA526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Ծառայությունների ծավալի հետ կապված ռիսկերը </w:t>
            </w:r>
          </w:p>
        </w:tc>
        <w:tc>
          <w:tcPr>
            <w:tcW w:w="2247" w:type="dxa"/>
            <w:hideMark/>
          </w:tcPr>
          <w:p w14:paraId="4297F9C8" w14:textId="44E5408E"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Մասնավոր գործընկերը վարձատրվում է յուրաքանչյուր ծառայության համար առանձին:   Միևնույն ժամանակ, Կառավարությունը պետք է ապահովի ծառայությունների որոշակի նվազագույն ծավալ՝ մասնավոր գործընկերոջ համար ծրագրի կենսունակությունը երաշխավորելու համար: Պահանջարկի հետ կապված որոշակի ռիսկեր կարող են առաջանալ այն դեպքում, երբ մասնավոր գործընկերոջը թույլատրվում է </w:t>
            </w:r>
            <w:r w:rsidRPr="00B46168">
              <w:rPr>
                <w:rFonts w:ascii="GHEA Grapalat" w:hAnsi="GHEA Grapalat"/>
                <w:color w:val="000000" w:themeColor="text1"/>
                <w:sz w:val="18"/>
                <w:szCs w:val="18"/>
              </w:rPr>
              <w:lastRenderedPageBreak/>
              <w:t>առևտրային գործունեություն իրականացնել (</w:t>
            </w:r>
            <w:r w:rsidRPr="002565DF">
              <w:rPr>
                <w:rFonts w:ascii="GHEA Grapalat" w:hAnsi="GHEA Grapalat"/>
                <w:color w:val="000000" w:themeColor="text1"/>
                <w:sz w:val="18"/>
                <w:szCs w:val="18"/>
              </w:rPr>
              <w:t>պայմանագրով նախատեսված հիմնական ծառայությունից բացի), այնուամենայնիվ</w:t>
            </w:r>
            <w:r w:rsidR="002565DF">
              <w:rPr>
                <w:rFonts w:ascii="GHEA Grapalat" w:hAnsi="GHEA Grapalat"/>
                <w:color w:val="000000" w:themeColor="text1"/>
                <w:sz w:val="18"/>
                <w:szCs w:val="18"/>
              </w:rPr>
              <w:t>,</w:t>
            </w:r>
            <w:r w:rsidRPr="002565DF">
              <w:rPr>
                <w:rFonts w:ascii="GHEA Grapalat" w:hAnsi="GHEA Grapalat"/>
                <w:color w:val="000000" w:themeColor="text1"/>
                <w:sz w:val="18"/>
                <w:szCs w:val="18"/>
              </w:rPr>
              <w:t xml:space="preserve"> սա կազմում է ծրագրով ակնկալվող եկամտի մինչև 20 %</w:t>
            </w:r>
            <w:r w:rsidR="002565DF" w:rsidRPr="002565DF">
              <w:rPr>
                <w:rFonts w:ascii="GHEA Grapalat" w:hAnsi="GHEA Grapalat"/>
                <w:color w:val="000000" w:themeColor="text1"/>
                <w:sz w:val="18"/>
                <w:szCs w:val="18"/>
              </w:rPr>
              <w:t>-ը</w:t>
            </w:r>
            <w:r w:rsidRPr="002565DF">
              <w:rPr>
                <w:rFonts w:ascii="GHEA Grapalat" w:hAnsi="GHEA Grapalat"/>
                <w:color w:val="000000" w:themeColor="text1"/>
                <w:sz w:val="18"/>
                <w:szCs w:val="18"/>
              </w:rPr>
              <w:t>:</w:t>
            </w:r>
          </w:p>
        </w:tc>
        <w:tc>
          <w:tcPr>
            <w:tcW w:w="1160" w:type="dxa"/>
            <w:hideMark/>
          </w:tcPr>
          <w:p w14:paraId="5B56489E"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75%</w:t>
            </w:r>
          </w:p>
        </w:tc>
        <w:tc>
          <w:tcPr>
            <w:tcW w:w="1241" w:type="dxa"/>
            <w:hideMark/>
          </w:tcPr>
          <w:p w14:paraId="182CC2DF"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25%</w:t>
            </w:r>
          </w:p>
        </w:tc>
        <w:tc>
          <w:tcPr>
            <w:tcW w:w="1047" w:type="dxa"/>
            <w:hideMark/>
          </w:tcPr>
          <w:p w14:paraId="083CA6F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19DD8C2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635564E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Եթե չի ներդրվել շահույթի բաշխման մեխանիզմը, պետական գործընկերն է  կրելու ռիսկը, ինչը նշանակում է, որ պետական մարմնից կպահանջվի փոխհատուցման վճարներ վճարել մասնավոր գործընկերոջը ծառայությունների փաստացի ծավալը նախօրոք համաձայնեցված ծավալից փոքր լինելու դեպքում:  Այլապես, եթե առևտրային գործունեությունը դադարեցվում է կարգավորման կամ պետական գործընկերոջը, կամ կառավարությանը վերագրվող այլ գործոնների պատճառով, </w:t>
            </w:r>
            <w:r w:rsidRPr="00B46168">
              <w:rPr>
                <w:rFonts w:ascii="GHEA Grapalat" w:hAnsi="GHEA Grapalat"/>
                <w:color w:val="000000" w:themeColor="text1"/>
                <w:sz w:val="18"/>
                <w:szCs w:val="18"/>
              </w:rPr>
              <w:lastRenderedPageBreak/>
              <w:t>պայմանագիրը նախատեսում է հետևանքների առաջացում:  Սա կարող է ներառել որոշակի դրույթների, այդ թվում՝ գնի փոփոխությունը:</w:t>
            </w:r>
          </w:p>
        </w:tc>
        <w:tc>
          <w:tcPr>
            <w:tcW w:w="1715" w:type="dxa"/>
            <w:hideMark/>
          </w:tcPr>
          <w:p w14:paraId="5E0D552D" w14:textId="4672633D"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Ծավալի հետ կապված ռիսկի գնահատման նպատակներով </w:t>
            </w:r>
            <w:r w:rsidRPr="00860740">
              <w:rPr>
                <w:rFonts w:ascii="GHEA Grapalat" w:hAnsi="GHEA Grapalat"/>
                <w:color w:val="000000" w:themeColor="text1"/>
                <w:sz w:val="18"/>
                <w:szCs w:val="18"/>
              </w:rPr>
              <w:t>դիտար</w:t>
            </w:r>
            <w:r w:rsidR="00860740" w:rsidRPr="00860740">
              <w:rPr>
                <w:rFonts w:ascii="GHEA Grapalat" w:hAnsi="GHEA Grapalat"/>
                <w:color w:val="000000" w:themeColor="text1"/>
                <w:sz w:val="18"/>
                <w:szCs w:val="18"/>
              </w:rPr>
              <w:t xml:space="preserve">վել են </w:t>
            </w:r>
            <w:r w:rsidRPr="00860740">
              <w:rPr>
                <w:rFonts w:ascii="GHEA Grapalat" w:hAnsi="GHEA Grapalat"/>
                <w:color w:val="000000" w:themeColor="text1"/>
                <w:sz w:val="18"/>
                <w:szCs w:val="18"/>
              </w:rPr>
              <w:t xml:space="preserve"> երկու դեպք՝  i) ՊՄԳ պայմանագրի շրջանակներում ներդրված մեղմացման մեխանիզմով և ii) առանց դրա:</w:t>
            </w:r>
            <w:r w:rsidRPr="00B46168">
              <w:rPr>
                <w:rFonts w:ascii="GHEA Grapalat" w:hAnsi="GHEA Grapalat"/>
                <w:color w:val="000000" w:themeColor="text1"/>
                <w:sz w:val="18"/>
                <w:szCs w:val="18"/>
              </w:rPr>
              <w:t xml:space="preserve"> Մի կողմից, առաջին տարբերակը ենթադրում է նվազագույն ծավալի երաշխիքի տրամադրում մասնավոր գործընկերոջը ապահովելու </w:t>
            </w:r>
            <w:r w:rsidRPr="00B46168">
              <w:rPr>
                <w:rFonts w:ascii="GHEA Grapalat" w:hAnsi="GHEA Grapalat"/>
                <w:color w:val="000000" w:themeColor="text1"/>
                <w:sz w:val="18"/>
                <w:szCs w:val="18"/>
              </w:rPr>
              <w:lastRenderedPageBreak/>
              <w:t xml:space="preserve">նվազագույն հոսք առնվազն իրենց ծախսերը ծածկելու համար: </w:t>
            </w:r>
          </w:p>
          <w:p w14:paraId="0CD51F24" w14:textId="45E95D33" w:rsidR="00555E2F" w:rsidRDefault="007F3B6C" w:rsidP="0010344F">
            <w:pPr>
              <w:widowControl w:val="0"/>
              <w:jc w:val="left"/>
              <w:rPr>
                <w:rFonts w:ascii="GHEA Grapalat" w:hAnsi="GHEA Grapalat"/>
                <w:color w:val="000000" w:themeColor="text1"/>
                <w:sz w:val="18"/>
                <w:szCs w:val="18"/>
              </w:rPr>
            </w:pPr>
            <w:r w:rsidRPr="00B46168">
              <w:rPr>
                <w:rFonts w:ascii="GHEA Grapalat" w:hAnsi="GHEA Grapalat"/>
                <w:color w:val="000000" w:themeColor="text1"/>
                <w:sz w:val="18"/>
                <w:szCs w:val="18"/>
              </w:rPr>
              <w:t xml:space="preserve">Մյուս կողմից, առաջին տարբերակը նաև ներառում է շահույթի բաշխման մեխանիզմը, որը թույլ է տալիս </w:t>
            </w:r>
            <w:r w:rsidR="00555E2F">
              <w:rPr>
                <w:rFonts w:ascii="GHEA Grapalat" w:hAnsi="GHEA Grapalat"/>
                <w:color w:val="000000" w:themeColor="text1"/>
                <w:sz w:val="18"/>
                <w:szCs w:val="18"/>
              </w:rPr>
              <w:t>Մ</w:t>
            </w:r>
            <w:r w:rsidRPr="00B46168">
              <w:rPr>
                <w:rFonts w:ascii="GHEA Grapalat" w:hAnsi="GHEA Grapalat"/>
                <w:color w:val="000000" w:themeColor="text1"/>
                <w:sz w:val="18"/>
                <w:szCs w:val="18"/>
              </w:rPr>
              <w:t xml:space="preserve">ասնավոր գործընկերոջը </w:t>
            </w:r>
            <w:r w:rsidR="00555E2F">
              <w:rPr>
                <w:rFonts w:ascii="GHEA Grapalat" w:hAnsi="GHEA Grapalat"/>
                <w:color w:val="000000" w:themeColor="text1"/>
                <w:sz w:val="18"/>
                <w:szCs w:val="18"/>
              </w:rPr>
              <w:t>Հանրային</w:t>
            </w:r>
            <w:r w:rsidRPr="00B46168">
              <w:rPr>
                <w:rFonts w:ascii="GHEA Grapalat" w:hAnsi="GHEA Grapalat"/>
                <w:color w:val="000000" w:themeColor="text1"/>
                <w:sz w:val="18"/>
                <w:szCs w:val="18"/>
              </w:rPr>
              <w:t xml:space="preserve"> կողմի հետ </w:t>
            </w:r>
            <w:r w:rsidR="00555E2F">
              <w:rPr>
                <w:rFonts w:ascii="GHEA Grapalat" w:hAnsi="GHEA Grapalat"/>
                <w:color w:val="000000" w:themeColor="text1"/>
                <w:sz w:val="18"/>
                <w:szCs w:val="18"/>
              </w:rPr>
              <w:t>օգտվել</w:t>
            </w:r>
            <w:r w:rsidRPr="00B46168">
              <w:rPr>
                <w:rFonts w:ascii="GHEA Grapalat" w:hAnsi="GHEA Grapalat"/>
                <w:color w:val="000000" w:themeColor="text1"/>
                <w:sz w:val="18"/>
                <w:szCs w:val="18"/>
              </w:rPr>
              <w:t xml:space="preserve"> օգուտներից</w:t>
            </w:r>
            <w:r w:rsidR="00555E2F">
              <w:rPr>
                <w:rFonts w:ascii="GHEA Grapalat" w:hAnsi="GHEA Grapalat"/>
                <w:color w:val="000000" w:themeColor="text1"/>
                <w:sz w:val="18"/>
                <w:szCs w:val="18"/>
              </w:rPr>
              <w:t>։</w:t>
            </w:r>
            <w:r w:rsidRPr="00B46168">
              <w:rPr>
                <w:rFonts w:ascii="GHEA Grapalat" w:hAnsi="GHEA Grapalat"/>
                <w:color w:val="000000" w:themeColor="text1"/>
                <w:sz w:val="18"/>
                <w:szCs w:val="18"/>
              </w:rPr>
              <w:t xml:space="preserve"> </w:t>
            </w:r>
          </w:p>
          <w:p w14:paraId="408975F7" w14:textId="6958C046" w:rsidR="007F3B6C" w:rsidRPr="00B46168" w:rsidRDefault="00121DD7" w:rsidP="0010344F">
            <w:pPr>
              <w:widowControl w:val="0"/>
              <w:jc w:val="left"/>
              <w:rPr>
                <w:rFonts w:ascii="GHEA Grapalat" w:hAnsi="GHEA Grapalat" w:cs="Arial"/>
                <w:color w:val="000000" w:themeColor="text1"/>
                <w:sz w:val="18"/>
                <w:szCs w:val="18"/>
              </w:rPr>
            </w:pPr>
            <w:r>
              <w:rPr>
                <w:rFonts w:ascii="GHEA Grapalat" w:hAnsi="GHEA Grapalat"/>
                <w:color w:val="000000" w:themeColor="text1"/>
                <w:sz w:val="18"/>
                <w:szCs w:val="18"/>
              </w:rPr>
              <w:t xml:space="preserve">Այսպիսով, </w:t>
            </w:r>
            <w:r w:rsidR="007F3B6C" w:rsidRPr="00B46168">
              <w:rPr>
                <w:rFonts w:ascii="GHEA Grapalat" w:hAnsi="GHEA Grapalat"/>
                <w:color w:val="000000" w:themeColor="text1"/>
                <w:sz w:val="18"/>
                <w:szCs w:val="18"/>
              </w:rPr>
              <w:t xml:space="preserve">ծավալի հետ կապված ռիսկի մեծությունը Ծրագրի գործողության ժամկետում գնահատվում է  </w:t>
            </w:r>
          </w:p>
          <w:p w14:paraId="747F5DA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t xml:space="preserve">0 </w:t>
            </w:r>
            <w:r w:rsidRPr="00B46168">
              <w:rPr>
                <w:rFonts w:ascii="GHEA Grapalat" w:hAnsi="GHEA Grapalat"/>
                <w:color w:val="000000" w:themeColor="text1"/>
                <w:sz w:val="18"/>
                <w:szCs w:val="18"/>
              </w:rPr>
              <w:t xml:space="preserve"> (զրո՝ շահույթի բաշխման մեխանիզմի դրական</w:t>
            </w:r>
            <w:r w:rsidRPr="00B46168">
              <w:rPr>
                <w:rFonts w:ascii="GHEA Grapalat" w:hAnsi="GHEA Grapalat"/>
                <w:b/>
                <w:color w:val="000000" w:themeColor="text1"/>
                <w:sz w:val="18"/>
                <w:szCs w:val="18"/>
              </w:rPr>
              <w:t xml:space="preserve"> </w:t>
            </w:r>
            <w:r w:rsidRPr="00B46168">
              <w:rPr>
                <w:rFonts w:ascii="GHEA Grapalat" w:hAnsi="GHEA Grapalat"/>
                <w:color w:val="000000" w:themeColor="text1"/>
                <w:sz w:val="18"/>
                <w:szCs w:val="18"/>
              </w:rPr>
              <w:t xml:space="preserve"> ազդեցության պատճառով):</w:t>
            </w:r>
          </w:p>
          <w:p w14:paraId="55395A43" w14:textId="75A4A3EB"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Երկրորդ տարբերակը չի ենթադրում ռիսկի մեղմացման մեխանիզմների առկայությունը: </w:t>
            </w:r>
          </w:p>
          <w:p w14:paraId="024DAD47" w14:textId="77777777" w:rsidR="00C647FA" w:rsidRDefault="00C647FA" w:rsidP="0010344F">
            <w:pPr>
              <w:widowControl w:val="0"/>
              <w:jc w:val="left"/>
              <w:rPr>
                <w:rFonts w:ascii="GHEA Grapalat" w:hAnsi="GHEA Grapalat"/>
                <w:color w:val="000000" w:themeColor="text1"/>
                <w:sz w:val="18"/>
                <w:szCs w:val="18"/>
              </w:rPr>
            </w:pPr>
          </w:p>
          <w:p w14:paraId="1448A0F9" w14:textId="3B1EA3C2" w:rsidR="007F3B6C" w:rsidRPr="00B46168" w:rsidRDefault="00C647FA" w:rsidP="0010344F">
            <w:pPr>
              <w:widowControl w:val="0"/>
              <w:jc w:val="left"/>
              <w:rPr>
                <w:rFonts w:ascii="GHEA Grapalat" w:hAnsi="GHEA Grapalat" w:cs="Arial"/>
                <w:color w:val="000000" w:themeColor="text1"/>
                <w:sz w:val="18"/>
                <w:szCs w:val="18"/>
              </w:rPr>
            </w:pPr>
            <w:r>
              <w:rPr>
                <w:rFonts w:ascii="GHEA Grapalat" w:hAnsi="GHEA Grapalat"/>
                <w:color w:val="000000" w:themeColor="text1"/>
                <w:sz w:val="18"/>
                <w:szCs w:val="18"/>
              </w:rPr>
              <w:lastRenderedPageBreak/>
              <w:t>Ն</w:t>
            </w:r>
            <w:r w:rsidR="007F3B6C" w:rsidRPr="00B46168">
              <w:rPr>
                <w:rFonts w:ascii="GHEA Grapalat" w:hAnsi="GHEA Grapalat"/>
                <w:color w:val="000000" w:themeColor="text1"/>
                <w:sz w:val="18"/>
                <w:szCs w:val="18"/>
              </w:rPr>
              <w:t xml:space="preserve">ախնական գնահատա-կանների հիման վրա կարող ենք ասել, որ ծավալի նվազագույն երաշխիքի նվազումը 1,6 միլիոն անձնագրից 1 միլիոն անձնագրի (գնահատված ծավալներից հանած 50%) կարող է հանգեցնել ծառայությունների գնի 37,9% ավելացման, ինչը կարող է ծրագրի գործողության ժամկետի ընթացքում կառավարության համար արժենալ մոտ </w:t>
            </w:r>
            <w:r w:rsidR="007F3B6C" w:rsidRPr="00B46168">
              <w:rPr>
                <w:rFonts w:ascii="GHEA Grapalat" w:hAnsi="GHEA Grapalat"/>
                <w:b/>
                <w:color w:val="000000" w:themeColor="text1"/>
                <w:sz w:val="18"/>
                <w:szCs w:val="18"/>
              </w:rPr>
              <w:t xml:space="preserve">USD 83,990,000 </w:t>
            </w:r>
            <w:r w:rsidR="007F3B6C" w:rsidRPr="00B46168">
              <w:rPr>
                <w:rFonts w:ascii="GHEA Grapalat" w:hAnsi="GHEA Grapalat"/>
                <w:color w:val="000000" w:themeColor="text1"/>
                <w:sz w:val="18"/>
                <w:szCs w:val="18"/>
              </w:rPr>
              <w:t xml:space="preserve"> ԱՄՆ դոլարի լրացուցիչ գումար:   </w:t>
            </w:r>
          </w:p>
        </w:tc>
        <w:tc>
          <w:tcPr>
            <w:tcW w:w="2610" w:type="dxa"/>
            <w:hideMark/>
          </w:tcPr>
          <w:p w14:paraId="415421C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Պայմանագրով նախատեսված ծավալի երաշխիքը, շահույթի բաշխման վճարային մեխանիզմը: </w:t>
            </w:r>
          </w:p>
        </w:tc>
      </w:tr>
      <w:tr w:rsidR="007F3B6C" w:rsidRPr="00B46168" w14:paraId="4B3C9163" w14:textId="77777777" w:rsidTr="00A84C68">
        <w:trPr>
          <w:jc w:val="center"/>
        </w:trPr>
        <w:tc>
          <w:tcPr>
            <w:tcW w:w="16291" w:type="dxa"/>
            <w:gridSpan w:val="11"/>
            <w:shd w:val="clear" w:color="auto" w:fill="D9D9D9" w:themeFill="background1" w:themeFillShade="D9"/>
          </w:tcPr>
          <w:p w14:paraId="3BC337B3" w14:textId="77777777" w:rsidR="007F3B6C" w:rsidRPr="00B46168" w:rsidRDefault="007F3B6C" w:rsidP="0010344F">
            <w:pPr>
              <w:widowControl w:val="0"/>
              <w:spacing w:before="60" w:after="6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Ֆինանսական և մակրոտնտեսական</w:t>
            </w:r>
          </w:p>
        </w:tc>
      </w:tr>
      <w:tr w:rsidR="007F3B6C" w:rsidRPr="00B46168" w14:paraId="44D6EA40" w14:textId="77777777" w:rsidTr="00A84C68">
        <w:trPr>
          <w:gridAfter w:val="1"/>
          <w:wAfter w:w="6" w:type="dxa"/>
          <w:jc w:val="center"/>
        </w:trPr>
        <w:tc>
          <w:tcPr>
            <w:tcW w:w="688" w:type="dxa"/>
            <w:shd w:val="clear" w:color="auto" w:fill="D9D9D9" w:themeFill="background1" w:themeFillShade="D9"/>
            <w:hideMark/>
          </w:tcPr>
          <w:p w14:paraId="6DA2681E"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24.</w:t>
            </w:r>
          </w:p>
        </w:tc>
        <w:tc>
          <w:tcPr>
            <w:tcW w:w="1958" w:type="dxa"/>
            <w:shd w:val="clear" w:color="auto" w:fill="D9D9D9" w:themeFill="background1" w:themeFillShade="D9"/>
            <w:hideMark/>
          </w:tcPr>
          <w:p w14:paraId="0A8128F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Ֆինանսավորման առկայությունը</w:t>
            </w:r>
          </w:p>
        </w:tc>
        <w:tc>
          <w:tcPr>
            <w:tcW w:w="2247" w:type="dxa"/>
            <w:hideMark/>
          </w:tcPr>
          <w:p w14:paraId="180DF62F"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Ծրագրի ֆինանսական արդյունավետությունը զգալիորեն կախված է դրա իրականացման համար պահանջվող </w:t>
            </w:r>
            <w:r w:rsidRPr="00B46168">
              <w:rPr>
                <w:rFonts w:ascii="GHEA Grapalat" w:hAnsi="GHEA Grapalat"/>
                <w:color w:val="000000" w:themeColor="text1"/>
                <w:sz w:val="18"/>
                <w:szCs w:val="18"/>
              </w:rPr>
              <w:lastRenderedPageBreak/>
              <w:t xml:space="preserve">ներգրավվող կապիտալի չափից, ինչը ներառում է ինչպես սեփական միջոցների, այնպես էլ պարտքի ֆինանսավորումը:   Դրա մեկ այլ մաս մասնավոր գործընկերոջ՝ ողջամիտ ժամկետում այդպիսի ֆինանսավորում ներգրավելու ունակությունն է: </w:t>
            </w:r>
          </w:p>
        </w:tc>
        <w:tc>
          <w:tcPr>
            <w:tcW w:w="1160" w:type="dxa"/>
            <w:hideMark/>
          </w:tcPr>
          <w:p w14:paraId="6AAA2A1C"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hideMark/>
          </w:tcPr>
          <w:p w14:paraId="1D1E677D"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3274EEC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4AF9A70E"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Ցածր</w:t>
            </w:r>
          </w:p>
        </w:tc>
        <w:tc>
          <w:tcPr>
            <w:tcW w:w="2515" w:type="dxa"/>
          </w:tcPr>
          <w:p w14:paraId="668A9E9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Ֆինանսավորում ձեռք բերելու ունակությունն ազդում է ներդրողի համար կապիտալի արժեքի վրա՝ այդպիսով նաև ներդրողի </w:t>
            </w:r>
            <w:r w:rsidRPr="00B46168">
              <w:rPr>
                <w:rFonts w:ascii="GHEA Grapalat" w:hAnsi="GHEA Grapalat"/>
                <w:color w:val="000000" w:themeColor="text1"/>
                <w:sz w:val="18"/>
                <w:szCs w:val="18"/>
              </w:rPr>
              <w:lastRenderedPageBreak/>
              <w:t xml:space="preserve">համար ծրագրի ընդհանուր արժեքի, ակնկալվող եկամտաբերության նորմի և այլ ցուցանիշների վրա:   </w:t>
            </w:r>
          </w:p>
          <w:p w14:paraId="6EF33D9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Պետական գործընկերոջ համար այն կարող է ազդել Ծրագրի մեկնարկի հետաձգման, ուստի նաև Ծրագրի օգուտների գեներացման վրա: </w:t>
            </w:r>
          </w:p>
        </w:tc>
        <w:tc>
          <w:tcPr>
            <w:tcW w:w="1715" w:type="dxa"/>
            <w:hideMark/>
          </w:tcPr>
          <w:p w14:paraId="048F3DF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 -</w:t>
            </w:r>
          </w:p>
        </w:tc>
        <w:tc>
          <w:tcPr>
            <w:tcW w:w="2610" w:type="dxa"/>
            <w:hideMark/>
          </w:tcPr>
          <w:p w14:paraId="06494B3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Լավ վարկանիշ ունեցող միջազգային ներդրողներ ներգրավելու համար թափանցիկ ընտրական ընթացակարգ, կայուն ՊՄԳ </w:t>
            </w:r>
            <w:r w:rsidRPr="00B46168">
              <w:rPr>
                <w:rFonts w:ascii="GHEA Grapalat" w:hAnsi="GHEA Grapalat"/>
                <w:color w:val="000000" w:themeColor="text1"/>
                <w:sz w:val="18"/>
                <w:szCs w:val="18"/>
              </w:rPr>
              <w:lastRenderedPageBreak/>
              <w:t>պայմանագրի ներկայացում, ծավալի երաշխիքի առկայություն. բոլոր այս միջոցները ավելացնում են մասնավոր գործընկերոջ՝ ողջամիտ ժամկետում բավարար ֆինանսական միջոցներ ներգրավելու կարողությունը: Հետևանքների մեղմացման հնարավոր մեխանիզմներից մեկը կարող է ենթադրել, որ հայտը ներկայացնելու չափորոշիչներից մեկը կարող է լինել  մասնավոր գործընկերոջ կողմից առնվազն սկզբնական որոշակի սեփական կապիտալ ունենալը, ինչը թույլ կտա խուսափել չափազանց շատ  փոխառու միջոցների օգտագործմամբ մեխանիզմներից:</w:t>
            </w:r>
          </w:p>
        </w:tc>
      </w:tr>
      <w:tr w:rsidR="007F3B6C" w:rsidRPr="00B46168" w14:paraId="608750FB" w14:textId="77777777" w:rsidTr="00A84C68">
        <w:trPr>
          <w:gridAfter w:val="1"/>
          <w:wAfter w:w="6" w:type="dxa"/>
          <w:jc w:val="center"/>
        </w:trPr>
        <w:tc>
          <w:tcPr>
            <w:tcW w:w="688" w:type="dxa"/>
            <w:shd w:val="clear" w:color="auto" w:fill="D9D9D9" w:themeFill="background1" w:themeFillShade="D9"/>
          </w:tcPr>
          <w:p w14:paraId="03E5635C"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25.</w:t>
            </w:r>
          </w:p>
        </w:tc>
        <w:tc>
          <w:tcPr>
            <w:tcW w:w="1958" w:type="dxa"/>
            <w:shd w:val="clear" w:color="auto" w:fill="D9D9D9" w:themeFill="background1" w:themeFillShade="D9"/>
          </w:tcPr>
          <w:p w14:paraId="12216630"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Տոկոսադրույքի ռիսկ</w:t>
            </w:r>
          </w:p>
        </w:tc>
        <w:tc>
          <w:tcPr>
            <w:tcW w:w="2247" w:type="dxa"/>
          </w:tcPr>
          <w:p w14:paraId="265A07E5"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Որոշ շուկաներում (հատկապես պակաս կայուն) հնարավոր է տոկոսադրույքի տատանումների ռիսկի առաջացումը՝ տոկոսադրույքի փոփոխականության կամ երկարաժամկետ հեջավորման հնարավորության բացակայության պատճառով: Որպես կանոն, մասնավոր գործընկերն է կրում </w:t>
            </w:r>
            <w:r w:rsidRPr="00B46168">
              <w:rPr>
                <w:rFonts w:ascii="GHEA Grapalat" w:hAnsi="GHEA Grapalat"/>
                <w:color w:val="000000" w:themeColor="text1"/>
                <w:sz w:val="18"/>
                <w:szCs w:val="18"/>
              </w:rPr>
              <w:lastRenderedPageBreak/>
              <w:t xml:space="preserve">տոկոսադրույքի տատանումների ռիսկը ծրագրի գործողության ընթացքում, սակայն սա կախված կլինի կոնկրետ ծրագրից և դրա իրականացման օրենսդրական դաշտից: </w:t>
            </w:r>
          </w:p>
        </w:tc>
        <w:tc>
          <w:tcPr>
            <w:tcW w:w="1160" w:type="dxa"/>
          </w:tcPr>
          <w:p w14:paraId="66EDA877"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tcPr>
          <w:p w14:paraId="4664D9FC"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tcPr>
          <w:p w14:paraId="260B82F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tcPr>
          <w:p w14:paraId="22AB550F" w14:textId="77777777" w:rsidR="007F3B6C" w:rsidRPr="00B46168" w:rsidRDefault="007F3B6C" w:rsidP="0010344F">
            <w:pPr>
              <w:widowControl w:val="0"/>
              <w:ind w:right="-9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1EADD71" w14:textId="77777777" w:rsidR="007F3B6C" w:rsidRPr="00B46168" w:rsidRDefault="007F3B6C" w:rsidP="0010344F">
            <w:pPr>
              <w:widowControl w:val="0"/>
              <w:jc w:val="left"/>
              <w:rPr>
                <w:rFonts w:ascii="GHEA Grapalat" w:hAnsi="GHEA Grapalat" w:cs="Arial"/>
                <w:color w:val="000000" w:themeColor="text1"/>
                <w:sz w:val="18"/>
                <w:szCs w:val="18"/>
              </w:rPr>
            </w:pPr>
          </w:p>
        </w:tc>
        <w:tc>
          <w:tcPr>
            <w:tcW w:w="1715" w:type="dxa"/>
          </w:tcPr>
          <w:p w14:paraId="4A3E0C58"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Հայտի ներկայացման փուլում սահմանված գների և ծրագրի գործողության ֆինանսական փակման միջև ընկած զգալի ժամանակահատվածի պատճառով տոկոսադրույքի անբարենպաստ փոփոխությունը կհանգեցնի </w:t>
            </w:r>
            <w:r w:rsidRPr="00B46168">
              <w:rPr>
                <w:rFonts w:ascii="GHEA Grapalat" w:hAnsi="GHEA Grapalat"/>
                <w:color w:val="000000" w:themeColor="text1"/>
                <w:sz w:val="18"/>
                <w:szCs w:val="18"/>
              </w:rPr>
              <w:lastRenderedPageBreak/>
              <w:t>կապիտալի ընդհանուր արժեքի աճին:</w:t>
            </w:r>
          </w:p>
        </w:tc>
        <w:tc>
          <w:tcPr>
            <w:tcW w:w="2610" w:type="dxa"/>
          </w:tcPr>
          <w:p w14:paraId="496C731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 xml:space="preserve">Հնարավոր մեղմացման միջոցները կարող են ներառել հեջավորման համաձայնությունն այնքանով, որքանով դա հնարավոր կամ անհրաժեշտ է համապատասխան շուկայում: Դա պետք է ապահովի մասնավոր գործընկերոջ կողմից վճարման ենթակա տոկոսադրույքի արդյունավետորեն ֆիքսված լինելը՝ տատանվողի փոխարեն, և պաշտպանում </w:t>
            </w:r>
            <w:r w:rsidRPr="00B46168">
              <w:rPr>
                <w:rFonts w:ascii="GHEA Grapalat" w:hAnsi="GHEA Grapalat"/>
                <w:color w:val="000000" w:themeColor="text1"/>
                <w:sz w:val="18"/>
                <w:szCs w:val="18"/>
              </w:rPr>
              <w:lastRenderedPageBreak/>
              <w:t>է այն տոկոսադրույքի անբարենպաստ շարժերից: Նման հեջավորման արժեքը պայմանագրի գնային առաջարկի մաս կլինի:</w:t>
            </w:r>
          </w:p>
        </w:tc>
      </w:tr>
      <w:tr w:rsidR="007F3B6C" w:rsidRPr="00B46168" w14:paraId="0CC3E4AF" w14:textId="77777777" w:rsidTr="00A84C68">
        <w:trPr>
          <w:gridAfter w:val="1"/>
          <w:wAfter w:w="6" w:type="dxa"/>
          <w:jc w:val="center"/>
        </w:trPr>
        <w:tc>
          <w:tcPr>
            <w:tcW w:w="688" w:type="dxa"/>
            <w:shd w:val="clear" w:color="auto" w:fill="D9D9D9" w:themeFill="background1" w:themeFillShade="D9"/>
            <w:hideMark/>
          </w:tcPr>
          <w:p w14:paraId="423A860C"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26.</w:t>
            </w:r>
          </w:p>
        </w:tc>
        <w:tc>
          <w:tcPr>
            <w:tcW w:w="1958" w:type="dxa"/>
            <w:shd w:val="clear" w:color="auto" w:fill="D9D9D9" w:themeFill="background1" w:themeFillShade="D9"/>
            <w:hideMark/>
          </w:tcPr>
          <w:p w14:paraId="5A356488"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Գնաճ</w:t>
            </w:r>
          </w:p>
        </w:tc>
        <w:tc>
          <w:tcPr>
            <w:tcW w:w="2247" w:type="dxa"/>
            <w:hideMark/>
          </w:tcPr>
          <w:p w14:paraId="4D5E9E0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Գնաճի պատճառով շինարարության և գործառնական ծախսերի ավելացման ռիսկ: Գնաճի պատճառով շինարարության ծախսերի ավելացած ռիսկը կարող է կրել մասնավոր գործընկերը, որը, որպես կանոն, ծրագրի արժեքի մեջ է ներառում այս ռիսկն այն շուկաներում, որտեղ այդպիսի ռիսկը կանխատեսելի և քանակապես որոշելի է: Գործառնական փուլում գնաճի ռիսկը, որպես կանոն, կրում է պետական գործընկերը:  </w:t>
            </w:r>
          </w:p>
        </w:tc>
        <w:tc>
          <w:tcPr>
            <w:tcW w:w="1160" w:type="dxa"/>
            <w:hideMark/>
          </w:tcPr>
          <w:p w14:paraId="41E07C15"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hideMark/>
          </w:tcPr>
          <w:p w14:paraId="5C0504CC"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4795F7C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5F4F55D2" w14:textId="77777777" w:rsidR="007F3B6C" w:rsidRPr="00B46168" w:rsidRDefault="007F3B6C" w:rsidP="0010344F">
            <w:pPr>
              <w:widowControl w:val="0"/>
              <w:ind w:right="-9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019C52E7"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Գնաճի մակարդակի շեղումը ազդում է ծրագրի արժեքի վրա և հանգեցնում բյուջետային միջոցների գերածախսի, եթե ռիսկը կրում է պետական կողմը</w:t>
            </w:r>
          </w:p>
        </w:tc>
        <w:tc>
          <w:tcPr>
            <w:tcW w:w="1715" w:type="dxa"/>
            <w:hideMark/>
          </w:tcPr>
          <w:p w14:paraId="652513D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b/>
                <w:color w:val="000000" w:themeColor="text1"/>
                <w:sz w:val="18"/>
                <w:szCs w:val="18"/>
              </w:rPr>
              <w:t xml:space="preserve">3,980,000 </w:t>
            </w:r>
            <w:r w:rsidRPr="00B46168">
              <w:rPr>
                <w:rFonts w:ascii="GHEA Grapalat" w:hAnsi="GHEA Grapalat"/>
                <w:sz w:val="18"/>
                <w:szCs w:val="18"/>
              </w:rPr>
              <w:t xml:space="preserve">(Հաշվարկված է Հանրային գործընկերոջ համար վերջնական օգտագործողի սակագնի և  ինֆլյացիայով կշռված հայտի գնի խզվածքի / Կառավարության կողմից մատուցվող ծառայությունների՝ ինֆլյացիայի տատանումների արդյունքում իրական գնի գնի փոփոխությունների հիման վրա: Երկու գնման տարբերակների համար: Սցենար 1 - բազային, կանխատեսված գնաճ, Սցենար 2: + 10 % ինֆլյացիայի աճ, Սցենար 3: + 20 % </w:t>
            </w:r>
            <w:r w:rsidRPr="00B46168">
              <w:rPr>
                <w:rFonts w:ascii="GHEA Grapalat" w:hAnsi="GHEA Grapalat"/>
                <w:sz w:val="18"/>
                <w:szCs w:val="18"/>
              </w:rPr>
              <w:lastRenderedPageBreak/>
              <w:t>ինֆլյացիայի աճ)</w:t>
            </w:r>
            <w:r w:rsidRPr="00B46168">
              <w:rPr>
                <w:rFonts w:ascii="GHEA Grapalat" w:hAnsi="GHEA Grapalat"/>
                <w:color w:val="000000" w:themeColor="text1"/>
                <w:sz w:val="18"/>
                <w:szCs w:val="18"/>
              </w:rPr>
              <w:t xml:space="preserve">: </w:t>
            </w:r>
          </w:p>
        </w:tc>
        <w:tc>
          <w:tcPr>
            <w:tcW w:w="2610" w:type="dxa"/>
            <w:hideMark/>
          </w:tcPr>
          <w:p w14:paraId="5A76706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Արժույթի փոխարժեքը կամ գնաճի դրույքաչափը կարող են ներառվել որպես գնի ցուցիչ: Որպես կանոն, մասնավոր գործընկերոջը վճարվող գումարը կարող է ներառել ինչպես ֆիքսված բաղադրիչ (երբ պարտքը հեջավորվել է), այնպես էլ փոփոխական բաղադրիչ, որը ներառում է բարձրացման գործակիցը, որով պայմանավորված է ծախսերի աճը:</w:t>
            </w:r>
          </w:p>
        </w:tc>
      </w:tr>
      <w:tr w:rsidR="007F3B6C" w:rsidRPr="00B46168" w14:paraId="5B7FBEAE" w14:textId="77777777" w:rsidTr="00A84C68">
        <w:trPr>
          <w:gridAfter w:val="1"/>
          <w:wAfter w:w="6" w:type="dxa"/>
          <w:jc w:val="center"/>
        </w:trPr>
        <w:tc>
          <w:tcPr>
            <w:tcW w:w="688" w:type="dxa"/>
            <w:shd w:val="clear" w:color="auto" w:fill="D9D9D9" w:themeFill="background1" w:themeFillShade="D9"/>
            <w:hideMark/>
          </w:tcPr>
          <w:p w14:paraId="5228D44E"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27.</w:t>
            </w:r>
          </w:p>
        </w:tc>
        <w:tc>
          <w:tcPr>
            <w:tcW w:w="1958" w:type="dxa"/>
            <w:shd w:val="clear" w:color="auto" w:fill="D9D9D9" w:themeFill="background1" w:themeFillShade="D9"/>
            <w:hideMark/>
          </w:tcPr>
          <w:p w14:paraId="0365A02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Փոխարժեքի տատանումը</w:t>
            </w:r>
          </w:p>
        </w:tc>
        <w:tc>
          <w:tcPr>
            <w:tcW w:w="2247" w:type="dxa"/>
            <w:hideMark/>
          </w:tcPr>
          <w:p w14:paraId="6CBE06F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Ծրագրի ընթացքում փոխարժեքի դրույքաչափի փոփոխությունները, այսինքն՝ ՊՄԳ պայմանագրի վճարների արժույթից տարբեր արժույթով գործառնական ծախսերը: Փոխարժեքի դրույքաչափի ռիսկի բաշխումը ծրագրի գործողության ժամկետում կախված կլինի ծրագրի իրականացման համապատասխան օրենսդրական դաշտից և ծրագրի ծախսերի բնույթից:  ՊՄԳ-ների մեծ մասում մասնավոր գործընկերը հայտ է ներկայացնում և վճարվում է մասնավոր գործընկերոջ կողմից, այդ երկրի ներպետական արժույթով: Այնուամենայնիվ, դրա արդյունքում կարող են առաջանալ արտարժույթով ծախսեր, և այդ ծախսերը կոնկրետ փոխարժեքի հիման վրա փոխարկվում են ներպետական </w:t>
            </w:r>
            <w:r w:rsidRPr="00B46168">
              <w:rPr>
                <w:rFonts w:ascii="GHEA Grapalat" w:hAnsi="GHEA Grapalat"/>
                <w:color w:val="000000" w:themeColor="text1"/>
                <w:sz w:val="18"/>
                <w:szCs w:val="18"/>
              </w:rPr>
              <w:lastRenderedPageBreak/>
              <w:t xml:space="preserve">արժույթի՝ գնային առաջարկի մեջ ներառման համար:   </w:t>
            </w:r>
          </w:p>
        </w:tc>
        <w:tc>
          <w:tcPr>
            <w:tcW w:w="1160" w:type="dxa"/>
            <w:hideMark/>
          </w:tcPr>
          <w:p w14:paraId="511EACF7"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0%</w:t>
            </w:r>
          </w:p>
        </w:tc>
        <w:tc>
          <w:tcPr>
            <w:tcW w:w="1241" w:type="dxa"/>
            <w:hideMark/>
          </w:tcPr>
          <w:p w14:paraId="20DE5B38"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047" w:type="dxa"/>
            <w:hideMark/>
          </w:tcPr>
          <w:p w14:paraId="0D5E44DF"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25%-40%</w:t>
            </w:r>
          </w:p>
        </w:tc>
        <w:tc>
          <w:tcPr>
            <w:tcW w:w="1104" w:type="dxa"/>
            <w:hideMark/>
          </w:tcPr>
          <w:p w14:paraId="7484C419" w14:textId="77777777" w:rsidR="007F3B6C" w:rsidRPr="00B46168" w:rsidRDefault="007F3B6C" w:rsidP="0010344F">
            <w:pPr>
              <w:widowControl w:val="0"/>
              <w:ind w:right="-124"/>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2463EFE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Փոխարժեքի տատանումն ազդում է ծրագրի ծախսերի վրա և հանգեցնում է մասնավոր գործընկերոջ ֆինանսական արդյունքների փոփոխության (ի վերջո նա կստանձնի ռիսկը և այն հաշվի կառնի ծառայության գնի մեջ) կամ բյուջեի միջոցների գերածախսի, եթե ռիսկը կրում է պետական կողմը: </w:t>
            </w:r>
          </w:p>
        </w:tc>
        <w:tc>
          <w:tcPr>
            <w:tcW w:w="1715" w:type="dxa"/>
            <w:hideMark/>
          </w:tcPr>
          <w:p w14:paraId="28F7AF2A" w14:textId="77777777" w:rsidR="007F3B6C" w:rsidRPr="00B46168" w:rsidRDefault="007F3B6C" w:rsidP="0010344F">
            <w:pPr>
              <w:widowControl w:val="0"/>
              <w:jc w:val="left"/>
              <w:rPr>
                <w:rFonts w:ascii="GHEA Grapalat" w:hAnsi="GHEA Grapalat"/>
                <w:color w:val="000000" w:themeColor="text1"/>
                <w:sz w:val="18"/>
                <w:szCs w:val="18"/>
              </w:rPr>
            </w:pPr>
            <w:r w:rsidRPr="00B46168">
              <w:rPr>
                <w:rFonts w:cs="Arial"/>
                <w:b/>
                <w:color w:val="000000"/>
                <w:sz w:val="18"/>
                <w:szCs w:val="18"/>
              </w:rPr>
              <w:t xml:space="preserve">9,680,000 </w:t>
            </w:r>
            <w:r w:rsidRPr="00B46168">
              <w:rPr>
                <w:rFonts w:ascii="GHEA Grapalat" w:hAnsi="GHEA Grapalat"/>
                <w:sz w:val="18"/>
                <w:szCs w:val="18"/>
              </w:rPr>
              <w:t>(Հաշվարկված է Հանրային գործընկերոջ համար վերջնական օգտագործողի սակագնի և  ինֆլյացիայով կշռված հայտի գնի խզվածքի / Կառավարության կողմից մատուցվող ծառայությունների՝ ինֆլյացիայի տատանումների արդյունքում իրական գնի գնի փոփոխությունների հիման վրա: Երկու գնման տարբերակների համար: Սցենար 1 - բազային, կանխատեսված գնաճ, Սցենար 2: + 10 % ինֆլյացիայի աճ, Սցենար 3: + 20 % ինֆլյացիայի աճ)</w:t>
            </w:r>
            <w:r w:rsidRPr="00B46168">
              <w:rPr>
                <w:rFonts w:ascii="GHEA Grapalat" w:hAnsi="GHEA Grapalat"/>
                <w:color w:val="000000" w:themeColor="text1"/>
                <w:sz w:val="18"/>
                <w:szCs w:val="18"/>
              </w:rPr>
              <w:t>:</w:t>
            </w:r>
          </w:p>
        </w:tc>
        <w:tc>
          <w:tcPr>
            <w:tcW w:w="2610" w:type="dxa"/>
            <w:hideMark/>
          </w:tcPr>
          <w:p w14:paraId="410798D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Արժույթի փոխարժեքը կամ գնաճի դրույքաչափը կարող են ներառվել որպես գնի ցուցիչ: Որպես կանոն՝ մասնավոր գործընկերոջը վճարվող գումարը կարող է ներառել ինչպես ֆիքսված բաղադրիչ (երբ պարտքը հեջավորվել է), այնպես էլ փոփոխական բաղադրիչ, որը ներառում է բարձրացման գործակիցը, որով պայմանավորված է արժեքների աճը:</w:t>
            </w:r>
          </w:p>
        </w:tc>
      </w:tr>
      <w:tr w:rsidR="007F3B6C" w:rsidRPr="00B46168" w14:paraId="2C73B789" w14:textId="77777777" w:rsidTr="00A84C68">
        <w:trPr>
          <w:jc w:val="center"/>
        </w:trPr>
        <w:tc>
          <w:tcPr>
            <w:tcW w:w="16291" w:type="dxa"/>
            <w:gridSpan w:val="11"/>
            <w:shd w:val="clear" w:color="auto" w:fill="D9D9D9" w:themeFill="background1" w:themeFillShade="D9"/>
          </w:tcPr>
          <w:p w14:paraId="4EC31118" w14:textId="77777777" w:rsidR="007F3B6C" w:rsidRPr="00B46168" w:rsidRDefault="007F3B6C" w:rsidP="0010344F">
            <w:pPr>
              <w:widowControl w:val="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lastRenderedPageBreak/>
              <w:t>Սոցիալական և քաղաքական</w:t>
            </w:r>
          </w:p>
        </w:tc>
      </w:tr>
      <w:tr w:rsidR="007F3B6C" w:rsidRPr="00B46168" w14:paraId="558996BD" w14:textId="77777777" w:rsidTr="00A84C68">
        <w:trPr>
          <w:gridAfter w:val="1"/>
          <w:wAfter w:w="6" w:type="dxa"/>
          <w:jc w:val="center"/>
        </w:trPr>
        <w:tc>
          <w:tcPr>
            <w:tcW w:w="688" w:type="dxa"/>
            <w:shd w:val="clear" w:color="auto" w:fill="D9D9D9" w:themeFill="background1" w:themeFillShade="D9"/>
            <w:hideMark/>
          </w:tcPr>
          <w:p w14:paraId="6E54D93C"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28.</w:t>
            </w:r>
          </w:p>
        </w:tc>
        <w:tc>
          <w:tcPr>
            <w:tcW w:w="1958" w:type="dxa"/>
            <w:shd w:val="clear" w:color="auto" w:fill="D9D9D9" w:themeFill="background1" w:themeFillShade="D9"/>
            <w:hideMark/>
          </w:tcPr>
          <w:p w14:paraId="481EC42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Հիմնական շահագրգիռ կողմերի դիմադրությունը</w:t>
            </w:r>
          </w:p>
        </w:tc>
        <w:tc>
          <w:tcPr>
            <w:tcW w:w="2247" w:type="dxa"/>
            <w:hideMark/>
          </w:tcPr>
          <w:p w14:paraId="5F58525A"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Ռիսկը ներառում է առաջարկված փոփոխությունների ազդեցությանը ենթարկված ցանկացած արտաքին կողմի, այդ թվում՝ կառավարության շահագրգիռ կողմերի և քաղաքացիների, </w:t>
            </w:r>
          </w:p>
          <w:p w14:paraId="5A5C316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Կառավարությունն առավել շահավետ դիրքում է գտնվում այս ռիսկերը կարգավորելու և դրանք նվազագույնի հասցնելու համար համապատասխան ռազմավարություն մշակելու տեսանկյունից: </w:t>
            </w:r>
          </w:p>
        </w:tc>
        <w:tc>
          <w:tcPr>
            <w:tcW w:w="1160" w:type="dxa"/>
            <w:hideMark/>
          </w:tcPr>
          <w:p w14:paraId="1DDFBC58"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hideMark/>
          </w:tcPr>
          <w:p w14:paraId="2B494ED7"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366263E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779F4791" w14:textId="77777777" w:rsidR="007F3B6C" w:rsidRPr="00B46168" w:rsidRDefault="007F3B6C" w:rsidP="0010344F">
            <w:pPr>
              <w:widowControl w:val="0"/>
              <w:ind w:right="-75"/>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34897DC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Սրա արդյունքում կարող են ծավալվել երկարատև քննարկումներ, ձեռք բերվել համաձայնություններ, որոնք կարող են ազդել նախագծման և կառուցման փուլի վրա կամ ծառայությունների ծավալի վրա (տե՛ս «ծավալի հետ կապված ռիսկ» բաժինը):</w:t>
            </w:r>
          </w:p>
        </w:tc>
        <w:tc>
          <w:tcPr>
            <w:tcW w:w="1715" w:type="dxa"/>
            <w:hideMark/>
          </w:tcPr>
          <w:p w14:paraId="19AB6874"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5FD2FB3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1. Սերտ համագործակցություն կառավարության բոլոր մակարդակներում՝ ծրագրի վաղ փուլից սկսած:</w:t>
            </w:r>
          </w:p>
          <w:p w14:paraId="3BFC34F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2. Ստեղծվել է Պայմանագրի դիտանցման հարցերով կոմիտեն՝ ցանկացած խոչընդոտ դիտանցելու և լուծելու համար:  </w:t>
            </w:r>
          </w:p>
        </w:tc>
      </w:tr>
      <w:tr w:rsidR="007F3B6C" w:rsidRPr="00B46168" w14:paraId="445F7715" w14:textId="77777777" w:rsidTr="00A84C68">
        <w:trPr>
          <w:gridAfter w:val="1"/>
          <w:wAfter w:w="6" w:type="dxa"/>
          <w:jc w:val="center"/>
        </w:trPr>
        <w:tc>
          <w:tcPr>
            <w:tcW w:w="688" w:type="dxa"/>
            <w:shd w:val="clear" w:color="auto" w:fill="D9D9D9" w:themeFill="background1" w:themeFillShade="D9"/>
            <w:hideMark/>
          </w:tcPr>
          <w:p w14:paraId="1A68BFC8"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29.</w:t>
            </w:r>
          </w:p>
        </w:tc>
        <w:tc>
          <w:tcPr>
            <w:tcW w:w="1958" w:type="dxa"/>
            <w:shd w:val="clear" w:color="auto" w:fill="D9D9D9" w:themeFill="background1" w:themeFillShade="D9"/>
            <w:hideMark/>
          </w:tcPr>
          <w:p w14:paraId="3F921D7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Հեղինակության հետ կապված ռիսկ</w:t>
            </w:r>
          </w:p>
        </w:tc>
        <w:tc>
          <w:tcPr>
            <w:tcW w:w="2247" w:type="dxa"/>
            <w:hideMark/>
          </w:tcPr>
          <w:p w14:paraId="6380645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Կառավարության համար հեղինակության հետ կապված ռիսկը՝ մրցույթի ընթացքում և (կամ) մասնավոր գործընկերոջ գործունեության ընթացքում:</w:t>
            </w:r>
          </w:p>
        </w:tc>
        <w:tc>
          <w:tcPr>
            <w:tcW w:w="1160" w:type="dxa"/>
            <w:hideMark/>
          </w:tcPr>
          <w:p w14:paraId="4F9589AF"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100%</w:t>
            </w:r>
          </w:p>
        </w:tc>
        <w:tc>
          <w:tcPr>
            <w:tcW w:w="1241" w:type="dxa"/>
            <w:hideMark/>
          </w:tcPr>
          <w:p w14:paraId="36CFEDFE"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0%</w:t>
            </w:r>
          </w:p>
        </w:tc>
        <w:tc>
          <w:tcPr>
            <w:tcW w:w="1047" w:type="dxa"/>
            <w:hideMark/>
          </w:tcPr>
          <w:p w14:paraId="61EA06EF"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6A18DA9C" w14:textId="77777777" w:rsidR="007F3B6C" w:rsidRPr="00B46168" w:rsidRDefault="007F3B6C" w:rsidP="0010344F">
            <w:pPr>
              <w:widowControl w:val="0"/>
              <w:ind w:right="-75"/>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Չափավոր</w:t>
            </w:r>
          </w:p>
        </w:tc>
        <w:tc>
          <w:tcPr>
            <w:tcW w:w="2515" w:type="dxa"/>
          </w:tcPr>
          <w:p w14:paraId="5687801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Ցածր որակավորում ունեցող մասնակցի ընտրությունը կամ գործարքի ոչ համապատասխան կառուցվածքը կարող են հանգեցնել ակնկալվող մակարդակները չբավարարող ծառայության մակարդակի՝ այդպիսով սահմանափակելով ծրագրի օգուտների իրացումը: </w:t>
            </w:r>
          </w:p>
        </w:tc>
        <w:tc>
          <w:tcPr>
            <w:tcW w:w="1715" w:type="dxa"/>
            <w:hideMark/>
          </w:tcPr>
          <w:p w14:paraId="2748ED8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w:t>
            </w:r>
          </w:p>
        </w:tc>
        <w:tc>
          <w:tcPr>
            <w:tcW w:w="2610" w:type="dxa"/>
            <w:hideMark/>
          </w:tcPr>
          <w:p w14:paraId="33CC6C32"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Գործարքի կոնկրետ մանրամասները նախագծելու և մրցութային գործընթացի ընթացքում աջակցելու համար ներգրավված անկախ խորհրդատվական կողմ: </w:t>
            </w:r>
          </w:p>
        </w:tc>
      </w:tr>
      <w:tr w:rsidR="007F3B6C" w:rsidRPr="00B46168" w14:paraId="40B7D4DD" w14:textId="77777777" w:rsidTr="00A84C68">
        <w:trPr>
          <w:jc w:val="center"/>
        </w:trPr>
        <w:tc>
          <w:tcPr>
            <w:tcW w:w="16291" w:type="dxa"/>
            <w:gridSpan w:val="11"/>
            <w:shd w:val="clear" w:color="auto" w:fill="D9D9D9" w:themeFill="background1" w:themeFillShade="D9"/>
          </w:tcPr>
          <w:p w14:paraId="1D682DF5" w14:textId="77777777" w:rsidR="007F3B6C" w:rsidRPr="00B46168" w:rsidRDefault="007F3B6C" w:rsidP="0010344F">
            <w:pPr>
              <w:widowControl w:val="0"/>
              <w:jc w:val="left"/>
              <w:rPr>
                <w:rFonts w:ascii="GHEA Grapalat" w:hAnsi="GHEA Grapalat" w:cs="Arial"/>
                <w:b/>
                <w:color w:val="000000" w:themeColor="text1"/>
                <w:sz w:val="18"/>
                <w:szCs w:val="18"/>
              </w:rPr>
            </w:pPr>
            <w:r w:rsidRPr="00B46168">
              <w:rPr>
                <w:rFonts w:ascii="GHEA Grapalat" w:hAnsi="GHEA Grapalat"/>
                <w:b/>
                <w:color w:val="000000" w:themeColor="text1"/>
                <w:sz w:val="18"/>
                <w:szCs w:val="18"/>
              </w:rPr>
              <w:t>Անհաղթահարելի ուժի ազդեցություն և այլ անկանխատեսելի իրադարձություններ</w:t>
            </w:r>
          </w:p>
        </w:tc>
      </w:tr>
      <w:tr w:rsidR="007F3B6C" w:rsidRPr="00B46168" w14:paraId="53BCFA45" w14:textId="77777777" w:rsidTr="00A84C68">
        <w:trPr>
          <w:gridAfter w:val="1"/>
          <w:wAfter w:w="6" w:type="dxa"/>
          <w:jc w:val="center"/>
        </w:trPr>
        <w:tc>
          <w:tcPr>
            <w:tcW w:w="688" w:type="dxa"/>
            <w:shd w:val="clear" w:color="auto" w:fill="D9D9D9" w:themeFill="background1" w:themeFillShade="D9"/>
            <w:hideMark/>
          </w:tcPr>
          <w:p w14:paraId="676DF95A" w14:textId="77777777" w:rsidR="007F3B6C" w:rsidRPr="00B46168" w:rsidRDefault="007F3B6C" w:rsidP="0010344F">
            <w:pPr>
              <w:widowControl w:val="0"/>
              <w:jc w:val="center"/>
              <w:rPr>
                <w:rFonts w:ascii="GHEA Grapalat" w:hAnsi="GHEA Grapalat" w:cs="Arial"/>
                <w:b/>
                <w:color w:val="000000" w:themeColor="text1"/>
                <w:sz w:val="18"/>
                <w:szCs w:val="18"/>
              </w:rPr>
            </w:pPr>
            <w:r w:rsidRPr="00B46168">
              <w:rPr>
                <w:rFonts w:ascii="GHEA Grapalat" w:hAnsi="GHEA Grapalat"/>
                <w:b/>
                <w:color w:val="000000" w:themeColor="text1"/>
                <w:sz w:val="18"/>
                <w:szCs w:val="18"/>
              </w:rPr>
              <w:t>30.</w:t>
            </w:r>
          </w:p>
        </w:tc>
        <w:tc>
          <w:tcPr>
            <w:tcW w:w="1958" w:type="dxa"/>
            <w:shd w:val="clear" w:color="auto" w:fill="D9D9D9" w:themeFill="background1" w:themeFillShade="D9"/>
            <w:hideMark/>
          </w:tcPr>
          <w:p w14:paraId="0103CE16"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Անհաղթահարելի ուժի ազդեցությունը</w:t>
            </w:r>
          </w:p>
        </w:tc>
        <w:tc>
          <w:tcPr>
            <w:tcW w:w="2247" w:type="dxa"/>
            <w:hideMark/>
          </w:tcPr>
          <w:p w14:paraId="0A05D40C"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Հանգամանքներ, որոնք դուրս են ողջամիտ հսկողության </w:t>
            </w:r>
            <w:r w:rsidRPr="00B46168">
              <w:rPr>
                <w:rFonts w:ascii="GHEA Grapalat" w:hAnsi="GHEA Grapalat"/>
                <w:color w:val="000000" w:themeColor="text1"/>
                <w:sz w:val="18"/>
                <w:szCs w:val="18"/>
              </w:rPr>
              <w:lastRenderedPageBreak/>
              <w:t xml:space="preserve">սահմաններից </w:t>
            </w:r>
          </w:p>
        </w:tc>
        <w:tc>
          <w:tcPr>
            <w:tcW w:w="1160" w:type="dxa"/>
            <w:hideMark/>
          </w:tcPr>
          <w:p w14:paraId="1CA490BA"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50%</w:t>
            </w:r>
          </w:p>
        </w:tc>
        <w:tc>
          <w:tcPr>
            <w:tcW w:w="1241" w:type="dxa"/>
            <w:hideMark/>
          </w:tcPr>
          <w:p w14:paraId="7050EFAB" w14:textId="77777777" w:rsidR="007F3B6C" w:rsidRPr="00B46168" w:rsidRDefault="007F3B6C" w:rsidP="0010344F">
            <w:pPr>
              <w:widowControl w:val="0"/>
              <w:jc w:val="right"/>
              <w:rPr>
                <w:rFonts w:ascii="GHEA Grapalat" w:hAnsi="GHEA Grapalat" w:cs="Arial"/>
                <w:color w:val="000000" w:themeColor="text1"/>
                <w:sz w:val="18"/>
                <w:szCs w:val="18"/>
              </w:rPr>
            </w:pPr>
            <w:r w:rsidRPr="00B46168">
              <w:rPr>
                <w:rFonts w:ascii="GHEA Grapalat" w:hAnsi="GHEA Grapalat"/>
                <w:color w:val="000000" w:themeColor="text1"/>
                <w:sz w:val="18"/>
                <w:szCs w:val="18"/>
              </w:rPr>
              <w:t>50%</w:t>
            </w:r>
          </w:p>
        </w:tc>
        <w:tc>
          <w:tcPr>
            <w:tcW w:w="1047" w:type="dxa"/>
            <w:hideMark/>
          </w:tcPr>
          <w:p w14:paraId="6C076F3D"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0%-15%</w:t>
            </w:r>
          </w:p>
        </w:tc>
        <w:tc>
          <w:tcPr>
            <w:tcW w:w="1104" w:type="dxa"/>
            <w:hideMark/>
          </w:tcPr>
          <w:p w14:paraId="74435FFB"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Բարձր</w:t>
            </w:r>
          </w:p>
        </w:tc>
        <w:tc>
          <w:tcPr>
            <w:tcW w:w="2515" w:type="dxa"/>
          </w:tcPr>
          <w:p w14:paraId="57C624E1"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Ազդեցության աստիճանը կարող է տարբերվել՝ անհաղթահարելի ուժի </w:t>
            </w:r>
            <w:r w:rsidRPr="00B46168">
              <w:rPr>
                <w:rFonts w:ascii="GHEA Grapalat" w:hAnsi="GHEA Grapalat"/>
                <w:color w:val="000000" w:themeColor="text1"/>
                <w:sz w:val="18"/>
                <w:szCs w:val="18"/>
              </w:rPr>
              <w:lastRenderedPageBreak/>
              <w:t>ազդեցության կոնկրետ իրավիճակից կախված:</w:t>
            </w:r>
          </w:p>
        </w:tc>
        <w:tc>
          <w:tcPr>
            <w:tcW w:w="1715" w:type="dxa"/>
            <w:hideMark/>
          </w:tcPr>
          <w:p w14:paraId="6781BFF3"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w:t>
            </w:r>
          </w:p>
        </w:tc>
        <w:tc>
          <w:tcPr>
            <w:tcW w:w="2610" w:type="dxa"/>
            <w:hideMark/>
          </w:tcPr>
          <w:p w14:paraId="77ADC2E9" w14:textId="77777777" w:rsidR="007F3B6C" w:rsidRPr="00B46168" w:rsidRDefault="007F3B6C" w:rsidP="0010344F">
            <w:pPr>
              <w:widowControl w:val="0"/>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Նման ռիսկերը չեն կարող կանխատեսվել, թեև կարող են մեղմացվել՝</w:t>
            </w:r>
          </w:p>
          <w:p w14:paraId="601B6B97" w14:textId="77777777" w:rsidR="007F3B6C" w:rsidRPr="00B46168" w:rsidRDefault="007F3B6C" w:rsidP="0010344F">
            <w:pPr>
              <w:widowControl w:val="0"/>
              <w:ind w:left="166" w:hanging="16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lastRenderedPageBreak/>
              <w:t>1. ճգնաժամերի կառավարման պլան կազմելու,</w:t>
            </w:r>
          </w:p>
          <w:p w14:paraId="16FB5EF1" w14:textId="77777777" w:rsidR="007F3B6C" w:rsidRPr="00B46168" w:rsidRDefault="007F3B6C" w:rsidP="0010344F">
            <w:pPr>
              <w:widowControl w:val="0"/>
              <w:ind w:left="166" w:hanging="16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2.  ապահովագրության,</w:t>
            </w:r>
          </w:p>
          <w:p w14:paraId="44760A48" w14:textId="77777777" w:rsidR="007F3B6C" w:rsidRPr="00B46168" w:rsidRDefault="007F3B6C" w:rsidP="0010344F">
            <w:pPr>
              <w:widowControl w:val="0"/>
              <w:ind w:left="166" w:hanging="16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 xml:space="preserve">3. պայմանագրում անհաղթահարելի ուժի ազդեցության համապատասխան դրույթներ ներառելու, </w:t>
            </w:r>
          </w:p>
          <w:p w14:paraId="7F7557F9" w14:textId="77777777" w:rsidR="007F3B6C" w:rsidRPr="00B46168" w:rsidRDefault="007F3B6C" w:rsidP="0010344F">
            <w:pPr>
              <w:widowControl w:val="0"/>
              <w:ind w:left="166" w:hanging="166"/>
              <w:jc w:val="left"/>
              <w:rPr>
                <w:rFonts w:ascii="GHEA Grapalat" w:hAnsi="GHEA Grapalat" w:cs="Arial"/>
                <w:color w:val="000000" w:themeColor="text1"/>
                <w:sz w:val="18"/>
                <w:szCs w:val="18"/>
              </w:rPr>
            </w:pPr>
            <w:r w:rsidRPr="00B46168">
              <w:rPr>
                <w:rFonts w:ascii="GHEA Grapalat" w:hAnsi="GHEA Grapalat"/>
                <w:color w:val="000000" w:themeColor="text1"/>
                <w:sz w:val="18"/>
                <w:szCs w:val="18"/>
              </w:rPr>
              <w:t>4. մասնավոր գործընկերոջ կողմից համապատասխան ապահովագրության և գործունեության շարունակականության պլանավորման (վթարային վերականգնման պլանավորման) միջոցով:</w:t>
            </w:r>
          </w:p>
        </w:tc>
      </w:tr>
    </w:tbl>
    <w:p w14:paraId="48C2912C" w14:textId="77777777" w:rsidR="007F3B6C" w:rsidRDefault="007F3B6C" w:rsidP="007F3B6C">
      <w:pPr>
        <w:widowControl w:val="0"/>
        <w:spacing w:after="240"/>
        <w:jc w:val="center"/>
        <w:textDirection w:val="btLr"/>
        <w:rPr>
          <w:rFonts w:ascii="GHEA Grapalat" w:hAnsi="GHEA Grapalat"/>
          <w:b/>
          <w:sz w:val="20"/>
          <w:szCs w:val="20"/>
        </w:rPr>
      </w:pPr>
    </w:p>
    <w:p w14:paraId="2431183D" w14:textId="77777777" w:rsidR="007F3B6C" w:rsidRPr="00995606" w:rsidRDefault="007F3B6C" w:rsidP="007F3B6C">
      <w:pPr>
        <w:jc w:val="center"/>
        <w:rPr>
          <w:rFonts w:ascii="GHEA Grapalat" w:hAnsi="GHEA Grapalat"/>
          <w:b/>
          <w:bCs/>
          <w:sz w:val="24"/>
          <w:szCs w:val="28"/>
        </w:rPr>
      </w:pPr>
    </w:p>
    <w:sectPr w:rsidR="007F3B6C" w:rsidRPr="00995606" w:rsidSect="007F3B6C">
      <w:footerReference w:type="default" r:id="rId7"/>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12163" w14:textId="77777777" w:rsidR="00422105" w:rsidRDefault="00422105" w:rsidP="00582E40">
      <w:r>
        <w:separator/>
      </w:r>
    </w:p>
  </w:endnote>
  <w:endnote w:type="continuationSeparator" w:id="0">
    <w:p w14:paraId="4BB701FA" w14:textId="77777777" w:rsidR="00422105" w:rsidRDefault="00422105" w:rsidP="0058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985210"/>
      <w:docPartObj>
        <w:docPartGallery w:val="Page Numbers (Bottom of Page)"/>
        <w:docPartUnique/>
      </w:docPartObj>
    </w:sdtPr>
    <w:sdtEndPr>
      <w:rPr>
        <w:noProof/>
      </w:rPr>
    </w:sdtEndPr>
    <w:sdtContent>
      <w:p w14:paraId="614F26CB" w14:textId="1464E9FE" w:rsidR="00582E40" w:rsidRDefault="00582E40" w:rsidP="00582E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4FE6A" w14:textId="77777777" w:rsidR="00422105" w:rsidRDefault="00422105" w:rsidP="00582E40">
      <w:r>
        <w:separator/>
      </w:r>
    </w:p>
  </w:footnote>
  <w:footnote w:type="continuationSeparator" w:id="0">
    <w:p w14:paraId="5421E1D6" w14:textId="77777777" w:rsidR="00422105" w:rsidRDefault="00422105" w:rsidP="00582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66384"/>
    <w:multiLevelType w:val="multilevel"/>
    <w:tmpl w:val="24C0507A"/>
    <w:lvl w:ilvl="0">
      <w:start w:val="1"/>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05613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B6C"/>
    <w:rsid w:val="0001500D"/>
    <w:rsid w:val="000254E1"/>
    <w:rsid w:val="00056C1F"/>
    <w:rsid w:val="000B0F4A"/>
    <w:rsid w:val="00121DD7"/>
    <w:rsid w:val="0012540B"/>
    <w:rsid w:val="00176D32"/>
    <w:rsid w:val="00177842"/>
    <w:rsid w:val="001A084B"/>
    <w:rsid w:val="001C1825"/>
    <w:rsid w:val="001C1C3E"/>
    <w:rsid w:val="002448EA"/>
    <w:rsid w:val="002565DF"/>
    <w:rsid w:val="002954C6"/>
    <w:rsid w:val="003050F9"/>
    <w:rsid w:val="0033420E"/>
    <w:rsid w:val="003739EB"/>
    <w:rsid w:val="003916BB"/>
    <w:rsid w:val="00397EAF"/>
    <w:rsid w:val="003E209C"/>
    <w:rsid w:val="00420351"/>
    <w:rsid w:val="00422105"/>
    <w:rsid w:val="00525116"/>
    <w:rsid w:val="00547F12"/>
    <w:rsid w:val="00555E2F"/>
    <w:rsid w:val="00582E40"/>
    <w:rsid w:val="0058416E"/>
    <w:rsid w:val="005E442F"/>
    <w:rsid w:val="005E7E92"/>
    <w:rsid w:val="006246F6"/>
    <w:rsid w:val="006869E6"/>
    <w:rsid w:val="006B0BEB"/>
    <w:rsid w:val="006B1A88"/>
    <w:rsid w:val="007A5B48"/>
    <w:rsid w:val="007A7B49"/>
    <w:rsid w:val="007F14D4"/>
    <w:rsid w:val="007F3B6C"/>
    <w:rsid w:val="00824CBA"/>
    <w:rsid w:val="00860740"/>
    <w:rsid w:val="00886A17"/>
    <w:rsid w:val="008920FD"/>
    <w:rsid w:val="008C345E"/>
    <w:rsid w:val="00995606"/>
    <w:rsid w:val="009A73A8"/>
    <w:rsid w:val="009B2F16"/>
    <w:rsid w:val="009B3B36"/>
    <w:rsid w:val="009B76AF"/>
    <w:rsid w:val="009C6948"/>
    <w:rsid w:val="009E67D8"/>
    <w:rsid w:val="00A84C68"/>
    <w:rsid w:val="00AB54CC"/>
    <w:rsid w:val="00AD54E3"/>
    <w:rsid w:val="00AD54E9"/>
    <w:rsid w:val="00AE269A"/>
    <w:rsid w:val="00B02518"/>
    <w:rsid w:val="00B432C2"/>
    <w:rsid w:val="00BC40F6"/>
    <w:rsid w:val="00C347BE"/>
    <w:rsid w:val="00C647FA"/>
    <w:rsid w:val="00C95ABD"/>
    <w:rsid w:val="00CD2656"/>
    <w:rsid w:val="00D20087"/>
    <w:rsid w:val="00D2721D"/>
    <w:rsid w:val="00D36C37"/>
    <w:rsid w:val="00E53BBB"/>
    <w:rsid w:val="00E614A7"/>
    <w:rsid w:val="00EB2E96"/>
    <w:rsid w:val="00EB307A"/>
    <w:rsid w:val="00F95EFD"/>
    <w:rsid w:val="00FB0959"/>
    <w:rsid w:val="00FB47DF"/>
    <w:rsid w:val="00FC1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A227D"/>
  <w15:chartTrackingRefBased/>
  <w15:docId w15:val="{6D9457DB-BD89-4A96-BC12-13664088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B6C"/>
    <w:pPr>
      <w:spacing w:after="0" w:line="240" w:lineRule="auto"/>
      <w:jc w:val="both"/>
    </w:pPr>
    <w:rPr>
      <w:rFonts w:ascii="Arial" w:eastAsia="Times New Roman" w:hAnsi="Arial" w:cs="Times New Roman"/>
      <w:kern w:val="0"/>
      <w:szCs w:val="24"/>
      <w:lang w:val="hy-AM" w:eastAsia="hy-AM" w:bidi="hy-AM"/>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F3B6C"/>
    <w:pPr>
      <w:spacing w:after="0" w:line="240" w:lineRule="auto"/>
    </w:pPr>
    <w:rPr>
      <w:kern w:val="0"/>
      <w:lang w:val="hy-AM" w:eastAsia="hy-AM" w:bidi="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F3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lp1"/>
    <w:basedOn w:val="Normal"/>
    <w:link w:val="ListParagraphChar"/>
    <w:uiPriority w:val="34"/>
    <w:qFormat/>
    <w:rsid w:val="007F3B6C"/>
    <w:pPr>
      <w:ind w:left="720"/>
      <w:contextualSpacing/>
    </w:p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7F3B6C"/>
    <w:rPr>
      <w:rFonts w:ascii="Arial" w:eastAsia="Times New Roman" w:hAnsi="Arial" w:cs="Times New Roman"/>
      <w:kern w:val="0"/>
      <w:szCs w:val="24"/>
      <w:lang w:val="hy-AM" w:eastAsia="hy-AM" w:bidi="hy-AM"/>
      <w14:ligatures w14:val="none"/>
    </w:rPr>
  </w:style>
  <w:style w:type="paragraph" w:styleId="Header">
    <w:name w:val="header"/>
    <w:basedOn w:val="Normal"/>
    <w:link w:val="HeaderChar"/>
    <w:uiPriority w:val="99"/>
    <w:unhideWhenUsed/>
    <w:rsid w:val="00582E40"/>
    <w:pPr>
      <w:tabs>
        <w:tab w:val="center" w:pos="4680"/>
        <w:tab w:val="right" w:pos="9360"/>
      </w:tabs>
    </w:pPr>
  </w:style>
  <w:style w:type="character" w:customStyle="1" w:styleId="HeaderChar">
    <w:name w:val="Header Char"/>
    <w:basedOn w:val="DefaultParagraphFont"/>
    <w:link w:val="Header"/>
    <w:uiPriority w:val="99"/>
    <w:rsid w:val="00582E40"/>
    <w:rPr>
      <w:rFonts w:ascii="Arial" w:eastAsia="Times New Roman" w:hAnsi="Arial" w:cs="Times New Roman"/>
      <w:kern w:val="0"/>
      <w:szCs w:val="24"/>
      <w:lang w:val="hy-AM" w:eastAsia="hy-AM" w:bidi="hy-AM"/>
      <w14:ligatures w14:val="none"/>
    </w:rPr>
  </w:style>
  <w:style w:type="paragraph" w:styleId="Footer">
    <w:name w:val="footer"/>
    <w:basedOn w:val="Normal"/>
    <w:link w:val="FooterChar"/>
    <w:uiPriority w:val="99"/>
    <w:unhideWhenUsed/>
    <w:rsid w:val="00582E40"/>
    <w:pPr>
      <w:tabs>
        <w:tab w:val="center" w:pos="4680"/>
        <w:tab w:val="right" w:pos="9360"/>
      </w:tabs>
    </w:pPr>
  </w:style>
  <w:style w:type="character" w:customStyle="1" w:styleId="FooterChar">
    <w:name w:val="Footer Char"/>
    <w:basedOn w:val="DefaultParagraphFont"/>
    <w:link w:val="Footer"/>
    <w:uiPriority w:val="99"/>
    <w:rsid w:val="00582E40"/>
    <w:rPr>
      <w:rFonts w:ascii="Arial" w:eastAsia="Times New Roman" w:hAnsi="Arial" w:cs="Times New Roman"/>
      <w:kern w:val="0"/>
      <w:szCs w:val="24"/>
      <w:lang w:val="hy-AM" w:eastAsia="hy-AM" w:bidi="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26</Pages>
  <Words>4921</Words>
  <Characters>28051</Characters>
  <Application>Microsoft Office Word</Application>
  <DocSecurity>0</DocSecurity>
  <Lines>233</Lines>
  <Paragraphs>65</Paragraphs>
  <ScaleCrop>false</ScaleCrop>
  <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
  <dc:description/>
  <cp:lastModifiedBy>Aneta Babayan</cp:lastModifiedBy>
  <cp:revision>48</cp:revision>
  <dcterms:created xsi:type="dcterms:W3CDTF">2023-12-08T13:02:00Z</dcterms:created>
  <dcterms:modified xsi:type="dcterms:W3CDTF">2023-12-27T07:12:00Z</dcterms:modified>
</cp:coreProperties>
</file>