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EFCBC" w14:textId="02B98FFC" w:rsidR="007F3B6C" w:rsidRPr="006D209B" w:rsidRDefault="007F3B6C" w:rsidP="007F3B6C">
      <w:pPr>
        <w:spacing w:line="259" w:lineRule="auto"/>
        <w:jc w:val="right"/>
        <w:rPr>
          <w:rFonts w:ascii="GHEA Grapalat" w:hAnsi="GHEA Grapalat"/>
          <w:sz w:val="20"/>
          <w:szCs w:val="22"/>
        </w:rPr>
      </w:pPr>
      <w:r w:rsidRPr="006D209B">
        <w:rPr>
          <w:rFonts w:ascii="GHEA Grapalat" w:hAnsi="GHEA Grapalat"/>
          <w:sz w:val="20"/>
          <w:szCs w:val="22"/>
        </w:rPr>
        <w:t>Հավելված 1</w:t>
      </w:r>
      <w:r w:rsidR="001F544B" w:rsidRPr="006D209B">
        <w:rPr>
          <w:rFonts w:ascii="Cambria Math" w:hAnsi="Cambria Math" w:cs="Cambria Math"/>
          <w:sz w:val="20"/>
          <w:szCs w:val="22"/>
        </w:rPr>
        <w:t>․</w:t>
      </w:r>
      <w:r w:rsidR="001F544B" w:rsidRPr="006D209B">
        <w:rPr>
          <w:rFonts w:ascii="GHEA Grapalat" w:hAnsi="GHEA Grapalat"/>
          <w:sz w:val="20"/>
          <w:szCs w:val="22"/>
        </w:rPr>
        <w:t>3</w:t>
      </w:r>
    </w:p>
    <w:p w14:paraId="09E27F1C" w14:textId="77777777" w:rsidR="007F3B6C" w:rsidRPr="006D209B" w:rsidRDefault="007F3B6C" w:rsidP="007F3B6C">
      <w:pPr>
        <w:spacing w:line="259" w:lineRule="auto"/>
        <w:jc w:val="right"/>
        <w:rPr>
          <w:rFonts w:ascii="GHEA Grapalat" w:hAnsi="GHEA Grapalat"/>
          <w:sz w:val="20"/>
          <w:szCs w:val="22"/>
        </w:rPr>
      </w:pPr>
      <w:r w:rsidRPr="006D209B">
        <w:rPr>
          <w:rFonts w:ascii="GHEA Grapalat" w:hAnsi="GHEA Grapalat"/>
          <w:sz w:val="20"/>
          <w:szCs w:val="22"/>
        </w:rPr>
        <w:t xml:space="preserve"> ՀՀ կառավարության 2023 թվականի</w:t>
      </w:r>
    </w:p>
    <w:p w14:paraId="5132FB3C" w14:textId="344A412E" w:rsidR="007F3B6C" w:rsidRPr="006D209B" w:rsidRDefault="007F3B6C" w:rsidP="007F3B6C">
      <w:pPr>
        <w:spacing w:line="259" w:lineRule="auto"/>
        <w:jc w:val="right"/>
        <w:rPr>
          <w:rFonts w:ascii="GHEA Grapalat" w:hAnsi="GHEA Grapalat"/>
          <w:sz w:val="20"/>
          <w:szCs w:val="22"/>
        </w:rPr>
      </w:pPr>
      <w:r w:rsidRPr="006D209B">
        <w:rPr>
          <w:rFonts w:ascii="GHEA Grapalat" w:hAnsi="GHEA Grapalat"/>
          <w:sz w:val="20"/>
          <w:szCs w:val="22"/>
        </w:rPr>
        <w:t xml:space="preserve"> դեկտեմբերի </w:t>
      </w:r>
      <w:r w:rsidRPr="006D209B">
        <w:rPr>
          <w:rFonts w:ascii="GHEA Grapalat" w:hAnsi="GHEA Grapalat"/>
          <w:sz w:val="20"/>
          <w:szCs w:val="22"/>
          <w:highlight w:val="yellow"/>
        </w:rPr>
        <w:t>[  ]</w:t>
      </w:r>
      <w:r w:rsidRPr="006D209B">
        <w:rPr>
          <w:rFonts w:ascii="GHEA Grapalat" w:hAnsi="GHEA Grapalat"/>
          <w:sz w:val="20"/>
          <w:szCs w:val="22"/>
        </w:rPr>
        <w:t xml:space="preserve">-ի N </w:t>
      </w:r>
      <w:r w:rsidRPr="006D209B">
        <w:rPr>
          <w:rFonts w:ascii="GHEA Grapalat" w:hAnsi="GHEA Grapalat"/>
          <w:sz w:val="20"/>
          <w:szCs w:val="22"/>
          <w:highlight w:val="yellow"/>
        </w:rPr>
        <w:t>[  ]</w:t>
      </w:r>
      <w:r w:rsidRPr="006D209B">
        <w:rPr>
          <w:rFonts w:ascii="GHEA Grapalat" w:hAnsi="GHEA Grapalat"/>
          <w:sz w:val="20"/>
          <w:szCs w:val="22"/>
        </w:rPr>
        <w:t xml:space="preserve"> - </w:t>
      </w:r>
      <w:r w:rsidR="00603A5C">
        <w:rPr>
          <w:rFonts w:ascii="GHEA Grapalat" w:hAnsi="GHEA Grapalat"/>
          <w:sz w:val="20"/>
          <w:szCs w:val="22"/>
        </w:rPr>
        <w:t>Ա</w:t>
      </w:r>
      <w:r w:rsidRPr="006D209B">
        <w:rPr>
          <w:rFonts w:ascii="GHEA Grapalat" w:hAnsi="GHEA Grapalat"/>
          <w:sz w:val="20"/>
          <w:szCs w:val="22"/>
        </w:rPr>
        <w:t xml:space="preserve"> որոշման</w:t>
      </w:r>
    </w:p>
    <w:p w14:paraId="1DAE5003" w14:textId="0C53C6D8" w:rsidR="00AE269A" w:rsidRDefault="007F3B6C" w:rsidP="007F3B6C">
      <w:pPr>
        <w:jc w:val="center"/>
        <w:rPr>
          <w:rFonts w:ascii="GHEA Grapalat" w:hAnsi="GHEA Grapalat"/>
          <w:b/>
          <w:bCs/>
          <w:sz w:val="24"/>
          <w:szCs w:val="28"/>
          <w:lang w:val="ru-RU"/>
        </w:rPr>
      </w:pPr>
      <w:r w:rsidRPr="007F3B6C">
        <w:rPr>
          <w:rFonts w:ascii="GHEA Grapalat" w:hAnsi="GHEA Grapalat"/>
          <w:b/>
          <w:bCs/>
          <w:sz w:val="24"/>
          <w:szCs w:val="28"/>
          <w:lang w:val="ru-RU"/>
        </w:rPr>
        <w:t>МАТРИЦА РИСКОВ</w:t>
      </w:r>
    </w:p>
    <w:p w14:paraId="6403D3E4" w14:textId="4118B9EF" w:rsidR="000254E1" w:rsidRPr="00C95ABD" w:rsidRDefault="006B0BEB" w:rsidP="007E7F8C">
      <w:pPr>
        <w:spacing w:after="120"/>
        <w:jc w:val="center"/>
        <w:rPr>
          <w:rFonts w:ascii="GHEA Grapalat" w:hAnsi="GHEA Grapalat"/>
          <w:b/>
          <w:bCs/>
          <w:sz w:val="24"/>
          <w:szCs w:val="28"/>
          <w:lang w:val="ru-RU"/>
        </w:rPr>
      </w:pPr>
      <w:r>
        <w:rPr>
          <w:rFonts w:ascii="GHEA Grapalat" w:hAnsi="GHEA Grapalat"/>
          <w:b/>
          <w:bCs/>
          <w:sz w:val="24"/>
          <w:szCs w:val="28"/>
          <w:lang w:val="ru-RU"/>
        </w:rPr>
        <w:t>Проекта г</w:t>
      </w:r>
      <w:r w:rsidR="00177842" w:rsidRPr="006B0BEB">
        <w:rPr>
          <w:rFonts w:ascii="GHEA Grapalat" w:hAnsi="GHEA Grapalat"/>
          <w:b/>
          <w:bCs/>
          <w:sz w:val="24"/>
          <w:szCs w:val="28"/>
          <w:lang w:val="ru-RU"/>
        </w:rPr>
        <w:t>осударственного-</w:t>
      </w:r>
      <w:r w:rsidR="00D36C37" w:rsidRPr="006B0BEB">
        <w:rPr>
          <w:rFonts w:ascii="GHEA Grapalat" w:hAnsi="GHEA Grapalat"/>
          <w:b/>
          <w:bCs/>
          <w:sz w:val="24"/>
          <w:szCs w:val="28"/>
          <w:lang w:val="ru-RU"/>
        </w:rPr>
        <w:t>ч</w:t>
      </w:r>
      <w:r w:rsidRPr="006B0BEB">
        <w:rPr>
          <w:rFonts w:ascii="GHEA Grapalat" w:hAnsi="GHEA Grapalat"/>
          <w:b/>
          <w:bCs/>
          <w:sz w:val="24"/>
          <w:szCs w:val="28"/>
          <w:lang w:val="ru-RU"/>
        </w:rPr>
        <w:t xml:space="preserve">астного патнерства </w:t>
      </w:r>
      <w:r w:rsidR="00420351">
        <w:rPr>
          <w:rFonts w:ascii="GHEA Grapalat" w:hAnsi="GHEA Grapalat"/>
          <w:b/>
          <w:bCs/>
          <w:sz w:val="24"/>
          <w:szCs w:val="28"/>
          <w:lang w:val="ru-RU"/>
        </w:rPr>
        <w:t>про</w:t>
      </w:r>
      <w:r w:rsidR="00C95ABD">
        <w:rPr>
          <w:rFonts w:ascii="GHEA Grapalat" w:hAnsi="GHEA Grapalat"/>
          <w:b/>
          <w:bCs/>
          <w:sz w:val="24"/>
          <w:szCs w:val="28"/>
          <w:lang w:val="ru-RU"/>
        </w:rPr>
        <w:t xml:space="preserve"> </w:t>
      </w:r>
      <w:r w:rsidR="00D36C37">
        <w:rPr>
          <w:rFonts w:ascii="GHEA Grapalat" w:hAnsi="GHEA Grapalat"/>
          <w:b/>
          <w:bCs/>
          <w:sz w:val="24"/>
          <w:szCs w:val="28"/>
          <w:lang w:val="ru-RU"/>
        </w:rPr>
        <w:t>инфраструкту</w:t>
      </w:r>
      <w:r w:rsidR="00547F12">
        <w:rPr>
          <w:rFonts w:ascii="GHEA Grapalat" w:hAnsi="GHEA Grapalat"/>
          <w:b/>
          <w:bCs/>
          <w:sz w:val="24"/>
          <w:szCs w:val="28"/>
          <w:lang w:val="ru-RU"/>
        </w:rPr>
        <w:t>ру</w:t>
      </w:r>
      <w:r w:rsidR="00D36C37">
        <w:rPr>
          <w:rFonts w:ascii="GHEA Grapalat" w:hAnsi="GHEA Grapalat"/>
          <w:b/>
          <w:bCs/>
          <w:sz w:val="24"/>
          <w:szCs w:val="28"/>
          <w:lang w:val="ru-RU"/>
        </w:rPr>
        <w:t xml:space="preserve"> </w:t>
      </w:r>
      <w:r w:rsidR="00D36C37" w:rsidRPr="00D36C37">
        <w:rPr>
          <w:rFonts w:ascii="GHEA Grapalat" w:hAnsi="GHEA Grapalat"/>
          <w:b/>
          <w:bCs/>
          <w:sz w:val="24"/>
          <w:szCs w:val="28"/>
          <w:lang w:val="ru-RU"/>
        </w:rPr>
        <w:t>выдач</w:t>
      </w:r>
      <w:r w:rsidR="00420351">
        <w:rPr>
          <w:rFonts w:ascii="GHEA Grapalat" w:hAnsi="GHEA Grapalat"/>
          <w:b/>
          <w:bCs/>
          <w:sz w:val="24"/>
          <w:szCs w:val="28"/>
          <w:lang w:val="ru-RU"/>
        </w:rPr>
        <w:t>и</w:t>
      </w:r>
      <w:r w:rsidR="00D36C37" w:rsidRPr="00D36C37">
        <w:rPr>
          <w:rFonts w:ascii="GHEA Grapalat" w:hAnsi="GHEA Grapalat"/>
          <w:b/>
          <w:bCs/>
          <w:sz w:val="24"/>
          <w:szCs w:val="28"/>
          <w:lang w:val="ru-RU"/>
        </w:rPr>
        <w:t xml:space="preserve"> биометрических паспортов и </w:t>
      </w:r>
      <w:r w:rsidR="007F14D4">
        <w:rPr>
          <w:rFonts w:ascii="GHEA Grapalat" w:hAnsi="GHEA Grapalat"/>
          <w:b/>
          <w:bCs/>
          <w:sz w:val="24"/>
          <w:szCs w:val="28"/>
          <w:lang w:val="ru-RU"/>
        </w:rPr>
        <w:t>идентификационных карт</w:t>
      </w:r>
      <w:r w:rsidR="00547F12">
        <w:rPr>
          <w:rFonts w:ascii="GHEA Grapalat" w:hAnsi="GHEA Grapalat"/>
          <w:b/>
          <w:bCs/>
          <w:sz w:val="24"/>
          <w:szCs w:val="28"/>
          <w:lang w:val="ru-RU"/>
        </w:rPr>
        <w:t xml:space="preserve"> в Республике Армения</w:t>
      </w:r>
    </w:p>
    <w:tbl>
      <w:tblPr>
        <w:tblpPr w:leftFromText="180" w:rightFromText="180" w:vertAnchor="text" w:tblpXSpec="center" w:tblpY="1"/>
        <w:tblOverlap w:val="never"/>
        <w:tblW w:w="16120" w:type="dxa"/>
        <w:tblLayout w:type="fixed"/>
        <w:tblLook w:val="04A0" w:firstRow="1" w:lastRow="0" w:firstColumn="1" w:lastColumn="0" w:noHBand="0" w:noVBand="1"/>
        <w:tblDescription w:val="*$*$UPSLIDE_TablePasted'_#[%£=+@"/>
      </w:tblPr>
      <w:tblGrid>
        <w:gridCol w:w="535"/>
        <w:gridCol w:w="1688"/>
        <w:gridCol w:w="2632"/>
        <w:gridCol w:w="1279"/>
        <w:gridCol w:w="1080"/>
        <w:gridCol w:w="1461"/>
        <w:gridCol w:w="1220"/>
        <w:gridCol w:w="2384"/>
        <w:gridCol w:w="1756"/>
        <w:gridCol w:w="2085"/>
      </w:tblGrid>
      <w:tr w:rsidR="006B0BEB" w:rsidRPr="006B0BEB" w14:paraId="35BA73F2" w14:textId="77777777" w:rsidTr="00AE74EC">
        <w:trPr>
          <w:trHeight w:val="359"/>
          <w:tblHeader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2C759B80" w14:textId="77777777" w:rsidR="006B0BEB" w:rsidRPr="006B0BEB" w:rsidRDefault="006B0BEB" w:rsidP="00F06D6B">
            <w:pPr>
              <w:jc w:val="center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  <w:r w:rsidRPr="006B0BEB">
              <w:rPr>
                <w:rFonts w:ascii="GHEA Grapalat" w:eastAsiaTheme="minorHAnsi" w:hAnsi="GHEA Grapalat" w:cs="Cambria Math"/>
                <w:b/>
                <w:color w:val="FFFFFF"/>
                <w:sz w:val="20"/>
                <w:szCs w:val="20"/>
              </w:rPr>
              <w:t>№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36DB4967" w14:textId="77777777" w:rsidR="006B0BEB" w:rsidRPr="006B0BEB" w:rsidRDefault="006B0BEB" w:rsidP="00F06D6B">
            <w:pPr>
              <w:jc w:val="left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FFFFFF"/>
                <w:sz w:val="18"/>
                <w:szCs w:val="18"/>
              </w:rPr>
              <w:t>Риск</w:t>
            </w:r>
          </w:p>
        </w:tc>
        <w:tc>
          <w:tcPr>
            <w:tcW w:w="2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159BCE56" w14:textId="77777777" w:rsidR="006B0BEB" w:rsidRPr="006B0BEB" w:rsidRDefault="006B0BEB" w:rsidP="00F06D6B">
            <w:pPr>
              <w:jc w:val="left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FFFFFF"/>
                <w:sz w:val="18"/>
                <w:szCs w:val="18"/>
              </w:rPr>
              <w:t>Описание рисков</w:t>
            </w:r>
          </w:p>
        </w:tc>
        <w:tc>
          <w:tcPr>
            <w:tcW w:w="2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15476B86" w14:textId="77777777" w:rsidR="006B0BEB" w:rsidRPr="006B0BEB" w:rsidRDefault="006B0BEB" w:rsidP="00F06D6B">
            <w:pPr>
              <w:jc w:val="center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FFFFFF"/>
                <w:sz w:val="18"/>
                <w:szCs w:val="18"/>
              </w:rPr>
              <w:t>Распределение рисков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6FF4A295" w14:textId="77777777" w:rsidR="006B0BEB" w:rsidRPr="006B0BEB" w:rsidRDefault="006B0BEB" w:rsidP="00F06D6B">
            <w:pPr>
              <w:jc w:val="center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FFFFFF"/>
                <w:sz w:val="18"/>
                <w:szCs w:val="18"/>
              </w:rPr>
              <w:t>Вероятность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170E2318" w14:textId="062CCDC8" w:rsidR="006B0BEB" w:rsidRPr="00F06D6B" w:rsidRDefault="00F06D6B" w:rsidP="00F06D6B">
            <w:pPr>
              <w:ind w:left="-150" w:right="-102"/>
              <w:jc w:val="center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ru-RU"/>
              </w:rPr>
            </w:pPr>
            <w:r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ru-RU"/>
              </w:rPr>
              <w:t>В</w:t>
            </w:r>
            <w:r w:rsidRPr="006B0BEB">
              <w:rPr>
                <w:rFonts w:ascii="GHEA Grapalat" w:hAnsi="GHEA Grapalat" w:cs="Arial"/>
                <w:b/>
                <w:color w:val="FFFFFF"/>
                <w:sz w:val="18"/>
                <w:szCs w:val="18"/>
              </w:rPr>
              <w:t>оздействи</w:t>
            </w:r>
            <w:r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ru-RU"/>
              </w:rPr>
              <w:t>е</w:t>
            </w:r>
          </w:p>
        </w:tc>
        <w:tc>
          <w:tcPr>
            <w:tcW w:w="2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14651807" w14:textId="77777777" w:rsidR="006B0BEB" w:rsidRPr="006B0BEB" w:rsidRDefault="006B0BEB" w:rsidP="00F06D6B">
            <w:pPr>
              <w:jc w:val="center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FFFFFF"/>
                <w:sz w:val="18"/>
                <w:szCs w:val="18"/>
              </w:rPr>
              <w:t>Описание воздействия</w:t>
            </w:r>
          </w:p>
        </w:tc>
        <w:tc>
          <w:tcPr>
            <w:tcW w:w="1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055782E3" w14:textId="77777777" w:rsidR="006B0BEB" w:rsidRPr="006B0BEB" w:rsidRDefault="006B0BEB" w:rsidP="00F06D6B">
            <w:pPr>
              <w:jc w:val="center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FFFFFF"/>
                <w:sz w:val="18"/>
                <w:szCs w:val="18"/>
              </w:rPr>
              <w:t>Общая величина риска, USD</w:t>
            </w:r>
          </w:p>
        </w:tc>
        <w:tc>
          <w:tcPr>
            <w:tcW w:w="20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0944F6BD" w14:textId="77777777" w:rsidR="006B0BEB" w:rsidRPr="006B0BEB" w:rsidRDefault="006B0BEB" w:rsidP="00F06D6B">
            <w:pPr>
              <w:jc w:val="center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FFFFFF"/>
                <w:sz w:val="18"/>
                <w:szCs w:val="18"/>
              </w:rPr>
              <w:t>Действия по управлению рисками</w:t>
            </w:r>
          </w:p>
        </w:tc>
      </w:tr>
      <w:tr w:rsidR="006B0BEB" w:rsidRPr="006B0BEB" w14:paraId="0F8C7B5B" w14:textId="77777777" w:rsidTr="00AE74EC">
        <w:trPr>
          <w:trHeight w:val="58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E919" w14:textId="77777777" w:rsidR="006B0BEB" w:rsidRPr="006B0BEB" w:rsidRDefault="006B0BEB" w:rsidP="00F06D6B">
            <w:pPr>
              <w:jc w:val="left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4A48" w14:textId="77777777" w:rsidR="006B0BEB" w:rsidRPr="006B0BEB" w:rsidRDefault="006B0BEB" w:rsidP="00F06D6B">
            <w:pPr>
              <w:jc w:val="left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</w:p>
        </w:tc>
        <w:tc>
          <w:tcPr>
            <w:tcW w:w="2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A311" w14:textId="77777777" w:rsidR="006B0BEB" w:rsidRPr="006B0BEB" w:rsidRDefault="006B0BEB" w:rsidP="00F06D6B">
            <w:pPr>
              <w:jc w:val="left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503BA721" w14:textId="17B9D040" w:rsidR="006B0BEB" w:rsidRPr="007F14D4" w:rsidRDefault="007F14D4" w:rsidP="00F06D6B">
            <w:pPr>
              <w:jc w:val="center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ru-RU"/>
              </w:rPr>
            </w:pPr>
            <w:r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ru-RU"/>
              </w:rPr>
              <w:t>Государст</w:t>
            </w:r>
            <w:r w:rsidR="007E7F8C">
              <w:rPr>
                <w:rFonts w:ascii="GHEA Grapalat" w:hAnsi="GHEA Grapalat" w:cs="Arial"/>
                <w:b/>
                <w:color w:val="FFFFFF"/>
                <w:sz w:val="18"/>
                <w:szCs w:val="18"/>
              </w:rPr>
              <w:t>-</w:t>
            </w:r>
            <w:r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ru-RU"/>
              </w:rPr>
              <w:t>венны</w:t>
            </w:r>
            <w:r w:rsidR="00FD7F43" w:rsidRPr="006B0BEB">
              <w:rPr>
                <w:rFonts w:ascii="GHEA Grapalat" w:hAnsi="GHEA Grapalat" w:cs="Arial"/>
                <w:b/>
                <w:color w:val="FFFFFF"/>
                <w:sz w:val="18"/>
                <w:szCs w:val="18"/>
              </w:rPr>
              <w:t>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1B8782AB" w14:textId="77777777" w:rsidR="006B0BEB" w:rsidRPr="006B0BEB" w:rsidRDefault="006B0BEB" w:rsidP="00F06D6B">
            <w:pPr>
              <w:jc w:val="center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FFFFFF"/>
                <w:sz w:val="18"/>
                <w:szCs w:val="18"/>
              </w:rPr>
              <w:t>Частный</w:t>
            </w:r>
          </w:p>
        </w:tc>
        <w:tc>
          <w:tcPr>
            <w:tcW w:w="1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CA041" w14:textId="77777777" w:rsidR="006B0BEB" w:rsidRPr="006B0BEB" w:rsidRDefault="006B0BEB" w:rsidP="00F06D6B">
            <w:pPr>
              <w:jc w:val="left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CB80D" w14:textId="77777777" w:rsidR="006B0BEB" w:rsidRPr="006B0BEB" w:rsidRDefault="006B0BEB" w:rsidP="00F06D6B">
            <w:pPr>
              <w:jc w:val="left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</w:p>
        </w:tc>
        <w:tc>
          <w:tcPr>
            <w:tcW w:w="2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ADC8" w14:textId="77777777" w:rsidR="006B0BEB" w:rsidRPr="006B0BEB" w:rsidRDefault="006B0BEB" w:rsidP="00F06D6B">
            <w:pPr>
              <w:jc w:val="left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</w:p>
        </w:tc>
        <w:tc>
          <w:tcPr>
            <w:tcW w:w="1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08A14" w14:textId="77777777" w:rsidR="006B0BEB" w:rsidRPr="006B0BEB" w:rsidRDefault="006B0BEB" w:rsidP="00F06D6B">
            <w:pPr>
              <w:jc w:val="left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DF27E" w14:textId="77777777" w:rsidR="006B0BEB" w:rsidRPr="006B0BEB" w:rsidRDefault="006B0BEB" w:rsidP="00F06D6B">
            <w:pPr>
              <w:jc w:val="left"/>
              <w:rPr>
                <w:rFonts w:ascii="GHEA Grapalat" w:hAnsi="GHEA Grapalat" w:cs="Arial"/>
                <w:b/>
                <w:color w:val="FFFFFF"/>
                <w:sz w:val="18"/>
                <w:szCs w:val="18"/>
                <w:lang w:val="en-GB"/>
              </w:rPr>
            </w:pPr>
          </w:p>
        </w:tc>
      </w:tr>
      <w:tr w:rsidR="006B0BEB" w:rsidRPr="006B0BEB" w14:paraId="0F8933D0" w14:textId="77777777" w:rsidTr="00AE74EC">
        <w:trPr>
          <w:trHeight w:val="300"/>
        </w:trPr>
        <w:tc>
          <w:tcPr>
            <w:tcW w:w="1612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</w:tcPr>
          <w:p w14:paraId="1B6512A6" w14:textId="1E38C83A" w:rsidR="00995606" w:rsidRPr="00D20087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Риски, связанные с тендер</w:t>
            </w:r>
            <w:r w:rsidR="00D20087"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ru-RU"/>
              </w:rPr>
              <w:t>ом</w:t>
            </w:r>
          </w:p>
        </w:tc>
      </w:tr>
      <w:tr w:rsidR="006B0BEB" w:rsidRPr="006B0BEB" w14:paraId="2AF1EBF0" w14:textId="77777777" w:rsidTr="00AE74EC">
        <w:trPr>
          <w:trHeight w:val="48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1D956D4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1.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88F32C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Несостоявшийся или оспариваемый тендер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2C1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Недостаточное количество заявок, неполные заявки, судебные иски, риск мошенничества на тендерах и т.д.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86D76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C3DBB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8FE2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37F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1E1D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Может отсрочить дату начала проекта (и, в конечном итоге, своевременную реализацию выгоды) из-за возможных судебных разбирательств в случае оспаривания тендера, необходимости реструктуризации тендера и повторного объявления его в случае неудачного тендера. Это также приведет к увеличению усилий и государственных расходов на подготовку тендеров.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9AC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  <w:p w14:paraId="5DE78BD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  <w:p w14:paraId="16EBC97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7DD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Процесс консультирования рынка / зондирования и раннее вовлечение потенциальных участников торгов.</w:t>
            </w:r>
          </w:p>
        </w:tc>
      </w:tr>
      <w:tr w:rsidR="006B0BEB" w:rsidRPr="006B0BEB" w14:paraId="14BB654B" w14:textId="77777777" w:rsidTr="00AE74EC">
        <w:trPr>
          <w:trHeight w:val="48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</w:tcPr>
          <w:p w14:paraId="1DF524A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2.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608B61D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Выбор участников торгов с плохой репутацией / или смена владельца выбранного участника торгов с хорошей репутацией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8DF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Выбор участников торгов или изменение прав собственности выбранных участников торгов, которые могут представлять угрозу национальной безопасности.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04EA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7552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D5C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15-40 %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316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Высокий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9E46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Выбор недобросовестных участников торгов или изменение прав собственности выбранных участников торгов может представлять угрозу национальной безопасности.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29A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AF7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1. Допуск СНБ на соответствие требованиям участников торгов.</w:t>
            </w:r>
          </w:p>
          <w:p w14:paraId="707FC3E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2. Допуск МИД и Министерства обороны для иностранных и иностранных участников торгов.</w:t>
            </w:r>
          </w:p>
          <w:p w14:paraId="708BFE1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3. Квалификационные/кв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алификационные критерии ограничивают участие государственных предприятий, где государство имеет значительный контроль через полную, мажоритарную или значительную миноритарную собственность.</w:t>
            </w:r>
          </w:p>
          <w:p w14:paraId="459F8B9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4. Никаких изменений в прямом или косвенном праве собственности Частного партнера в течение срока действия контракта без письменного согласия Правительства.</w:t>
            </w:r>
          </w:p>
        </w:tc>
      </w:tr>
      <w:tr w:rsidR="006B0BEB" w:rsidRPr="006B0BEB" w14:paraId="2E66D17F" w14:textId="77777777" w:rsidTr="00AE74EC">
        <w:trPr>
          <w:trHeight w:val="732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7429B99F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3.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FC2FE9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Отбор недостаточно квалифицированных участников торгов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F0F5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Может быть вызвано неправильным методом отбора или другими причинами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BBCD8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86E47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826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6260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Высокий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E6D8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Может повлиять на качество результатов проекта и способность реализовать ожидаемые выгоды.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CC5B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99FA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1. Независимая третья сторона (консультанты) для обеспечения технической оценки тендеров, поддержки в процедурах отбора кандидатов.</w:t>
            </w:r>
          </w:p>
          <w:p w14:paraId="028E768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2. Методы отбора должны основываться на общей экономической ценности: качество предложения должно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быть оценено выше, чем цена.</w:t>
            </w:r>
          </w:p>
        </w:tc>
      </w:tr>
      <w:tr w:rsidR="006B0BEB" w:rsidRPr="006B0BEB" w14:paraId="6FB8F909" w14:textId="77777777" w:rsidTr="00AE74EC">
        <w:trPr>
          <w:trHeight w:val="732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</w:tcPr>
          <w:p w14:paraId="397FB98D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4.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73FE1A7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Переплаты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CCB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Высокие цены или наценки, установленные Частным партнером 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F914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C3155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D652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DF90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88C4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Установление высокой цены или маржинальности приводит к перерасходованию бюджетных средств, а также повышает социальные и политические риски.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9E20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BBED" w14:textId="77777777" w:rsidR="00995606" w:rsidRPr="006B0BEB" w:rsidRDefault="00995606" w:rsidP="00F06D6B">
            <w:pPr>
              <w:tabs>
                <w:tab w:val="left" w:pos="384"/>
              </w:tabs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1. Конкурсный отбор частного партнера (конкурсная процедура).</w:t>
            </w:r>
          </w:p>
          <w:p w14:paraId="24635D93" w14:textId="77777777" w:rsidR="00995606" w:rsidRPr="006B0BEB" w:rsidRDefault="00995606" w:rsidP="00F06D6B">
            <w:pPr>
              <w:tabs>
                <w:tab w:val="left" w:pos="384"/>
              </w:tabs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2. Коммуникация для привлечения большего количества участников торгов.</w:t>
            </w:r>
          </w:p>
          <w:p w14:paraId="13098827" w14:textId="77777777" w:rsidR="00995606" w:rsidRPr="006B0BEB" w:rsidRDefault="00995606" w:rsidP="00F06D6B">
            <w:pPr>
              <w:tabs>
                <w:tab w:val="left" w:pos="384"/>
              </w:tabs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3. Предварительное исследование государственного партнера о стоимости оцифрованных паспортов в других странах (часть предварительного технико-экономического обоснования). </w:t>
            </w:r>
          </w:p>
        </w:tc>
      </w:tr>
      <w:tr w:rsidR="006B0BEB" w:rsidRPr="006B0BEB" w14:paraId="1ED572B4" w14:textId="77777777" w:rsidTr="00AE74EC">
        <w:trPr>
          <w:trHeight w:val="300"/>
        </w:trPr>
        <w:tc>
          <w:tcPr>
            <w:tcW w:w="1612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</w:tcPr>
          <w:p w14:paraId="2636C94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Нормативно-правовые риски</w:t>
            </w:r>
          </w:p>
        </w:tc>
      </w:tr>
      <w:tr w:rsidR="006B0BEB" w:rsidRPr="006B0BEB" w14:paraId="6BE5860B" w14:textId="77777777" w:rsidTr="00AE74EC">
        <w:trPr>
          <w:trHeight w:val="924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7D9E3429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5.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94401C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Общие правовые и регуляторные риски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4228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Изменение нормативной базы по выдаче / требованиям к выдаче удостоверений личности и паспортов.</w:t>
            </w:r>
            <w:r w:rsidRPr="006B0B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Изменение нормативной базы в области регулирования операционной деятельности (тарифы, налогообложение и т.д.). Публичный партнер в первую очередь несет риск непредвиденных изменений в законодательстве, которые не были в открытом доступе до указанной даты закрытия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на этапе подачи заявок и которые приводят к тому, что выполнение Частным партнером своих договорных обязательств полностью или частично невозможно, задерживается или обходится дороже, чем ожидалось (или влияет на его инвесторов)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C7D17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lastRenderedPageBreak/>
              <w:t>100%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7A71B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2B4A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50%-70%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933E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Высокий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7DD9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Минимальные требования к поставщику могут не учитывать ожидаемые изменения, поэтому поставщик может запросить изменение и повысить цену. 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D7D3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9953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1. Риск Публичного партнера может быть снижен путем обеспечения того, чтобы в договоре было четко определено, что является изменением, соответствующей датой прекращения и что представляет собой нахождение в общественном достоянии. Это зависит от характера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проекта и юрисдикции.</w:t>
            </w:r>
          </w:p>
          <w:p w14:paraId="1C6DA6C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2. Изменения в законодательстве внимательно отслеживаются комитетом по контролю за исполнением договоров.</w:t>
            </w:r>
          </w:p>
          <w:p w14:paraId="35A43E0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3. Установление коммуникационных связей с частным партнером для обсуждения влияния на его деятельность / ведения переговоров.</w:t>
            </w:r>
          </w:p>
          <w:p w14:paraId="78EC06D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4. Минимальные требования к поставщику включают в себя требования о том, что услуги должны соответствовать последним версиям конкретных международных стандартов, поэтому частный партнер обязан поддерживать услуги в актуальном состоянии, поэтому, если изменения отражают только изменение международного стандарта, это не считается изменением.</w:t>
            </w:r>
          </w:p>
          <w:p w14:paraId="11CFCC8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5. Нормативно-правовую базу системы идентификации рекомендуется актуализировать перед проведением тендера.</w:t>
            </w:r>
          </w:p>
        </w:tc>
      </w:tr>
      <w:tr w:rsidR="006B0BEB" w:rsidRPr="006B0BEB" w14:paraId="1C7A05F0" w14:textId="77777777" w:rsidTr="00AE74EC">
        <w:trPr>
          <w:trHeight w:val="138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5F5446A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6.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F26B1C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Специфические правовые риски, связанные с договором ГЧП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E317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Правовые риски, связанные с договором и иными договорными отношениями в рамках проекта (неисполнение сторонами обязательств, досрочное расторжение договора, несвоевременная передача имущества, отсутствие или недостаточный уровень договорного урегулирования отдельных вопросов и т.д.) 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D7AD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50%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EBF4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1BCE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85B1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Высокий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B0FD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Степень воздействия может варьироваться в зависимости от конкретного правового риска – например, в одних случаях это может привести к задержке старта проекта, в других – к срыву проекта и прерыванию работы. 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AA10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D2F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1. Независимая третья сторона (консультанты) для технической поддержки проекта договора ГЧП. </w:t>
            </w:r>
          </w:p>
          <w:p w14:paraId="741E517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2. Проект договора, согласованный с участниками рынка.</w:t>
            </w:r>
          </w:p>
          <w:p w14:paraId="4A28DB8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3. Соответствующим органам ГА (в соответствии с регламентом ГЧП) делегировать компетентных государственных специалистов для сотрудничества и участия в составлении и рассмотрении договоров,</w:t>
            </w:r>
          </w:p>
        </w:tc>
      </w:tr>
      <w:tr w:rsidR="006B0BEB" w:rsidRPr="006B0BEB" w14:paraId="60EB21CD" w14:textId="77777777" w:rsidTr="00AE74EC">
        <w:trPr>
          <w:trHeight w:val="300"/>
        </w:trPr>
        <w:tc>
          <w:tcPr>
            <w:tcW w:w="1612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</w:tcPr>
          <w:p w14:paraId="1042776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Проектирование и строительство</w:t>
            </w:r>
          </w:p>
        </w:tc>
      </w:tr>
      <w:tr w:rsidR="006B0BEB" w:rsidRPr="006B0BEB" w14:paraId="2205A6D6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77C939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7.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1369A5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Неадекватное оформление проекта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CB67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Дизайн проекта может быть неадекватным с точки зрения помещений, активов, оборудования, операций, выбора технологий и т.д. Публичный партнер, как правило, стремится установить в тендерной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документации широкую спецификацию, ориентированную на конечный результат, требуя, чтобы частный партнер спроектировал и построил проект таким образом, чтобы удовлетворить технические характеристики и обеспечить соответствие применимым законодательным требованиям, стандартам надлежащей отраслевой практики и, где это применимо, минимальным стандартам качества. Это позволяет частному сектору внедрять инновации и повышать эффективность проектирования. При таком подходе Частный партнер будет нести основную ответственность за адекватность конструкции системы и ее соответствие спецификации производительности.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63B8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lastRenderedPageBreak/>
              <w:t>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E730C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047B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CFD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Высокий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DF1F9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Неадекватное проектирование может привести к увеличению затрат (например, неэффективные процессы, выбранная технология, проектирование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географической сети), несоблюдению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SLA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(что приводит к снижению доходов). </w:t>
            </w:r>
          </w:p>
          <w:p w14:paraId="5BCB903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  <w:p w14:paraId="2B6855D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Публичный партнер должен нести риск того, что предоставленная им техническая информация окажется неточной в той степени, в которой частному партнеру было разрешено полагаться на нее в целях проектирования. Если такой риск будет реализован, это может привести к наступлению компенсационного случая.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1D3F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ru-RU"/>
              </w:rPr>
              <w:lastRenderedPageBreak/>
              <w:t>1 640 000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 (рассчитывается на основе вероятности увеличения капитальных затрат – рассматривается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несколько вариантов последствий перерасхода средств)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ED50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1. Технические требования будут предоставлены для проведения рыночных консультаций с потенциальными участниками торгов.</w:t>
            </w:r>
          </w:p>
          <w:p w14:paraId="12DE220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2. Участникам торгов будет предложено предоставить предварительные проекты в процессе проведения тендера.</w:t>
            </w:r>
          </w:p>
          <w:p w14:paraId="6ECCA69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  <w:p w14:paraId="3C1F90E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</w:tc>
      </w:tr>
      <w:tr w:rsidR="006B0BEB" w:rsidRPr="006B0BEB" w14:paraId="671A2522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</w:tcPr>
          <w:p w14:paraId="4DDE21D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8.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5DC4A3C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Риск технического устаревания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A48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• Определенная техническая инфраструктура становится неадекватной для целей услуги — или услуга становится хуже по сравнению с более поздними услугами, предоставляемыми в ходе проекта.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733B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0 %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945F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100 %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D69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C6D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6C10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Это может повлиять на эффективность работы частного партнера и, таким образом, снизить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NPV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.</w:t>
            </w:r>
          </w:p>
          <w:p w14:paraId="4C27253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На этапе передачи технически устаревшая инфраструктура повлияет на эффективность будущей деятельности правительства, 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BB7B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210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1. Требования к сдаче, включенные в технические требования и/или контракт об обязательстве о том, чтобы инфраструктура была передана Правительству в хорошем состоянии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(конкретное требование по определению хорошей формы, которая должна быть включена).</w:t>
            </w:r>
          </w:p>
          <w:p w14:paraId="4482F35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2. В договоре предусматриваются пункты для переговоров о введении новых требований к дополнительным сборам.</w:t>
            </w:r>
          </w:p>
          <w:p w14:paraId="6EBD16A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</w:tc>
      </w:tr>
      <w:tr w:rsidR="006B0BEB" w:rsidRPr="006B0BEB" w14:paraId="6AD84A0F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</w:tcPr>
          <w:p w14:paraId="710F72E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9.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78B8C55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Инновационный риск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7862" w14:textId="77777777" w:rsidR="00995606" w:rsidRPr="006B0BEB" w:rsidRDefault="00995606" w:rsidP="00F06D6B">
            <w:pPr>
              <w:p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pBd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Инновационный риск относится к потенциальным финансовым и операционным последствиям реализации новых идей, технологий или бизнес-моделей. Это риск, связанный с неопределенностью и непредсказуемостью результатов инновационной деятельности.</w:t>
            </w:r>
          </w:p>
          <w:p w14:paraId="52F53E36" w14:textId="77777777" w:rsidR="00995606" w:rsidRPr="006B0BEB" w:rsidRDefault="00995606" w:rsidP="00F06D6B">
            <w:pPr>
              <w:p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pBdr>
              <w:spacing w:before="300"/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Инновации включают в себя разработку новых продуктов, услуг или процессов, которых в настоящее время нет на рынке, или улучшение существующих. Когда компании стремятся к инновациям, они должны инвестировать время, ресурсы и деньги в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исследования и разработки, которые могут быть дорогостоящими и трудоемкими. Кроме того, нет никакой гарантии, что инновации будут успешными, что приведет к потенциальным потерям ресурсов и инвестиций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8C10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lastRenderedPageBreak/>
              <w:t>0 %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119D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100 %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78A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20A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D42B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Это может повлиять на эффективность работы частного партнера и, таким образом, снизить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NPV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57B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ECE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1. Технические требования, сформулированные с учетом технологий и других усовершенствований в операциях, которые являются зрелыми и проверенными на рынке.</w:t>
            </w:r>
          </w:p>
          <w:p w14:paraId="259AAAC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2. Зондирование рынка с потенциальными участниками торгов, чтобы убедиться, что технические требования соответствуют мировым рыночным стандартам и практикам. </w:t>
            </w:r>
          </w:p>
          <w:p w14:paraId="3996D78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</w:tc>
      </w:tr>
      <w:tr w:rsidR="006B0BEB" w:rsidRPr="006B0BEB" w14:paraId="40F63DE1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69E1BB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10.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A9ABF8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Ненадлежащие технические характеристики проекта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396A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Производительность Проекта может быть спроецирована нереалистично (т.е. недостижима)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69BFF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B42A1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EEC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055C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36CAE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Ненадлежащие технические характеристики Проекта могут привести к тому, что Частному Партнеру будет сложно выполнить определенные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SLA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/ договорные обязательства, что может привести к снижению гонораров (доходов) для Частного Партнера.</w:t>
            </w:r>
          </w:p>
          <w:p w14:paraId="7C13723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  <w:p w14:paraId="111251F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Кроме того, ненадлежащие требования к производительности проекта (например, слишком высокие требования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SLA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) могут привести к повышению цен заявок и увеличению стоимости проекта для Публичного партнера.</w:t>
            </w:r>
          </w:p>
          <w:p w14:paraId="06DF7FC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  <w:p w14:paraId="473578E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В некоторых случаях деятельность Частного лица может привести к предоставлению входных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данных Публичным партнером. В таких случаях снижение платы за несоблюдение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SLA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не применяется. 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B91E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lastRenderedPageBreak/>
              <w:t>-.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8306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Рыночные консультации с потенциальными участниками торгов.</w:t>
            </w:r>
          </w:p>
        </w:tc>
      </w:tr>
      <w:tr w:rsidR="006B0BEB" w:rsidRPr="006B0BEB" w14:paraId="6EFEDF71" w14:textId="77777777" w:rsidTr="00AE74EC">
        <w:trPr>
          <w:trHeight w:val="87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41B0C5B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11.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59EDE2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Задержка в завершении проекта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DF0C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Риски, связанные с проектированием и строительством, тесно связаны с риском ввода в эксплуатацию запланированных объектов в срок и в рамках бюджета. Задержки в сдаче проекта к соответствующей дате завершения работ на момент финансового закрытия могут иметь различные причины, такие как недоступность строительных материалов и оборудования, задержки в доставке, отклонения и ошибки в планировании программы, а также погодные явления, гражданские беспорядки или забастовки, а также действия государственного партнера или правительства.</w:t>
            </w:r>
          </w:p>
          <w:p w14:paraId="53CB2EB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Частный партнер, как правило, принимает на себя риск задержек в той мере, в какой они не вызваны невыполнением Государственным партнером обязательств, необходимых для завершения Проекта. 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B8782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A5114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557B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CD3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287B1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sz w:val="18"/>
                <w:szCs w:val="18"/>
                <w:lang w:val="ru-RU"/>
              </w:rPr>
              <w:t xml:space="preserve">Последствиями для Частного партнера задержки соответствующих сроков завершения работ являются потеря ожидаемого дохода из-за роста затрат на длительное текущее строительство и затрат на финансирование. Это может привести к снижению </w:t>
            </w:r>
            <w:r w:rsidRPr="006B0BEB">
              <w:rPr>
                <w:rFonts w:ascii="GHEA Grapalat" w:hAnsi="GHEA Grapalat" w:cs="Arial"/>
                <w:sz w:val="18"/>
                <w:szCs w:val="18"/>
              </w:rPr>
              <w:t>NPV</w:t>
            </w:r>
            <w:r w:rsidRPr="006B0BEB">
              <w:rPr>
                <w:rFonts w:ascii="GHEA Grapalat" w:hAnsi="GHEA Grapalat" w:cs="Arial"/>
                <w:sz w:val="18"/>
                <w:szCs w:val="18"/>
                <w:lang w:val="ru-RU"/>
              </w:rPr>
              <w:t xml:space="preserve"> проекта.</w:t>
            </w:r>
          </w:p>
          <w:p w14:paraId="530825B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sz w:val="18"/>
                <w:szCs w:val="18"/>
                <w:lang w:val="ru-RU"/>
              </w:rPr>
              <w:t>До тех пор, пока проект не будет реализован, правительство может работать в обычном режиме, однако в крайних случаях задержки в завершении проекта могут ограничить способность правительства продолжать бесперебойную работу (например, из-за нехватки поставок).</w:t>
            </w:r>
          </w:p>
          <w:p w14:paraId="7A9B7B9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sz w:val="18"/>
                <w:szCs w:val="18"/>
                <w:lang w:val="ru-RU"/>
              </w:rPr>
            </w:pPr>
          </w:p>
          <w:p w14:paraId="39E19D8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sz w:val="18"/>
                <w:szCs w:val="18"/>
                <w:lang w:val="ru-RU"/>
              </w:rPr>
              <w:t xml:space="preserve">Публичный партнер принимает на себя риски в случаях, когда задержка завершения проекта связана с невыполнением </w:t>
            </w:r>
            <w:r w:rsidRPr="006B0BEB">
              <w:rPr>
                <w:rFonts w:ascii="GHEA Grapalat" w:hAnsi="GHEA Grapalat" w:cs="Arial"/>
                <w:sz w:val="18"/>
                <w:szCs w:val="18"/>
                <w:lang w:val="ru-RU"/>
              </w:rPr>
              <w:lastRenderedPageBreak/>
              <w:t xml:space="preserve">обязательств ГП (например, передача объектов в согласованный график, предоставление эстетичного технического задания на оформление бланков документов). 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55B7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b/>
                <w:sz w:val="18"/>
                <w:szCs w:val="18"/>
                <w:lang w:val="ru-RU"/>
              </w:rPr>
              <w:lastRenderedPageBreak/>
              <w:t xml:space="preserve"> 2 370 000 </w:t>
            </w:r>
            <w:r w:rsidRPr="006B0BEB">
              <w:rPr>
                <w:rFonts w:ascii="GHEA Grapalat" w:hAnsi="GHEA Grapalat" w:cs="Arial"/>
                <w:sz w:val="18"/>
                <w:szCs w:val="18"/>
                <w:lang w:val="ru-RU"/>
              </w:rPr>
              <w:t>(рассчитывается исходя из упущенной возможности получения доходов от Проекта – рассматривается несколько вариантов последствий с заданными вероятностями)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30E7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Тщательный контроль за исполнением контрактов со стороны Комитета по контролю за исполнением контрактов. </w:t>
            </w:r>
          </w:p>
        </w:tc>
      </w:tr>
      <w:tr w:rsidR="006B0BEB" w:rsidRPr="006B0BEB" w14:paraId="4BFADC26" w14:textId="77777777" w:rsidTr="00AE74EC">
        <w:trPr>
          <w:trHeight w:val="684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42CEE7B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12.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69B2BA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Чрезмерное использование средств (перерасход средств)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72C1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Риски, связанные с проектированием и строительством, тесно связаны с риском ввода в эксплуатацию запланированных объектов в срок и в рамках бюджета.</w:t>
            </w:r>
          </w:p>
          <w:p w14:paraId="1492661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Чрезмерное использование средств (т.е. превышение затрат на строительство, предполагаемых в финансовой модели проекта на момент финансового закрытия) может иметь различные причины, такие как ошибки в оценках стоимости строительства, увеличение стоимости материалов, действия государственного партнера или правительства, отклонения, а также задержки или смягчение потенциальных задержек в реализации строительной программы.</w:t>
            </w:r>
          </w:p>
          <w:p w14:paraId="4F623E2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Частный партнер, как правило, принимает на себя риск увеличения расходов в той мере, в какой они не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вызваны форс-мажорными обстоятельствами, компенсационными событиями (например, в связи с неизученными условиями на объекте) и не решаются в рамках других индивидуальных положений.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6CC1D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lastRenderedPageBreak/>
              <w:t>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130A1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35DE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5BFA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662F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Это может привести к снижению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NPV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проекта для частного партнера.</w:t>
            </w:r>
          </w:p>
          <w:p w14:paraId="317FED9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  <w:p w14:paraId="13CA420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sz w:val="18"/>
                <w:szCs w:val="18"/>
                <w:lang w:val="ru-RU"/>
              </w:rPr>
              <w:t xml:space="preserve">Публичный партнер принимает на себя риски в случаях, когда перерасход средств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вызван </w:t>
            </w:r>
            <w:r w:rsidRPr="006B0BEB">
              <w:rPr>
                <w:rFonts w:ascii="GHEA Grapalat" w:hAnsi="GHEA Grapalat" w:cs="Arial"/>
                <w:sz w:val="18"/>
                <w:szCs w:val="18"/>
                <w:lang w:val="ru-RU"/>
              </w:rPr>
              <w:t>невыполнением Публичным партнером своих обязательств (например, задержки проекта по вине Публичного партнера).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3B24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ru-RU"/>
              </w:rPr>
              <w:t>2,190,000</w:t>
            </w:r>
          </w:p>
          <w:p w14:paraId="12EC10D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(рассчитывается на основе вероятности увеличения капитальных затрат – рассматривается несколько вариантов последствий перерасхода средств)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DB11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1. Тщательный контроль за исполнением контракта со стороны Комитета по контролю за исполнением контрактов. </w:t>
            </w:r>
          </w:p>
          <w:p w14:paraId="108E80D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2. Контракты с фиксированной ценой на поставку</w:t>
            </w:r>
          </w:p>
          <w:p w14:paraId="45F088C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строительные материалы.</w:t>
            </w:r>
          </w:p>
          <w:p w14:paraId="37BBEC4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3. Договорные положения на случай непредвиденных обстоятельств.</w:t>
            </w:r>
          </w:p>
          <w:p w14:paraId="3F63F2D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4. На некоторых рынках риск считается управляемым Частным партнером посредством надежной передачи обязательств надежным и опытным субподрядчикам, а также путем предоставления соответствующего графика и бюджета на случай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непредвиденных обстоятельств и получения соответствующего обеспечения риска невыполнения обязательств.</w:t>
            </w:r>
          </w:p>
          <w:p w14:paraId="786767B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5. Частный партнер может снизить риск невыполнения субподрядчиком своих обязательств, получив от субподрядчиков соответствующее обеспечение (например, гарантии материнской компании и/или гарантии исполнения обязательств).</w:t>
            </w:r>
          </w:p>
          <w:p w14:paraId="3203846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6. Публичный партнер может иногда сам прибегать к дополнительным гарантиям, чтобы обеспечить покрытие таких расходов.</w:t>
            </w:r>
          </w:p>
        </w:tc>
      </w:tr>
      <w:tr w:rsidR="006B0BEB" w:rsidRPr="006B0BEB" w14:paraId="47168E61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71DC8641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13.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4174D6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Наличие и условия использования активов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0F72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Риски, связанные с передачей Частному партнеру прав на управление/пользование активами и/или земельными участками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7713C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FD641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B2BB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FCD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Высокий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8E3D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Это может привести к задержке проекта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A05E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225F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Детальный анализ и подготовка условий передачи на стадии проектирования ГЧП.</w:t>
            </w:r>
          </w:p>
        </w:tc>
      </w:tr>
      <w:tr w:rsidR="006B0BEB" w:rsidRPr="006B0BEB" w14:paraId="6D8E0DF4" w14:textId="77777777" w:rsidTr="00AE74EC">
        <w:trPr>
          <w:trHeight w:val="300"/>
        </w:trPr>
        <w:tc>
          <w:tcPr>
            <w:tcW w:w="1612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</w:tcPr>
          <w:p w14:paraId="4760F46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Эксплуатационный</w:t>
            </w:r>
          </w:p>
        </w:tc>
      </w:tr>
      <w:tr w:rsidR="006B0BEB" w:rsidRPr="006B0BEB" w14:paraId="0A5DEC6A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</w:tcPr>
          <w:p w14:paraId="7DBA3C5A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14.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6CAA4C7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Повышенные эксплуатационные расходы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6B1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Неверная оценка будущих затрат, которые могут возникнуть в течение жизненного цикла проекта.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Увеличение затрат и задержки на этапе эксплуатации могут иметь множество причин, начиная от ошибок в оценках затрат на техническое обслуживание или их отклонения и заканчивая экстремальными погодными явлениями. Помимо поправок на инфляцию, Частный партнер в целом принимает на себя риск событий, которые препятствуют исполнению и/или приводят к увеличению затрат сверх смоделированных затрат (оценка инвестора на момент подачи заявки), в той мере, в какой они не являются облегчением, форс-мажорными обстоятельствами, компенсациями и не рассматриваются в рамках других индивидуальных положений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5228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lastRenderedPageBreak/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AB96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786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CCC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4FC2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Это может привести к снижению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NPV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проекта.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320C" w14:textId="77777777" w:rsidR="00995606" w:rsidRPr="006B0BEB" w:rsidDel="00774D26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ru-RU"/>
              </w:rPr>
              <w:t xml:space="preserve">7 640 000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(рассчитывается исходя из вероятности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увеличения операционных расходов за период реализации Проекта – рассматривается несколько вариантов последствий перерасхода средств)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DF3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Консультации по рынку относительно стоимости проекта на стадии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предварительного технико-экономического обоснования.</w:t>
            </w:r>
          </w:p>
        </w:tc>
      </w:tr>
      <w:tr w:rsidR="006B0BEB" w:rsidRPr="006B0BEB" w14:paraId="6007FC93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504345E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15.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FDE370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Привязка к поставщику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25F5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Риски, связанные с зависимостью от проприетарного программного обеспечения, оборудования и систем – с обеих сторон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044E0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F2F05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BD75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F11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Низкий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9CA5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Это может привести к увеличению эксплуатационных расходов на конкретные технологические решения — из-за привязки к поставщику отсутствие конкуренции может привести к увеличению затрат на обслуживание или лицензию.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3D85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FB46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Консультации с потенциальными участниками торгов при разработке технических требований с целью исключения требований, которые могут подразумевать только конкретные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технологические решения</w:t>
            </w:r>
          </w:p>
        </w:tc>
      </w:tr>
      <w:tr w:rsidR="006B0BEB" w:rsidRPr="006B0BEB" w14:paraId="4FB03D19" w14:textId="77777777" w:rsidTr="00AE74EC">
        <w:trPr>
          <w:trHeight w:val="684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2D717FA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16.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63BD56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 xml:space="preserve">Нарушение безопасности 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D9A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В том числе физические и информационные, такие как: Атаки на кибербезопасность, нарушения конфиденциальности, приводящие к нарушениям безопасности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BDFC4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44508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343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5534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Высокий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8020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Это может привести к договорным штрафам или, в некоторых случаях, к дополнительным расходам на восстановление прерванной работы.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3052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В пределах штрафных санкций, предусмотренных договором.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9D35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1. Ответственность частного партнера по покрытию прямых и косвенных расходов, предусмотренных договором.</w:t>
            </w:r>
          </w:p>
          <w:p w14:paraId="138D2AD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2. Требования к страхованию, предусмотренные договором.</w:t>
            </w:r>
          </w:p>
          <w:p w14:paraId="29B12E1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3. Требования к сертификации безопасности (в т.ч. кибербезопасности) третьими лицами, подтверждающие соответствие, включенные в технические требования, предусмотренные технические аудиты. </w:t>
            </w:r>
          </w:p>
          <w:p w14:paraId="0D429DE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4. Квалификационные критерии, включающие в себя историю неисполненных договоров и судебных разбирательств, в т.ч. за нарушения безопасности.</w:t>
            </w:r>
          </w:p>
        </w:tc>
      </w:tr>
      <w:tr w:rsidR="006B0BEB" w:rsidRPr="006B0BEB" w14:paraId="1F3E62CE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724B8E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17.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6D75BE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Неполная/некачественная работа подрядчика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E684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В том числе невыполнение производственных показателей и снижение качества услуг по сравнению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с предварительно согласованным/требуемым контрактом, в т.ч. способность производить и распространять определенные объемы проездных и удостоверяющих личность документов в соответствии с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SLA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3CCE0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lastRenderedPageBreak/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7A018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6FC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E85A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B944E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Это может ограничить реализацию преимуществ для государства и частного партнера и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привести к штрафным санкциям за несоблюдение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SLA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4724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В пределах штрафных санкций,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предусмотренных договором.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2233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Возможные штрафные санкции в договоре, основанные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на невыполненных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SLA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.</w:t>
            </w:r>
          </w:p>
        </w:tc>
      </w:tr>
      <w:tr w:rsidR="006B0BEB" w:rsidRPr="006B0BEB" w14:paraId="769CF951" w14:textId="77777777" w:rsidTr="00AE74EC">
        <w:trPr>
          <w:trHeight w:val="924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76140B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18.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8FBA78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Дефицит поставок и исходных материалов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E9F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Риски некачественной работы субподрядчиков из-за ненадлежащего контроля операционного процесса со стороны Частного партнера или любых других факторов 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6D051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28061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3D19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861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Низкий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3D3B0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Это может ограничить способность частного партнера соблюдать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SLA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и привести к штрафам / сниженным комиссиям.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F4BB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В пределах штрафных санкций, предусмотренных договором.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9B90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Возможные штрафные санкции, предусмотренные договором на основании невыполненных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SLA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.</w:t>
            </w:r>
          </w:p>
        </w:tc>
      </w:tr>
      <w:tr w:rsidR="006B0BEB" w:rsidRPr="006B0BEB" w14:paraId="18875973" w14:textId="77777777" w:rsidTr="00AE74EC">
        <w:trPr>
          <w:trHeight w:val="684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7F15914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19.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97376E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Риск прекращения деятельности (фаза возврата)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596F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Риск невозможности наладить безупречный процесс на этапе передачи или возврата актива в неприсвоенном состоянии для продолжения деятельности (передачи Публичному партнеру). Большая часть рисков берет на себя частный партнер, но прекращение деятельности может произойти из-за того, что государственный партнер не смог успешно взять на себя операции (например, плохое управление и т. д.). Чтобы обеспечить эффективную передачу, Публичный партнер должен подготовиться заранее, провести технический аудит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перед передачей и сотрудничать с Частным партнером, чтобы операции продолжались.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C94B6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lastRenderedPageBreak/>
              <w:t>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1D8F0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C72B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89B6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DE97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Для частного партнера это может повлечь за собой штрафные санкции, если он не сможет выполнить требования по сдаче. </w:t>
            </w:r>
          </w:p>
          <w:p w14:paraId="4BA1BB8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  <w:p w14:paraId="16A38F8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Для Правительства это может привести к срыву операций по выдаче паспортов и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ID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-карт.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5AF9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В пределах штрафных санкций, предусмотренных договором – для частного партнера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F131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1. Детальная процедура передачи, прописанная в договоре.</w:t>
            </w:r>
          </w:p>
          <w:p w14:paraId="33BD541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2. Инвестиционные обязательства, определенные для поддержания качества активов.</w:t>
            </w:r>
          </w:p>
          <w:p w14:paraId="0150E42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3. Штрафные санкции, предусмотренные в случае, если частный партнер не может выполнить требования по передаче.</w:t>
            </w:r>
          </w:p>
          <w:p w14:paraId="174DA38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4. Установлен процесс мониторинга контрактов для понимания ранних тревожных признаков.</w:t>
            </w:r>
          </w:p>
        </w:tc>
      </w:tr>
      <w:tr w:rsidR="006B0BEB" w:rsidRPr="006B0BEB" w14:paraId="6AD24F3F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1B7F42DF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20.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C3515A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Риск прекращения деятельности (операционная фаза)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D79E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Неспособность наладить безупречный процесс на этапе эксплуатации.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Сюда же относится и вопрос смены собственника.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B8D3C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5EE3F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1AA4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D180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Низкий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019B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Для частного партнера это может повлечь за собой штрафные санкции, если он не сможет выполнить эксплуатационные требования. </w:t>
            </w:r>
          </w:p>
          <w:p w14:paraId="5E27526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  <w:p w14:paraId="259119D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Для ПА это может обернуться срывом операций по выдаче паспортов и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ID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-карт, невозможностью реализации льгот.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9914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В пределах штрафных санкций, предусмотренных договором для частного партнера.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CC1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1. Возможные штрафные санкции, предусмотренные договором в случае невыполнения обязательств, кроме как вследствие форс-мажорных обстоятельств.</w:t>
            </w:r>
          </w:p>
          <w:p w14:paraId="02AFBDB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2. Технические требования включают в себя обязательство Частного партнера подготовить и поддерживать надлежащий план обеспечения непрерывности бизнеса.</w:t>
            </w:r>
          </w:p>
          <w:p w14:paraId="2B0E9E0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3. Хорошо подготовленная тендерная документация (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RFQ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,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RFP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и контракт ГЧП) будет содержать требования к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SPV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для устранения этого риска (в т.ч. правила, касающиеся структуры собственности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SPV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до заключения договора и в течение срока действия контракта,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период, в течение которого изменения не допускаются, процедуры предварительного согласования изменений со стороны концедента и т.д.).</w:t>
            </w:r>
          </w:p>
        </w:tc>
      </w:tr>
      <w:tr w:rsidR="006B0BEB" w:rsidRPr="006B0BEB" w14:paraId="3DAF7347" w14:textId="77777777" w:rsidTr="00AE74EC">
        <w:trPr>
          <w:trHeight w:val="492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21370B7A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21.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7C0129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Системные сбои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4CA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Сбои в работе системы или ее компонентов, приводящие к прекращению эксплуатации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49C48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C2223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68A7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A7A0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7477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Это может привести к тому, что частные партнеры смогут выполнять определенные соглашения об уровне обслуживания.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E590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В пределах штрафных санкций, предусмотренных договором.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B556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1. Обеспечить непрерывное техническое обслуживание и контроль качества в рамках требований в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RFP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.</w:t>
            </w:r>
          </w:p>
          <w:p w14:paraId="55A8897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2. Технические требования включают в себя обязательство Частного партнера подготовить и поддерживать надлежащий план обеспечения непрерывности бизнеса.</w:t>
            </w:r>
          </w:p>
        </w:tc>
      </w:tr>
      <w:tr w:rsidR="006B0BEB" w:rsidRPr="006B0BEB" w14:paraId="61753691" w14:textId="77777777" w:rsidTr="00AE74EC">
        <w:trPr>
          <w:trHeight w:val="684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EE62FB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22.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FC1D09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Привлечение талантов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A29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Риск невозможности привлечения необходимых высококлассных специалистов для разработки и сопровождения новых технологических систем 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5BA32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4CD01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8C1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FF0F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C572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Это может привести к тому, что частные партнеры не смогут выполнить определенные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SLA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или увеличатся затраты на выполнение операций (из-за необходимости исправлять ошибки и т. д.).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82CB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82F2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Риск низок из-за того, что в ограниченном масштабе требуются высококлассные специалисты на местном уровне, в то время как ожидается, что международный опыт и обучение будут получены от международной команды.</w:t>
            </w:r>
          </w:p>
        </w:tc>
      </w:tr>
      <w:tr w:rsidR="006B0BEB" w:rsidRPr="006B0BEB" w14:paraId="735C634A" w14:textId="77777777" w:rsidTr="00AE74EC">
        <w:trPr>
          <w:trHeight w:val="300"/>
        </w:trPr>
        <w:tc>
          <w:tcPr>
            <w:tcW w:w="1612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</w:tcPr>
          <w:p w14:paraId="68BB453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Торговый</w:t>
            </w:r>
          </w:p>
        </w:tc>
      </w:tr>
      <w:tr w:rsidR="006B0BEB" w:rsidRPr="006B0BEB" w14:paraId="2C17FE3F" w14:textId="77777777" w:rsidTr="00AE74EC">
        <w:trPr>
          <w:trHeight w:val="1608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A5A132E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23.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C9EAAF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 xml:space="preserve">Объемный риск 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0DA9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Частному партнеру выплачивается оплата за каждую услугу. В то же время, Правительство должно гарантировать определенный минимальный объем услуг, чтобы обеспечить жизнеспособность проекта для частного партнера. Определенные риски спроса могут возникнуть, когда частному партнеру разрешено вести коммерческую деятельность (в дополнение к основным услугам по контракту), однако это, как правило, составляет меньшую часть ожидаемых доходов проекта (до 20 %).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E69B5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A2DF5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1C46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795C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ACE4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Без внедрения механизма участия в прибылях публичный партнер будет нести риск, что означает, что публичная сторона будет обязана произвести компенсационные выплаты частному партнеру, если фактические объемы окажутся ниже заранее согласованных. В качестве альтернативы, если коммерческая деятельность становится невозможной по причинам регулирования или другим факторам, связанным с Государственным партнером или правительством, в договоре будут предусмотрены последствия. Это может включать в себя внесение поправок в определенные положения, в том числе в цену.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A72D" w14:textId="75CD6A1E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Для целей оценки объемного риска два случая</w:t>
            </w:r>
            <w:r w:rsidR="00603A5C"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</w:t>
            </w:r>
            <w:r w:rsidR="0055275D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б</w:t>
            </w:r>
            <w:r w:rsidR="00172D90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ы</w:t>
            </w:r>
            <w:r w:rsidR="0055275D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ли </w:t>
            </w:r>
            <w:r w:rsidR="00603A5C"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рассмотре</w:t>
            </w:r>
            <w:r w:rsidR="0055275D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н</w:t>
            </w:r>
            <w:r w:rsidR="00E36F61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ы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: (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i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) с механизмом смягчения, внедренным в договор ГЧП, и (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ii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) без него. С одной стороны, первый вариант подразумевает предоставление Гарантии объема частному партнеру, чтобы обеспечить минимальный приток средств, чтобы покрыть хотя бы свои расходы.</w:t>
            </w:r>
          </w:p>
          <w:p w14:paraId="432301EA" w14:textId="77777777" w:rsidR="00FA75E1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С другой стороны, первый вариант также включает в себя механизм участия в прибыли, который позволяет Частному партнеру разделить выгоду с Публичной стороной</w:t>
            </w:r>
            <w:r w:rsidR="00FA75E1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. </w:t>
            </w:r>
          </w:p>
          <w:p w14:paraId="31324F54" w14:textId="5D9BB59A" w:rsidR="00995606" w:rsidRPr="006B0BEB" w:rsidRDefault="00AE74EC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Итак,</w:t>
            </w:r>
            <w:r w:rsidR="00995606"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 величина объемного риска оценивается в</w:t>
            </w:r>
          </w:p>
          <w:p w14:paraId="721A053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ru-RU"/>
              </w:rPr>
              <w:lastRenderedPageBreak/>
              <w:t xml:space="preserve">0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(ноль – в связи с положительным эффектом механизма распределения прибыли) на период реализации Проекта.</w:t>
            </w:r>
          </w:p>
          <w:p w14:paraId="6B479FB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Второй вариант подразумевает отсутствие механизмов снижения рисков. </w:t>
            </w:r>
          </w:p>
          <w:p w14:paraId="35C7364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  <w:p w14:paraId="367A12F1" w14:textId="77106581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По предварительным оценкам, снижение гарантийного объема с 1,6 млн до 1 млн паспортов (-50% от предполагаемых объемов) может привести к увеличению стоимости услуг до 37,9%, что может стоить дополнительно ок. </w:t>
            </w: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ru-RU"/>
              </w:rPr>
              <w:t xml:space="preserve">83 990 000 долларов США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для правительства в период реализации проекта.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768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Гарантии объема, предусмотренные контрактом, механизм оплаты участия в прибыли. </w:t>
            </w:r>
          </w:p>
          <w:p w14:paraId="1210DDC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</w:p>
        </w:tc>
      </w:tr>
      <w:tr w:rsidR="006B0BEB" w:rsidRPr="006B0BEB" w14:paraId="147830D6" w14:textId="77777777" w:rsidTr="00AE74EC">
        <w:trPr>
          <w:trHeight w:val="300"/>
        </w:trPr>
        <w:tc>
          <w:tcPr>
            <w:tcW w:w="1612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</w:tcPr>
          <w:p w14:paraId="2F81752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Финансовые и макроэкономические</w:t>
            </w:r>
          </w:p>
        </w:tc>
      </w:tr>
      <w:tr w:rsidR="006B0BEB" w:rsidRPr="006B0BEB" w14:paraId="520CBC4D" w14:textId="77777777" w:rsidTr="00AE74EC">
        <w:trPr>
          <w:trHeight w:val="1152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61F64926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24.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061149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Доступность финансирования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0B4C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Финансовая эффективность Проекта в значительной степени зависит от стоимости капитала, который необходимо привлечь для его реализации, который включает в себя как долевое, так и заемное финансирование. Другая его часть – это способность Частного партнера привлекать такое финансирование на разумный срок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35BA2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F1193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1DEF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363C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Низкий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8809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Возможность привлечения финансирования влияет на стоимость капитала для инвестора, таким образом, на общую стоимость проекта для инвестора, ожидаемую доходность ставки и т.д.</w:t>
            </w:r>
          </w:p>
          <w:p w14:paraId="5FCB22C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Для Публичного партнера это может обернуться задержкой старта Проекта и, следовательно, получения выгоды от Проекта.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3515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35C6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Прозрачная процедура отбора для привлечения международных инвесторов с хорошей репутацией, внедрение стабильного контракта ГЧП, наличие гарантии объема – все эти меры повышают возможности частного партнера по привлечению достаточного финансирования на разумный срок. Потенциальные механизмы смягчения могут заключаться в том, что одним из критериев участия в торгах может быть наличие у частного партнера по крайней мере определенной суммы акционерного финансирования, выплаченного авансом, что позволяет избежать чрезмерно закредитованных структур.</w:t>
            </w:r>
          </w:p>
        </w:tc>
      </w:tr>
      <w:tr w:rsidR="006B0BEB" w:rsidRPr="006B0BEB" w14:paraId="7548C81E" w14:textId="77777777" w:rsidTr="00AE74EC">
        <w:trPr>
          <w:trHeight w:val="1152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</w:tcPr>
          <w:p w14:paraId="4DA0AA7E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25.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27B9796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Процентный риск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C8F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На некоторых рынках (особенно на менее стабильных) возможен риск колебаний процентных ставок из-за волатильности процентных ставок или отсутствия возможности долгосрочного хеджирования. Частный партнер, как правило, несет риск колебаний процентных ставок в течение всего срока реализации проекта, но это будет зависеть от конкретного проекта и его юрисдикции.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0EC45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4CC50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EA3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BE89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6D41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DA5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Неблагоприятное изменение процентной ставки из-за значительного промежутка времени между ценами, представленными на стадии предложения, и финансовым закрытием, приведет к увеличению общей стоимости капитала.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CB4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Возможные меры по смягчению последствий могут включать в себя механизмы хеджирования, насколько это возможно или необходимо на соответствующем рынке. Они должны гарантировать, что процентная ставка, которую Частный партнер должен платить, является фактически фиксированной, а не колеблющейся, и защищает ее от неблагоприятных колебаний ставок. Стоимость такого хеджирования будет являться частью предложения по цене контракта.</w:t>
            </w:r>
          </w:p>
        </w:tc>
      </w:tr>
      <w:tr w:rsidR="006B0BEB" w:rsidRPr="006B0BEB" w14:paraId="116C98E4" w14:textId="77777777" w:rsidTr="00AE74EC">
        <w:trPr>
          <w:trHeight w:val="468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4320DA1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26.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F418E2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Инфляция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7AF5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Риск увеличения затрат на строительство и эксплуатацию из-за инфляции. Риск увеличения затрат на строительство из-за инфляции может нести частный партнер, который, как правило, закладывает этот риск в цену на рынках, где такой риск может быть спрогнозирован и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количественно оценен. Инфляционный риск на операционном этапе, как правило, несет Публичный партнер.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3410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lastRenderedPageBreak/>
              <w:t>100%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FF7AB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D3B4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082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17ED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Отклонение уровня инфляции влияет на стоимость проекта и приводит к перерасходованию бюджетных средств, если риск несет государственная сторона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C57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ru-RU"/>
              </w:rPr>
              <w:t xml:space="preserve">3 980 000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(Рассчитано на основе изменения разрыва для Государственного партнера между единым тарифом конечного потребителя и завышенной ценой /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фактической ценой на услуги, предоставляемые правительством, вызванными колебаниями уровня инфляции. Для обоих вариантов закупок: Сценарий 1 – базовая, прогнозируемая инфляция, Сценарий 2: +10% рост инфляции, Сценарий 3: +20% рост инфляции.). 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2308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Курс валюты или уровень инфляции могут быть включены в качестве индекса к цене. Как правило, платеж частному партнеру может включать как фиксированный компонент (если долг был хеджирован), так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и переменный компонент, который включает коэффициент эскалации, учитывающий рост затрат.</w:t>
            </w:r>
          </w:p>
        </w:tc>
      </w:tr>
      <w:tr w:rsidR="006B0BEB" w:rsidRPr="006B0BEB" w14:paraId="15F61D99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E32213F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27.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4322D2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Колебания валютного курса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A0A2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Изменение ставки в ходе проекта, т.е. операционные расходы в валюте, отличной от валюты платежей по контракту ГЧП. Распределение риска колебания валютного курса в течение срока реализации проекта будет зависеть от соответствующей юрисдикции проекта и характера затрат по проекту. В большинстве ГЧП Частный партнер будет участвовать в торгах и получать оплату от Государственного партнера в национальной валюте этой страны. Тем не менее, он может понести расходы в иностранной валюте, и такие расходы пересчитываются в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цену предложения в национальной валюте на основе определенного обменного курса.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458BB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lastRenderedPageBreak/>
              <w:t>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CBA40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20B8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25%-40%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2C6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EB29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Отклонение валютного курса влияет на стоимость проекта и приводит к изменению финансовых результатов для частного партнера (в конечном итоге он возьмет риск на себя и учтет его в цене услуги) или перерасходованию бюджетных средств, если риск несет публичная сторона.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5A9F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ru-RU"/>
              </w:rPr>
              <w:t xml:space="preserve">9 270 000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(Рассчитано на основе изменений разрыва для Государственного партнера между фиксированным тарифом для конечного пользователя и завышенной предложенной/фактической ценой на услуги, предоставляемые правительством, вызванные колебаниями обменного курса. Для обоих вариантов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 xml:space="preserve">закупок: Сценарий 1 - базовый, прогнозируемый обменный курс, Сценарий 2: +10% повышение к курсу, Сценарий 3: +20% повышение к курсу.). 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6263F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lastRenderedPageBreak/>
              <w:t>Курс валюты или уровень инфляции могут быть включены в качестве индекса к цене. Как правило, платеж частному партнеру может включать как фиксированную часть (если задолженность была хеджирована), так и переменную часть, которая включает коэффициент эскалации, учитывающий рост затрат</w:t>
            </w:r>
          </w:p>
        </w:tc>
      </w:tr>
      <w:tr w:rsidR="006B0BEB" w:rsidRPr="006B0BEB" w14:paraId="58F62BCE" w14:textId="77777777" w:rsidTr="00AE74EC">
        <w:trPr>
          <w:trHeight w:val="300"/>
        </w:trPr>
        <w:tc>
          <w:tcPr>
            <w:tcW w:w="1612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</w:tcPr>
          <w:p w14:paraId="1DDA40D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Социальная и политическая сфера</w:t>
            </w:r>
          </w:p>
        </w:tc>
      </w:tr>
      <w:tr w:rsidR="006B0BEB" w:rsidRPr="006B0BEB" w14:paraId="06F82A1D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76FB6469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28.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548038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Сопротивление со стороны ключевых заинтересованных сторон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C6E1E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Риск включает в себя любые внешние стороны, на которые влияют предлагаемые изменения, в т.ч. на обеих. заинтересованные стороны в правительстве и граждане,</w:t>
            </w:r>
          </w:p>
          <w:p w14:paraId="15D95C7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У Правительства больше возможностей для регулирования этих рисков и разработки соответствующей стратегии по их минимизации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82AA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D9A43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3C26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5968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C79DA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Это может привести к длительным решениям, согласованиям, которые могут повлиять на этап проектирования и строительства или повлиять на объем услуг (см. </w:t>
            </w: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“Риск объема”).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BA4F7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92D6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1. Тесное сотрудничество на всех уровнях государственного управления с самого начала проекта.</w:t>
            </w:r>
          </w:p>
          <w:p w14:paraId="3342064B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lt-LT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2. Связаться с мониторинговым комитетом, созданным для мониторинга и устранения любых блокировок. </w:t>
            </w:r>
          </w:p>
        </w:tc>
      </w:tr>
      <w:tr w:rsidR="006B0BEB" w:rsidRPr="006B0BEB" w14:paraId="0B1D0AF9" w14:textId="77777777" w:rsidTr="00AE74EC">
        <w:trPr>
          <w:trHeight w:val="69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79745D38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t>29.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029208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Репутационные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0FC1C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Репутационный риск для Правительства во время проведения тендера и/или через деятельность Частного партнера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492B2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C7454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A729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4B84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Умеренный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E09F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Выбор недостаточно квалифицированного участника торгов или неподходящая структура сделки могут привести к тому, что уровень обслуживания не будет соответствовать ожидаемому уровню, что ограничит реализацию преимуществ проекта. 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0BC25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E9D81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Независимая консалтинговая сторона, привлеченная для сопровождения в процессе структурирования сделки и тендера.</w:t>
            </w:r>
          </w:p>
        </w:tc>
      </w:tr>
      <w:tr w:rsidR="006B0BEB" w:rsidRPr="006B0BEB" w14:paraId="0AFC3C7B" w14:textId="77777777" w:rsidTr="00AE74EC">
        <w:trPr>
          <w:trHeight w:val="300"/>
        </w:trPr>
        <w:tc>
          <w:tcPr>
            <w:tcW w:w="1612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</w:tcPr>
          <w:p w14:paraId="743AB34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ru-RU"/>
              </w:rPr>
              <w:t>Форс-мажорные обстоятельства и другие непредвиденные события</w:t>
            </w:r>
          </w:p>
        </w:tc>
      </w:tr>
      <w:tr w:rsidR="006B0BEB" w:rsidRPr="006B0BEB" w14:paraId="79190921" w14:textId="77777777" w:rsidTr="00AE74EC">
        <w:trPr>
          <w:trHeight w:val="492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9A8E911" w14:textId="77777777" w:rsidR="00995606" w:rsidRPr="006B0BEB" w:rsidRDefault="00995606" w:rsidP="00F06D6B">
            <w:pPr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b/>
                <w:color w:val="000000"/>
                <w:sz w:val="18"/>
                <w:szCs w:val="18"/>
              </w:rPr>
              <w:lastRenderedPageBreak/>
              <w:t>30.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001F55D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Форс-мажорные обстоятельства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EAF8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Обстоятельства, не зависящие от разумного контроля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F9C9D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50%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80814" w14:textId="77777777" w:rsidR="00995606" w:rsidRPr="006B0BEB" w:rsidRDefault="00995606" w:rsidP="00F06D6B">
            <w:pPr>
              <w:jc w:val="righ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50%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AC75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0%-15%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8FC0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Высокий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06F12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Степень воздействия может отличаться в зависимости от конкретной форс-мажорной ситуации.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F9D4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uk-UA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A1043" w14:textId="77777777" w:rsidR="00995606" w:rsidRPr="006B0BEB" w:rsidRDefault="00995606" w:rsidP="00F06D6B">
            <w:pPr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uk-UA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uk-UA"/>
              </w:rPr>
              <w:t>Такие риски невозможно предвидеть, хотя их можно смягчить за счет:</w:t>
            </w:r>
          </w:p>
          <w:p w14:paraId="7DFE906F" w14:textId="77777777" w:rsidR="00995606" w:rsidRPr="006B0BEB" w:rsidRDefault="00995606" w:rsidP="00F06D6B">
            <w:pPr>
              <w:pStyle w:val="ListParagraph"/>
              <w:numPr>
                <w:ilvl w:val="0"/>
                <w:numId w:val="1"/>
              </w:numPr>
              <w:ind w:left="166" w:hanging="166"/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Подготовка планов антикризисного управления</w:t>
            </w:r>
          </w:p>
          <w:p w14:paraId="29F7F813" w14:textId="77777777" w:rsidR="00995606" w:rsidRPr="006B0BEB" w:rsidRDefault="00995606" w:rsidP="00F06D6B">
            <w:pPr>
              <w:pStyle w:val="ListParagraph"/>
              <w:numPr>
                <w:ilvl w:val="0"/>
                <w:numId w:val="1"/>
              </w:numPr>
              <w:ind w:left="166" w:hanging="166"/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en-GB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</w:rPr>
              <w:t>страхование</w:t>
            </w:r>
          </w:p>
          <w:p w14:paraId="28F4AD39" w14:textId="77777777" w:rsidR="00995606" w:rsidRPr="006B0BEB" w:rsidRDefault="00995606" w:rsidP="00F06D6B">
            <w:pPr>
              <w:pStyle w:val="ListParagraph"/>
              <w:numPr>
                <w:ilvl w:val="0"/>
                <w:numId w:val="1"/>
              </w:numPr>
              <w:ind w:left="166" w:hanging="166"/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 xml:space="preserve">адекватные положения о форс-мажорных обстоятельствах в договоре, </w:t>
            </w:r>
          </w:p>
          <w:p w14:paraId="4DA61FA6" w14:textId="77777777" w:rsidR="00995606" w:rsidRPr="006B0BEB" w:rsidRDefault="00995606" w:rsidP="00F06D6B">
            <w:pPr>
              <w:pStyle w:val="ListParagraph"/>
              <w:numPr>
                <w:ilvl w:val="0"/>
                <w:numId w:val="1"/>
              </w:numPr>
              <w:ind w:left="166" w:hanging="166"/>
              <w:jc w:val="left"/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</w:pPr>
            <w:r w:rsidRPr="006B0BEB">
              <w:rPr>
                <w:rFonts w:ascii="GHEA Grapalat" w:hAnsi="GHEA Grapalat" w:cs="Arial"/>
                <w:color w:val="000000"/>
                <w:sz w:val="18"/>
                <w:szCs w:val="18"/>
                <w:lang w:val="ru-RU"/>
              </w:rPr>
              <w:t>Адекватное страхование и планирование непрерывности бизнеса/планирование аварийного восстановления частным партнером</w:t>
            </w:r>
          </w:p>
        </w:tc>
      </w:tr>
    </w:tbl>
    <w:p w14:paraId="2431183D" w14:textId="330DF979" w:rsidR="007F3B6C" w:rsidRPr="00995606" w:rsidRDefault="00F06D6B" w:rsidP="007F3B6C">
      <w:pPr>
        <w:jc w:val="center"/>
        <w:rPr>
          <w:rFonts w:ascii="GHEA Grapalat" w:hAnsi="GHEA Grapalat"/>
          <w:b/>
          <w:bCs/>
          <w:sz w:val="24"/>
          <w:szCs w:val="28"/>
        </w:rPr>
      </w:pPr>
      <w:r>
        <w:rPr>
          <w:rFonts w:ascii="GHEA Grapalat" w:hAnsi="GHEA Grapalat"/>
          <w:b/>
          <w:bCs/>
          <w:sz w:val="24"/>
          <w:szCs w:val="28"/>
        </w:rPr>
        <w:br w:type="textWrapping" w:clear="all"/>
      </w:r>
    </w:p>
    <w:sectPr w:rsidR="007F3B6C" w:rsidRPr="00995606" w:rsidSect="007F3B6C">
      <w:footerReference w:type="default" r:id="rId7"/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8F384" w14:textId="77777777" w:rsidR="00BC40F6" w:rsidRDefault="00BC40F6" w:rsidP="00582E40">
      <w:r>
        <w:separator/>
      </w:r>
    </w:p>
  </w:endnote>
  <w:endnote w:type="continuationSeparator" w:id="0">
    <w:p w14:paraId="62B6CAE8" w14:textId="77777777" w:rsidR="00BC40F6" w:rsidRDefault="00BC40F6" w:rsidP="00582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4985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4F26CB" w14:textId="1464E9FE" w:rsidR="00582E40" w:rsidRDefault="00582E40" w:rsidP="00582E4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233D9" w14:textId="77777777" w:rsidR="00BC40F6" w:rsidRDefault="00BC40F6" w:rsidP="00582E40">
      <w:r>
        <w:separator/>
      </w:r>
    </w:p>
  </w:footnote>
  <w:footnote w:type="continuationSeparator" w:id="0">
    <w:p w14:paraId="3C1AA1C9" w14:textId="77777777" w:rsidR="00BC40F6" w:rsidRDefault="00BC40F6" w:rsidP="00582E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166384"/>
    <w:multiLevelType w:val="multilevel"/>
    <w:tmpl w:val="24C050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405613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B6C"/>
    <w:rsid w:val="000254E1"/>
    <w:rsid w:val="00056C1F"/>
    <w:rsid w:val="000B0F4A"/>
    <w:rsid w:val="00172D90"/>
    <w:rsid w:val="00177842"/>
    <w:rsid w:val="001C1C3E"/>
    <w:rsid w:val="001F544B"/>
    <w:rsid w:val="002448EA"/>
    <w:rsid w:val="002954C6"/>
    <w:rsid w:val="002B0011"/>
    <w:rsid w:val="003050F9"/>
    <w:rsid w:val="003916BB"/>
    <w:rsid w:val="00397EAF"/>
    <w:rsid w:val="003E209C"/>
    <w:rsid w:val="00420351"/>
    <w:rsid w:val="00525116"/>
    <w:rsid w:val="00547F12"/>
    <w:rsid w:val="0055275D"/>
    <w:rsid w:val="00582E40"/>
    <w:rsid w:val="0058416E"/>
    <w:rsid w:val="005E442F"/>
    <w:rsid w:val="005E7E92"/>
    <w:rsid w:val="00603A5C"/>
    <w:rsid w:val="006246F6"/>
    <w:rsid w:val="006B0BEB"/>
    <w:rsid w:val="006B1A88"/>
    <w:rsid w:val="006D209B"/>
    <w:rsid w:val="007A5B48"/>
    <w:rsid w:val="007A7B49"/>
    <w:rsid w:val="007E7F8C"/>
    <w:rsid w:val="007F14D4"/>
    <w:rsid w:val="007F3B6C"/>
    <w:rsid w:val="00824CBA"/>
    <w:rsid w:val="008920FD"/>
    <w:rsid w:val="008C345E"/>
    <w:rsid w:val="00995606"/>
    <w:rsid w:val="009A73A8"/>
    <w:rsid w:val="009B2F16"/>
    <w:rsid w:val="009C6948"/>
    <w:rsid w:val="009E67D8"/>
    <w:rsid w:val="00AB54CC"/>
    <w:rsid w:val="00AD54E3"/>
    <w:rsid w:val="00AD54E9"/>
    <w:rsid w:val="00AE269A"/>
    <w:rsid w:val="00AE74EC"/>
    <w:rsid w:val="00B02518"/>
    <w:rsid w:val="00BC40F6"/>
    <w:rsid w:val="00C347BE"/>
    <w:rsid w:val="00C95ABD"/>
    <w:rsid w:val="00CD2656"/>
    <w:rsid w:val="00D20087"/>
    <w:rsid w:val="00D2721D"/>
    <w:rsid w:val="00D36C37"/>
    <w:rsid w:val="00E36F61"/>
    <w:rsid w:val="00E56E40"/>
    <w:rsid w:val="00E614A7"/>
    <w:rsid w:val="00EB2E96"/>
    <w:rsid w:val="00F06D6B"/>
    <w:rsid w:val="00F95EFD"/>
    <w:rsid w:val="00FA75E1"/>
    <w:rsid w:val="00FB0959"/>
    <w:rsid w:val="00FB47DF"/>
    <w:rsid w:val="00FC1B8D"/>
    <w:rsid w:val="00FD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A227D"/>
  <w15:chartTrackingRefBased/>
  <w15:docId w15:val="{6D9457DB-BD89-4A96-BC12-136640882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B6C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4"/>
      <w:lang w:val="hy-AM" w:eastAsia="hy-AM" w:bidi="hy-AM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7F3B6C"/>
    <w:pPr>
      <w:spacing w:after="0" w:line="240" w:lineRule="auto"/>
    </w:pPr>
    <w:rPr>
      <w:kern w:val="0"/>
      <w:lang w:val="hy-AM" w:eastAsia="hy-AM" w:bidi="hy-AM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F3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itulo 2,Report Para,Number Bullets,Resume Title,heading 4,Citation List,WinDForce-Letter,Heading 2_sj,En tête 1,Indent Paragraph,Annexlist,Ha,ANNEX,List Paragraph2,Paragraph,Graphic,Bullets1,Colorful List - Accent 11,Normal bullet 2,lp1"/>
    <w:basedOn w:val="Normal"/>
    <w:link w:val="ListParagraphChar"/>
    <w:uiPriority w:val="34"/>
    <w:qFormat/>
    <w:rsid w:val="007F3B6C"/>
    <w:pPr>
      <w:ind w:left="720"/>
      <w:contextualSpacing/>
    </w:pPr>
  </w:style>
  <w:style w:type="character" w:customStyle="1" w:styleId="ListParagraphChar">
    <w:name w:val="List Paragraph Char"/>
    <w:aliases w:val="Titulo 2 Char,Report Para Char,Number Bullets Char,Resume Title Char,heading 4 Char,Citation List Char,WinDForce-Letter Char,Heading 2_sj Char,En tête 1 Char,Indent Paragraph Char,Annexlist Char,Ha Char,ANNEX Char,Paragraph Char"/>
    <w:link w:val="ListParagraph"/>
    <w:uiPriority w:val="34"/>
    <w:qFormat/>
    <w:rsid w:val="007F3B6C"/>
    <w:rPr>
      <w:rFonts w:ascii="Arial" w:eastAsia="Times New Roman" w:hAnsi="Arial" w:cs="Times New Roman"/>
      <w:kern w:val="0"/>
      <w:szCs w:val="24"/>
      <w:lang w:val="hy-AM" w:eastAsia="hy-AM" w:bidi="hy-AM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82E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2E40"/>
    <w:rPr>
      <w:rFonts w:ascii="Arial" w:eastAsia="Times New Roman" w:hAnsi="Arial" w:cs="Times New Roman"/>
      <w:kern w:val="0"/>
      <w:szCs w:val="24"/>
      <w:lang w:val="hy-AM" w:eastAsia="hy-AM" w:bidi="hy-AM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82E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2E40"/>
    <w:rPr>
      <w:rFonts w:ascii="Arial" w:eastAsia="Times New Roman" w:hAnsi="Arial" w:cs="Times New Roman"/>
      <w:kern w:val="0"/>
      <w:szCs w:val="24"/>
      <w:lang w:val="hy-AM" w:eastAsia="hy-AM" w:bidi="hy-AM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23</Pages>
  <Words>4628</Words>
  <Characters>26385</Characters>
  <Application>Microsoft Office Word</Application>
  <DocSecurity>0</DocSecurity>
  <Lines>219</Lines>
  <Paragraphs>61</Paragraphs>
  <ScaleCrop>false</ScaleCrop>
  <Company/>
  <LinksUpToDate>false</LinksUpToDate>
  <CharactersWithSpaces>30952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/>
  <dc:description/>
  <cp:lastModifiedBy>Aneta Babayan</cp:lastModifiedBy>
  <cp:revision>42</cp:revision>
  <dcterms:created xsi:type="dcterms:W3CDTF">2023-12-08T13:02:00Z</dcterms:created>
  <dcterms:modified xsi:type="dcterms:W3CDTF">2023-12-27T07:19:00Z</dcterms:modified>
</cp:coreProperties>
</file>