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449C4" w14:textId="77777777" w:rsidR="00682DC4" w:rsidRPr="003A5968" w:rsidRDefault="00B7416E" w:rsidP="003A5968">
      <w:pPr>
        <w:pStyle w:val="headingtitleStyle"/>
        <w:spacing w:after="0" w:line="360" w:lineRule="auto"/>
        <w:rPr>
          <w:sz w:val="24"/>
          <w:szCs w:val="24"/>
        </w:rPr>
      </w:pPr>
      <w:bookmarkStart w:id="0" w:name="_Toc1"/>
      <w:r w:rsidRPr="003A5968">
        <w:rPr>
          <w:sz w:val="24"/>
          <w:szCs w:val="24"/>
        </w:rPr>
        <w:t>Ամփոփաթերթ</w:t>
      </w:r>
      <w:bookmarkEnd w:id="0"/>
    </w:p>
    <w:p w14:paraId="648EE0BC" w14:textId="4B6C9221" w:rsidR="00682DC4" w:rsidRPr="003A5968" w:rsidRDefault="00B7416E" w:rsidP="003A5968">
      <w:pPr>
        <w:pStyle w:val="headingtitleStyle"/>
        <w:spacing w:after="0" w:line="360" w:lineRule="auto"/>
        <w:rPr>
          <w:sz w:val="24"/>
          <w:szCs w:val="24"/>
        </w:rPr>
      </w:pPr>
      <w:bookmarkStart w:id="1" w:name="_Toc2"/>
      <w:r w:rsidRPr="003A5968">
        <w:rPr>
          <w:sz w:val="24"/>
          <w:szCs w:val="24"/>
        </w:rPr>
        <w:t>«ՎԱՐՉԱԿԱՆ ԻՐԱՎԱԽԱԽՏՈՒՄՆԵՐԻ ՎԵՐԱԲԵՐՅԱԼ ՀԱՅԱՍՏԱՆԻ ՀԱՆՐԱՊԵՏՈՒԹՅԱՆ ՕՐԵՆՍԳՐՔՈՒՄ ՓՈՓՈԽՈՒԹՅՈՒՆՆԵՐ ԵՎ ԼՐԱՑՈՒՄ ԿԱՏԱՐԵԼՈՒ ՄԱՍԻՆ» ՕՐԵՆՔԻ ԵՎ ՀԱՐԱԿԻՑ ՕՐԵՆՔՆԵՐԻ ՆԱԽԱԳԾԵՐԻ ՓԱԹԵԹ</w:t>
      </w:r>
      <w:r w:rsidR="003A5968" w:rsidRPr="003A5968">
        <w:rPr>
          <w:sz w:val="24"/>
          <w:szCs w:val="24"/>
          <w:lang w:val="hy-AM"/>
        </w:rPr>
        <w:t>Ի</w:t>
      </w:r>
      <w:r w:rsidRPr="003A5968">
        <w:rPr>
          <w:sz w:val="24"/>
          <w:szCs w:val="24"/>
        </w:rPr>
        <w:t xml:space="preserve"> վերաբերյալ</w:t>
      </w:r>
      <w:bookmarkEnd w:id="1"/>
    </w:p>
    <w:p w14:paraId="58506D41" w14:textId="77777777" w:rsidR="00682DC4" w:rsidRPr="003A5968" w:rsidRDefault="00682DC4" w:rsidP="003A5968">
      <w:pPr>
        <w:spacing w:after="0" w:line="360" w:lineRule="auto"/>
        <w:rPr>
          <w:rFonts w:ascii="GHEA Grapalat" w:hAnsi="GHEA Grapalat"/>
          <w:sz w:val="24"/>
          <w:szCs w:val="24"/>
        </w:rPr>
      </w:pPr>
    </w:p>
    <w:p w14:paraId="207C321A" w14:textId="77777777" w:rsidR="00682DC4" w:rsidRPr="003A5968" w:rsidRDefault="00682DC4" w:rsidP="003A5968">
      <w:pPr>
        <w:spacing w:after="0" w:line="360" w:lineRule="auto"/>
        <w:rPr>
          <w:rFonts w:ascii="GHEA Grapalat" w:hAnsi="GHEA Grapalat"/>
          <w:sz w:val="24"/>
          <w:szCs w:val="24"/>
        </w:rPr>
      </w:pPr>
    </w:p>
    <w:p w14:paraId="579AE0F7" w14:textId="77777777" w:rsidR="00682DC4" w:rsidRPr="003A5968" w:rsidRDefault="00682DC4" w:rsidP="003A5968">
      <w:pPr>
        <w:spacing w:after="0" w:line="360" w:lineRule="auto"/>
        <w:rPr>
          <w:rFonts w:ascii="GHEA Grapalat" w:hAnsi="GHEA Grapalat"/>
          <w:sz w:val="24"/>
          <w:szCs w:val="24"/>
        </w:rPr>
      </w:pPr>
    </w:p>
    <w:tbl>
      <w:tblPr>
        <w:tblW w:w="0" w:type="auto"/>
        <w:tblInd w:w="10" w:type="dxa"/>
        <w:tblCellMar>
          <w:left w:w="10" w:type="dxa"/>
          <w:right w:w="10" w:type="dxa"/>
        </w:tblCellMar>
        <w:tblLook w:val="04A0" w:firstRow="1" w:lastRow="0" w:firstColumn="1" w:lastColumn="0" w:noHBand="0" w:noVBand="1"/>
      </w:tblPr>
      <w:tblGrid>
        <w:gridCol w:w="456"/>
        <w:gridCol w:w="2190"/>
        <w:gridCol w:w="4922"/>
        <w:gridCol w:w="3584"/>
        <w:gridCol w:w="2793"/>
      </w:tblGrid>
      <w:tr w:rsidR="00AE7B86" w:rsidRPr="003A5968" w14:paraId="2E988BAB" w14:textId="77777777" w:rsidTr="002917E3">
        <w:tc>
          <w:tcPr>
            <w:tcW w:w="458" w:type="dxa"/>
            <w:tcBorders>
              <w:top w:val="single" w:sz="1" w:space="0" w:color="000000"/>
              <w:left w:val="single" w:sz="1" w:space="0" w:color="000000"/>
              <w:bottom w:val="single" w:sz="1" w:space="0" w:color="000000"/>
              <w:right w:val="single" w:sz="1" w:space="0" w:color="000000"/>
            </w:tcBorders>
          </w:tcPr>
          <w:p w14:paraId="6BB5558B"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հ/</w:t>
            </w:r>
          </w:p>
          <w:p w14:paraId="269FB254"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հ</w:t>
            </w:r>
          </w:p>
        </w:tc>
        <w:tc>
          <w:tcPr>
            <w:tcW w:w="2191" w:type="dxa"/>
            <w:tcBorders>
              <w:top w:val="single" w:sz="1" w:space="0" w:color="000000"/>
              <w:left w:val="single" w:sz="1" w:space="0" w:color="000000"/>
              <w:bottom w:val="single" w:sz="1" w:space="0" w:color="000000"/>
              <w:right w:val="single" w:sz="1" w:space="0" w:color="000000"/>
            </w:tcBorders>
          </w:tcPr>
          <w:p w14:paraId="57890BAB"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Առարկության, առաջարկության հեղինակը, ստացման ամսաթիվը</w:t>
            </w:r>
          </w:p>
        </w:tc>
        <w:tc>
          <w:tcPr>
            <w:tcW w:w="4930" w:type="dxa"/>
            <w:tcBorders>
              <w:top w:val="single" w:sz="1" w:space="0" w:color="000000"/>
              <w:left w:val="single" w:sz="1" w:space="0" w:color="000000"/>
              <w:bottom w:val="single" w:sz="1" w:space="0" w:color="000000"/>
              <w:right w:val="single" w:sz="1" w:space="0" w:color="000000"/>
            </w:tcBorders>
          </w:tcPr>
          <w:p w14:paraId="3F918014"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Առարկության, առաջարկության բովանդակությունը</w:t>
            </w:r>
          </w:p>
        </w:tc>
        <w:tc>
          <w:tcPr>
            <w:tcW w:w="3588" w:type="dxa"/>
            <w:tcBorders>
              <w:top w:val="single" w:sz="1" w:space="0" w:color="000000"/>
              <w:left w:val="single" w:sz="1" w:space="0" w:color="000000"/>
              <w:bottom w:val="single" w:sz="1" w:space="0" w:color="000000"/>
              <w:right w:val="single" w:sz="1" w:space="0" w:color="000000"/>
            </w:tcBorders>
          </w:tcPr>
          <w:p w14:paraId="4BEB5AC1"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Եզրակացություն</w:t>
            </w:r>
          </w:p>
        </w:tc>
        <w:tc>
          <w:tcPr>
            <w:tcW w:w="2800" w:type="dxa"/>
            <w:tcBorders>
              <w:top w:val="single" w:sz="1" w:space="0" w:color="000000"/>
              <w:left w:val="single" w:sz="1" w:space="0" w:color="000000"/>
              <w:bottom w:val="single" w:sz="1" w:space="0" w:color="000000"/>
              <w:right w:val="single" w:sz="1" w:space="0" w:color="000000"/>
            </w:tcBorders>
          </w:tcPr>
          <w:p w14:paraId="1F056FA3"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Կատարված փոփոխությունը</w:t>
            </w:r>
          </w:p>
        </w:tc>
      </w:tr>
      <w:tr w:rsidR="00AE7B86" w:rsidRPr="003A5968" w14:paraId="179B55F6" w14:textId="77777777" w:rsidTr="002917E3">
        <w:tc>
          <w:tcPr>
            <w:tcW w:w="458" w:type="dxa"/>
            <w:tcBorders>
              <w:top w:val="single" w:sz="1" w:space="0" w:color="000000"/>
              <w:left w:val="single" w:sz="1" w:space="0" w:color="000000"/>
              <w:bottom w:val="single" w:sz="1" w:space="0" w:color="000000"/>
              <w:right w:val="single" w:sz="1" w:space="0" w:color="000000"/>
            </w:tcBorders>
            <w:vAlign w:val="center"/>
          </w:tcPr>
          <w:p w14:paraId="2D32F597" w14:textId="77777777" w:rsidR="00682DC4" w:rsidRPr="003A5968" w:rsidRDefault="00682DC4" w:rsidP="003A5968">
            <w:pPr>
              <w:spacing w:after="0" w:line="360" w:lineRule="auto"/>
              <w:jc w:val="center"/>
              <w:rPr>
                <w:rFonts w:ascii="GHEA Grapalat" w:hAnsi="GHEA Grapalat"/>
                <w:sz w:val="24"/>
                <w:szCs w:val="24"/>
              </w:rPr>
            </w:pPr>
          </w:p>
        </w:tc>
        <w:tc>
          <w:tcPr>
            <w:tcW w:w="2191" w:type="dxa"/>
            <w:tcBorders>
              <w:top w:val="single" w:sz="1" w:space="0" w:color="000000"/>
              <w:left w:val="single" w:sz="1" w:space="0" w:color="000000"/>
              <w:bottom w:val="single" w:sz="1" w:space="0" w:color="000000"/>
              <w:right w:val="single" w:sz="1" w:space="0" w:color="000000"/>
            </w:tcBorders>
            <w:vAlign w:val="center"/>
          </w:tcPr>
          <w:p w14:paraId="17046CDD"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1</w:t>
            </w:r>
          </w:p>
        </w:tc>
        <w:tc>
          <w:tcPr>
            <w:tcW w:w="4930" w:type="dxa"/>
            <w:tcBorders>
              <w:top w:val="single" w:sz="1" w:space="0" w:color="000000"/>
              <w:left w:val="single" w:sz="1" w:space="0" w:color="000000"/>
              <w:bottom w:val="single" w:sz="1" w:space="0" w:color="000000"/>
              <w:right w:val="single" w:sz="1" w:space="0" w:color="000000"/>
            </w:tcBorders>
            <w:vAlign w:val="center"/>
          </w:tcPr>
          <w:p w14:paraId="1FD106F2"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2</w:t>
            </w:r>
          </w:p>
        </w:tc>
        <w:tc>
          <w:tcPr>
            <w:tcW w:w="3588" w:type="dxa"/>
            <w:tcBorders>
              <w:top w:val="single" w:sz="1" w:space="0" w:color="000000"/>
              <w:left w:val="single" w:sz="1" w:space="0" w:color="000000"/>
              <w:bottom w:val="single" w:sz="1" w:space="0" w:color="000000"/>
              <w:right w:val="single" w:sz="1" w:space="0" w:color="000000"/>
            </w:tcBorders>
            <w:vAlign w:val="center"/>
          </w:tcPr>
          <w:p w14:paraId="31042F48"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3</w:t>
            </w:r>
          </w:p>
        </w:tc>
        <w:tc>
          <w:tcPr>
            <w:tcW w:w="2800" w:type="dxa"/>
            <w:tcBorders>
              <w:top w:val="single" w:sz="1" w:space="0" w:color="000000"/>
              <w:left w:val="single" w:sz="1" w:space="0" w:color="000000"/>
              <w:bottom w:val="single" w:sz="1" w:space="0" w:color="000000"/>
              <w:right w:val="single" w:sz="1" w:space="0" w:color="000000"/>
            </w:tcBorders>
            <w:vAlign w:val="center"/>
          </w:tcPr>
          <w:p w14:paraId="0896ADEF"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4</w:t>
            </w:r>
          </w:p>
        </w:tc>
      </w:tr>
      <w:tr w:rsidR="00AE7B86" w:rsidRPr="00757271" w14:paraId="6FD86F8D" w14:textId="77777777" w:rsidTr="002917E3">
        <w:tc>
          <w:tcPr>
            <w:tcW w:w="458" w:type="dxa"/>
            <w:tcBorders>
              <w:top w:val="single" w:sz="1" w:space="0" w:color="000000"/>
              <w:left w:val="single" w:sz="1" w:space="0" w:color="000000"/>
              <w:bottom w:val="single" w:sz="1" w:space="0" w:color="000000"/>
              <w:right w:val="single" w:sz="1" w:space="0" w:color="000000"/>
            </w:tcBorders>
          </w:tcPr>
          <w:p w14:paraId="3D3D7152"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1</w:t>
            </w:r>
          </w:p>
        </w:tc>
        <w:tc>
          <w:tcPr>
            <w:tcW w:w="2191" w:type="dxa"/>
            <w:tcBorders>
              <w:top w:val="single" w:sz="1" w:space="0" w:color="000000"/>
              <w:left w:val="single" w:sz="1" w:space="0" w:color="000000"/>
              <w:bottom w:val="single" w:sz="1" w:space="0" w:color="000000"/>
              <w:right w:val="single" w:sz="1" w:space="0" w:color="000000"/>
            </w:tcBorders>
          </w:tcPr>
          <w:p w14:paraId="79311E0B"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Հելսինկյան Քաղաքացիական Ասամբլեայի Վանաձորի գրասենյակ</w:t>
            </w:r>
          </w:p>
          <w:p w14:paraId="6C5A823B"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lastRenderedPageBreak/>
              <w:t>15.11.2023 23:55:02</w:t>
            </w:r>
          </w:p>
        </w:tc>
        <w:tc>
          <w:tcPr>
            <w:tcW w:w="4930" w:type="dxa"/>
            <w:tcBorders>
              <w:top w:val="single" w:sz="1" w:space="0" w:color="000000"/>
              <w:left w:val="single" w:sz="1" w:space="0" w:color="000000"/>
              <w:bottom w:val="single" w:sz="1" w:space="0" w:color="000000"/>
              <w:right w:val="single" w:sz="1" w:space="0" w:color="000000"/>
            </w:tcBorders>
          </w:tcPr>
          <w:p w14:paraId="6743038C"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lastRenderedPageBreak/>
              <w:t xml:space="preserve">ՀՔԱ Վանաձորի գրասենյակը ներկայացնում է կարծիք՝ հանրային                   քննարկման դրված «Վարչական իրավախախտումների վերաբերյալ Հայաստանի Հանրապետության </w:t>
            </w:r>
            <w:r w:rsidRPr="003A5968">
              <w:rPr>
                <w:rFonts w:ascii="GHEA Grapalat" w:eastAsia="GHEA Grapalat" w:hAnsi="GHEA Grapalat" w:cs="GHEA Grapalat"/>
                <w:color w:val="000000"/>
                <w:sz w:val="24"/>
                <w:szCs w:val="24"/>
              </w:rPr>
              <w:lastRenderedPageBreak/>
              <w:t xml:space="preserve">օրենսգրքում փոփոխություններ և լրացումներ կատարելու մասին» օրենքների նախագծերի (այուհետ՝ Նախագիծ) ընդունման վերաբերյալ։ Նախագիծը չի ապահովում պատշաճ և արդյունավետ վարչարարություն իրականացնելու սկզբունքները և խախտում է վարչական իրավախախտում կատարած անձանց՝ օրենսգրքով սահմանված և միջազգային իրավական ընթացակարգերով երաշխավորված իրավունքները։ Նախագծով նախատեսվում է ՀՀ ՆԳՆ ոստիկանության մարմինների կողմից կայացված վարչական ակտերի և դրսևորած գործողությունների և անգործության վերադասության կարգով բողոքարկման/գանգատարկման պահանջ (արտադատական ընթացակարգ), նախքան </w:t>
            </w:r>
            <w:r w:rsidRPr="003A5968">
              <w:rPr>
                <w:rFonts w:ascii="GHEA Grapalat" w:eastAsia="GHEA Grapalat" w:hAnsi="GHEA Grapalat" w:cs="GHEA Grapalat"/>
                <w:color w:val="000000"/>
                <w:sz w:val="24"/>
                <w:szCs w:val="24"/>
              </w:rPr>
              <w:lastRenderedPageBreak/>
              <w:t xml:space="preserve">դատական կարգով դիմելը, վերանայվում է ՀՀ ՆԳՆ ոստիկանության իրավասու մարմինների կողմից կայացված վարչական իրավախախտումների վերաբերյալ ակտերի դեմ դատական կարգով գանգատարկման համար սահմանված պետական տուրքի չափը, բացառվում է վարչական իրավախախտման վերաբերյալ կազմված արձանագրության հիման վրա հայցի հարուցումը՝ ՀՀ ՆԳՆ ոստիկանության համար սահմանելով համապատասխան արձանագրության հիման վրա համապատասխան վարչական ակտի կայացման իրավական հնարավորություն։ Նախագծի հիմնավորման մեջ նշված է, որ օրենսդրական փոփոխությունների ընդունման արդյունքում կբարձրանա ՀՀ ոստիկանության իրավասու մարմինների </w:t>
            </w:r>
            <w:r w:rsidRPr="003A5968">
              <w:rPr>
                <w:rFonts w:ascii="GHEA Grapalat" w:eastAsia="GHEA Grapalat" w:hAnsi="GHEA Grapalat" w:cs="GHEA Grapalat"/>
                <w:color w:val="000000"/>
                <w:sz w:val="24"/>
                <w:szCs w:val="24"/>
              </w:rPr>
              <w:lastRenderedPageBreak/>
              <w:t>կողմից ընդունած վարչական ակտի, գործողության կամ անգործության վերադասության կարգով բողոքարկման վարույթի նշանակությունը և դերը՝ միաժամանակ ապահովելով վարչական դատարանի կողմից ողջամիտ ժամկետում արդար դատաքննության իրականացման օբյեկտիվ հնարավորությունը՝ անհարկի ծանրաբեռնվածությունը նվազեցնելու միջոցով, ինչպես նաև ակնկալվում է խրախուսել դրանով սահմանված վարչական իրավախախտումների հիմքով վարչական պատասխանատվության ենթարկված անձանց կողմից վարչական ակտը կամովին կատարելը: Վարչական իրավախախտումների վերաբերյալ օրենսգրքի 287-րդ հոդվածի 1-ին մասի համաձայն</w:t>
            </w:r>
            <w:r w:rsidRPr="003A5968">
              <w:rPr>
                <w:rFonts w:ascii="Cambria Math" w:eastAsia="GHEA Grapalat" w:hAnsi="Cambria Math" w:cs="Cambria Math"/>
                <w:color w:val="000000"/>
                <w:sz w:val="24"/>
                <w:szCs w:val="24"/>
              </w:rPr>
              <w:t>․</w:t>
            </w:r>
            <w:r w:rsidRPr="003A5968">
              <w:rPr>
                <w:rFonts w:ascii="GHEA Grapalat" w:eastAsia="GHEA Grapalat" w:hAnsi="GHEA Grapalat" w:cs="GHEA Grapalat"/>
                <w:color w:val="000000"/>
                <w:sz w:val="24"/>
                <w:szCs w:val="24"/>
              </w:rPr>
              <w:t xml:space="preserve"> «1. Վարչական </w:t>
            </w:r>
            <w:r w:rsidRPr="003A5968">
              <w:rPr>
                <w:rFonts w:ascii="GHEA Grapalat" w:eastAsia="GHEA Grapalat" w:hAnsi="GHEA Grapalat" w:cs="GHEA Grapalat"/>
                <w:color w:val="000000"/>
                <w:sz w:val="24"/>
                <w:szCs w:val="24"/>
              </w:rPr>
              <w:lastRenderedPageBreak/>
              <w:t>իրավախախտման վերաբերյալ վարույթն իրականացնող մարմնի կայացրած վարչական իրավախախտման վերաբերյալ որոշումը կարող է գանգատարկվել (բողոքարկվել) սույն օրենսգրքով սահմանված վարչական կարգով կամ Հայաստանի Հանրապետության վարչական դատավարության օրենսգրքով սահմանված դատական կարգով, բացառությամբ սույն հոդվածի 2-րդ մասով նախատեսված դեպքերի»:  Նույն հոդվածի 2-րդ մասի համաձայն</w:t>
            </w:r>
            <w:r w:rsidRPr="003A5968">
              <w:rPr>
                <w:rFonts w:ascii="Cambria Math" w:eastAsia="GHEA Grapalat" w:hAnsi="Cambria Math" w:cs="Cambria Math"/>
                <w:color w:val="000000"/>
                <w:sz w:val="24"/>
                <w:szCs w:val="24"/>
              </w:rPr>
              <w:t>․</w:t>
            </w:r>
            <w:r w:rsidRPr="003A5968">
              <w:rPr>
                <w:rFonts w:ascii="GHEA Grapalat" w:eastAsia="GHEA Grapalat" w:hAnsi="GHEA Grapalat" w:cs="GHEA Grapalat"/>
                <w:color w:val="000000"/>
                <w:sz w:val="24"/>
                <w:szCs w:val="24"/>
              </w:rPr>
              <w:t xml:space="preserve"> «2. Սույն օրենսգրքի 123-րդ, 123.1-ին, 123.3-րդ, 123.4-րդ, 123.5-րդ (բացառությամբ 8-րդ, 9-րդ, 14-րդ և 15-րդ մասերով նախատեսված իրավախախտումների), 123.6-րդ, 123.7-րդ, 124-124.4-րդ, 124.6-րդ, 125-րդ, 126-րդ, 128-րդ, 129.2-րդ, 129.3-րդ, 131-րդ, 132-րդ, </w:t>
            </w:r>
            <w:r w:rsidRPr="003A5968">
              <w:rPr>
                <w:rFonts w:ascii="GHEA Grapalat" w:eastAsia="GHEA Grapalat" w:hAnsi="GHEA Grapalat" w:cs="GHEA Grapalat"/>
                <w:color w:val="000000"/>
                <w:sz w:val="24"/>
                <w:szCs w:val="24"/>
              </w:rPr>
              <w:lastRenderedPageBreak/>
              <w:t xml:space="preserve">135.2-րդ և 140-րդ հոդվածներով սահմանված վարչական իրավախախտումների վերաբերյալ գործերով վարչական ակտերը կարող են վիճարկվել դատական կարգով միայն վարչական կարգով գանգատարկվելուց (բողոքարկվելուց) հետո»։ Ըստ վերը նշված հոդվածի վերլուծության՝ ներկա կարգավորմամբ նախքան դատարան դիմելը վարչական ակտերի վերադասության կարգով պարտադիր բողոքարկման պահանջը գործում է միայն խիստ սահմանափակ և որոշակի վարչական իրավախախտումների դեպքում, մինչդեռ նախագծով սահմանվել է ՀՀ ՆԳՆ ոստիկանության մարմինների կողմից կայացված բոլոր վարչական ակտերի և դրսևորած գործողությունների և </w:t>
            </w:r>
            <w:r w:rsidRPr="003A5968">
              <w:rPr>
                <w:rFonts w:ascii="GHEA Grapalat" w:eastAsia="GHEA Grapalat" w:hAnsi="GHEA Grapalat" w:cs="GHEA Grapalat"/>
                <w:color w:val="000000"/>
                <w:sz w:val="24"/>
                <w:szCs w:val="24"/>
              </w:rPr>
              <w:lastRenderedPageBreak/>
              <w:t xml:space="preserve">անգործության վերադասության կարգով բողոքարկման/գանգատարկման պահանջ (արտադատական ընթացակարգ), նախքան դատական կարգով դիմելը: Տվյալ դեպքում մինչ վերադասության կարգով բողոքարկման կամ վերանայման իրավունքի ընդլայնումը անհրաժեշտ է պարզել, թե արդյո՞ք վերանայման ինստիտուտը արդյունավետ գործում է, արդյո՞ք վարչական մարմիններն ապահովում են բողոքների ըստ էության և բովանդակային քննություն։  Կազմակերպությունն իր իրավապաշտպան գործունեության ընթացքում ցուցաբերած իրավական աջակցության և կատարած ուսումնասիրությունների արդյունքում եզրահանգել է, որ վարչական կարգով ներկայացված բողոքների քննությունն ու </w:t>
            </w:r>
            <w:r w:rsidRPr="003A5968">
              <w:rPr>
                <w:rFonts w:ascii="GHEA Grapalat" w:eastAsia="GHEA Grapalat" w:hAnsi="GHEA Grapalat" w:cs="GHEA Grapalat"/>
                <w:color w:val="000000"/>
                <w:sz w:val="24"/>
                <w:szCs w:val="24"/>
              </w:rPr>
              <w:lastRenderedPageBreak/>
              <w:t>լուծումը մեծամասամբ կրում է ձևական  բնույթ և արդյունավետ չի գործում։ Նախագծում հղում է կատարվում Դատական և իրավական բարեփոխումների                      2022-2026 թվականների ռազմավարությանը, որտեղ մատնանշված է վարչական դատավարության օրենսդրության բարեփոխումների անհրաժեշտությունը</w:t>
            </w:r>
            <w:r w:rsidRPr="003A5968">
              <w:rPr>
                <w:rFonts w:ascii="Cambria Math" w:eastAsia="GHEA Grapalat" w:hAnsi="Cambria Math" w:cs="Cambria Math"/>
                <w:color w:val="000000"/>
                <w:sz w:val="24"/>
                <w:szCs w:val="24"/>
              </w:rPr>
              <w:t>․</w:t>
            </w:r>
            <w:r w:rsidRPr="003A5968">
              <w:rPr>
                <w:rFonts w:ascii="GHEA Grapalat" w:eastAsia="GHEA Grapalat" w:hAnsi="GHEA Grapalat" w:cs="GHEA Grapalat"/>
                <w:color w:val="000000"/>
                <w:sz w:val="24"/>
                <w:szCs w:val="24"/>
              </w:rPr>
              <w:t xml:space="preserve"> այս կապակցությամբ նշենք, որ «Դատական և իրավական բարեփոխումների 2019-2023թթ</w:t>
            </w:r>
            <w:r w:rsidRPr="003A5968">
              <w:rPr>
                <w:rFonts w:ascii="Cambria Math" w:eastAsia="GHEA Grapalat" w:hAnsi="Cambria Math" w:cs="Cambria Math"/>
                <w:color w:val="000000"/>
                <w:sz w:val="24"/>
                <w:szCs w:val="24"/>
              </w:rPr>
              <w:t>․</w:t>
            </w:r>
            <w:r w:rsidRPr="003A5968">
              <w:rPr>
                <w:rFonts w:ascii="GHEA Grapalat" w:eastAsia="GHEA Grapalat" w:hAnsi="GHEA Grapalat" w:cs="GHEA Grapalat"/>
                <w:color w:val="000000"/>
                <w:sz w:val="24"/>
                <w:szCs w:val="24"/>
              </w:rPr>
              <w:t xml:space="preserve"> ռազմավարությամբ և վերջինից բխող գործողությունների ծրագրով որպես վարչական դատավարության և վարչական վարույթի բարեփոխումներին ուղղված գործողություն նախատեսված էր հետևյալը</w:t>
            </w:r>
            <w:r w:rsidRPr="003A5968">
              <w:rPr>
                <w:rFonts w:ascii="Cambria Math" w:eastAsia="GHEA Grapalat" w:hAnsi="Cambria Math" w:cs="Cambria Math"/>
                <w:color w:val="000000"/>
                <w:sz w:val="24"/>
                <w:szCs w:val="24"/>
              </w:rPr>
              <w:t>․</w:t>
            </w:r>
            <w:r w:rsidRPr="003A5968">
              <w:rPr>
                <w:rFonts w:ascii="GHEA Grapalat" w:eastAsia="GHEA Grapalat" w:hAnsi="GHEA Grapalat" w:cs="GHEA Grapalat"/>
                <w:color w:val="000000"/>
                <w:sz w:val="24"/>
                <w:szCs w:val="24"/>
              </w:rPr>
              <w:t xml:space="preserve"> «Վարչարարության հիմունքների և վարչական վարույթի մասին» օրենքում </w:t>
            </w:r>
            <w:r w:rsidRPr="003A5968">
              <w:rPr>
                <w:rFonts w:ascii="GHEA Grapalat" w:eastAsia="GHEA Grapalat" w:hAnsi="GHEA Grapalat" w:cs="GHEA Grapalat"/>
                <w:color w:val="000000"/>
                <w:sz w:val="24"/>
                <w:szCs w:val="24"/>
              </w:rPr>
              <w:lastRenderedPageBreak/>
              <w:t>կատարել փոփոխություններ՝ նախատեսելով վարչական ակտերի վերադասության կարգով բողոքարկման արդյունավետ մեխանիզմներ: Նշված ռազմավարության շարունակությունը հանդիսացող «Դատական և իրավական բարեփոխումների 2022-2026թթ</w:t>
            </w:r>
            <w:r w:rsidRPr="003A5968">
              <w:rPr>
                <w:rFonts w:ascii="Cambria Math" w:eastAsia="GHEA Grapalat" w:hAnsi="Cambria Math" w:cs="Cambria Math"/>
                <w:color w:val="000000"/>
                <w:sz w:val="24"/>
                <w:szCs w:val="24"/>
              </w:rPr>
              <w:t>․</w:t>
            </w:r>
            <w:r w:rsidRPr="003A5968">
              <w:rPr>
                <w:rFonts w:ascii="GHEA Grapalat" w:eastAsia="GHEA Grapalat" w:hAnsi="GHEA Grapalat" w:cs="GHEA Grapalat"/>
                <w:color w:val="000000"/>
                <w:sz w:val="24"/>
                <w:szCs w:val="24"/>
              </w:rPr>
              <w:t xml:space="preserve"> ռազմավարությամբ» նշված գործողությունը և առհասարակ «Վարչական արդարադատություն և վարչական վարույթի արդյունավետության բարձրացում» վերտառությամբ նպատակի ներքո նշված մի շարք գործողություններ կրճատվել են, որի վերաբերյալ Կազմակերպությունը իր մտահոգությունը հայտնել էր 29</w:t>
            </w:r>
            <w:r w:rsidRPr="003A5968">
              <w:rPr>
                <w:rFonts w:ascii="Cambria Math" w:eastAsia="GHEA Grapalat" w:hAnsi="Cambria Math" w:cs="Cambria Math"/>
                <w:color w:val="000000"/>
                <w:sz w:val="24"/>
                <w:szCs w:val="24"/>
              </w:rPr>
              <w:t>․</w:t>
            </w:r>
            <w:r w:rsidRPr="003A5968">
              <w:rPr>
                <w:rFonts w:ascii="GHEA Grapalat" w:eastAsia="GHEA Grapalat" w:hAnsi="GHEA Grapalat" w:cs="GHEA Grapalat"/>
                <w:color w:val="000000"/>
                <w:sz w:val="24"/>
                <w:szCs w:val="24"/>
              </w:rPr>
              <w:t>03</w:t>
            </w:r>
            <w:r w:rsidRPr="003A5968">
              <w:rPr>
                <w:rFonts w:ascii="Cambria Math" w:eastAsia="GHEA Grapalat" w:hAnsi="Cambria Math" w:cs="Cambria Math"/>
                <w:color w:val="000000"/>
                <w:sz w:val="24"/>
                <w:szCs w:val="24"/>
              </w:rPr>
              <w:t>․</w:t>
            </w:r>
            <w:r w:rsidRPr="003A5968">
              <w:rPr>
                <w:rFonts w:ascii="GHEA Grapalat" w:eastAsia="GHEA Grapalat" w:hAnsi="GHEA Grapalat" w:cs="GHEA Grapalat"/>
                <w:color w:val="000000"/>
                <w:sz w:val="24"/>
                <w:szCs w:val="24"/>
              </w:rPr>
              <w:t>2022թ</w:t>
            </w:r>
            <w:r w:rsidRPr="003A5968">
              <w:rPr>
                <w:rFonts w:ascii="Cambria Math" w:eastAsia="GHEA Grapalat" w:hAnsi="Cambria Math" w:cs="Cambria Math"/>
                <w:color w:val="000000"/>
                <w:sz w:val="24"/>
                <w:szCs w:val="24"/>
              </w:rPr>
              <w:t>․</w:t>
            </w:r>
            <w:r w:rsidRPr="003A5968">
              <w:rPr>
                <w:rFonts w:ascii="GHEA Grapalat" w:eastAsia="GHEA Grapalat" w:hAnsi="GHEA Grapalat" w:cs="GHEA Grapalat"/>
                <w:color w:val="000000"/>
                <w:sz w:val="24"/>
                <w:szCs w:val="24"/>
              </w:rPr>
              <w:t xml:space="preserve"> հրապարակված կարծիքում։ Հարկ է նշել, որ գործող ռազմավարությամբ նշված գործողության </w:t>
            </w:r>
            <w:r w:rsidRPr="003A5968">
              <w:rPr>
                <w:rFonts w:ascii="GHEA Grapalat" w:eastAsia="GHEA Grapalat" w:hAnsi="GHEA Grapalat" w:cs="GHEA Grapalat"/>
                <w:color w:val="000000"/>
                <w:sz w:val="24"/>
                <w:szCs w:val="24"/>
              </w:rPr>
              <w:lastRenderedPageBreak/>
              <w:t xml:space="preserve">բացակայությունը պայմանավորված չէ խնդրի լուծված լինելու հանգամանքով։ Ավելին, դատարանների ծանրաբեռնվածության թեթևացման նպատակով նման մեծ շրջանակի վարչական ակտերի պարտադիր բողոքարկման պահանջ նախատեսելը կարող է արդարացված և ողջամիտ համարվել միայն այն դեպքում, երբ վարչական մարմինն իր պատրաստվածությամբ և կարողություններով ի վիճակի լինի արդյունավետ քննել և լուծել բողոքի հիման վրա հարուցված վարչական վարույթը։ Հակառակ դեպքում, առաջարկվող օրենսդրական փոփոխությունը դառնում է ընդամենը վարչական մարմնի դեմ բողոքի քննության հետաձգման գործիք։  Նման </w:t>
            </w:r>
            <w:r w:rsidRPr="003A5968">
              <w:rPr>
                <w:rFonts w:ascii="GHEA Grapalat" w:eastAsia="GHEA Grapalat" w:hAnsi="GHEA Grapalat" w:cs="GHEA Grapalat"/>
                <w:color w:val="000000"/>
                <w:sz w:val="24"/>
                <w:szCs w:val="24"/>
              </w:rPr>
              <w:lastRenderedPageBreak/>
              <w:t xml:space="preserve">նախագծի ներկայացման ողջամիտ հիմնավորում կարող էր համարվել ուսումնասիրության և վիճակագրության ներկայացումը, որը կհաստատեր, որ վերադասության կարգով քննված վարչական բողոքների արդյունքում կայացված որոշումները միայն փոքր համամասնությամբ են հետագայում բեկանվում դատարանների կողմից, մինչդեռ նման վիճակագրությունը բացակայում է։ Ընդհակառակը, վերադասությամբ վերանայված և դատարան բողոքորկված վարչական ակտերի մեծ մասը բավարարվում են և անվավեր ճանաչվում՝ ծանուցման եղանակների, ընթացակարգերի չպահպանման, ապացույցների բացակայության, ոչ իրավաչափ լինելու  և </w:t>
            </w:r>
            <w:r w:rsidRPr="003A5968">
              <w:rPr>
                <w:rFonts w:ascii="GHEA Grapalat" w:eastAsia="GHEA Grapalat" w:hAnsi="GHEA Grapalat" w:cs="GHEA Grapalat"/>
                <w:color w:val="000000"/>
                <w:sz w:val="24"/>
                <w:szCs w:val="24"/>
              </w:rPr>
              <w:lastRenderedPageBreak/>
              <w:t xml:space="preserve">այլ հիմքերով։ Վարչական մարմինների կողմից իրականացվող քննությունը չի ապահովում այն երաշխիքները և արդյունավետությունը, ինչ որ ապահովվում է դատարանը դատական քննության ժամանակ։ Տվյալ դեպքում գտնում ենք, որ անհրաժեշտ է մշակել և Նախագծի հիմնավորումների շարքում ներկայացնել վիճակագրություն վերադաս մարմնի վերանայման արդյունքում կայացրած և անփոփոխ մնացած և արդյունքում դատարան բողոքարկված և բավարարված գործերի վերաբերյալ, միաժամանակ  ուսումնասիրել դատական ակտերով արձանագրված հիմքերը և խնդիրները։ Քանի դեռ նման վիճակագրություն առկա չէ, վերհանված չեն դատական ակտերով արձանագրված խնդիրները և վերջիններիս </w:t>
            </w:r>
            <w:r w:rsidRPr="003A5968">
              <w:rPr>
                <w:rFonts w:ascii="GHEA Grapalat" w:eastAsia="GHEA Grapalat" w:hAnsi="GHEA Grapalat" w:cs="GHEA Grapalat"/>
                <w:color w:val="000000"/>
                <w:sz w:val="24"/>
                <w:szCs w:val="24"/>
              </w:rPr>
              <w:lastRenderedPageBreak/>
              <w:t xml:space="preserve">տրված չեն լուծումներ, խոսք անգամ չի կարող լինել վերադասության կարգով վերայման արդյունավետության և ընդլայնման մասին։ Ինչ վերաբերվում է վարչական իրավախախտման վերաբերյալ կազմված արձանագրության հիման վրա հայցի հարուցելու բացառմանը, ապա այն հակասում է անձի դատարան դիմելու իրավունքի և դատարանի մատչելիության իրավունքին։  Սահմանադրական դատարանն իր բազմաթիվ որոշումներում (ՍԴՈ-690, 719, 733, 765, 780, 849, 873, 890, 918, 922, 936, 1037, 1052, 1062, 1114, 1115, 1190, 1191, 1192, 1196, 1197, 1220, 1222, 1231, 1249, 1254, 1257, 1263, 1265, 1268, 1275, 1289, 1290, 1293, 1395) անդրադարձել է արդար դատաքննության և դատական բողոքարկման, դատարանի մատչելիության </w:t>
            </w:r>
            <w:r w:rsidRPr="003A5968">
              <w:rPr>
                <w:rFonts w:ascii="GHEA Grapalat" w:eastAsia="GHEA Grapalat" w:hAnsi="GHEA Grapalat" w:cs="GHEA Grapalat"/>
                <w:color w:val="000000"/>
                <w:sz w:val="24"/>
                <w:szCs w:val="24"/>
              </w:rPr>
              <w:lastRenderedPageBreak/>
              <w:t xml:space="preserve">հիմնախնդիրներին, կարևորելով վերջինս որպես կարևոր նախապայման՝ Սահմանադրությամբ երաշխավորված հիմնական իրավունքների ու ազատությունների արդյունավետ պաշտպանության համար: Վերոթվարկյալ որոշումներում արտահայտված իրավական դիրքորոշումները, ելնելով սույն գործով բարձրացված հիմնախնդրի էությունից, հիմնականում հանգել են հետևյալին. - դատավարական որևէ առանձնահատկություն կամ ընթացակարգ չի կարող խոչընդոտել կամ կանխել դատարան դիմելու իրավունքի արդյունավետ իրացման հնարավորությունը, իմաստազրկել ՀՀ Սահմանադրությամբ երաշխավորված դատական պաշտպանության իրավունքը </w:t>
            </w:r>
            <w:r w:rsidRPr="003A5968">
              <w:rPr>
                <w:rFonts w:ascii="GHEA Grapalat" w:eastAsia="GHEA Grapalat" w:hAnsi="GHEA Grapalat" w:cs="GHEA Grapalat"/>
                <w:color w:val="000000"/>
                <w:sz w:val="24"/>
                <w:szCs w:val="24"/>
              </w:rPr>
              <w:lastRenderedPageBreak/>
              <w:t xml:space="preserve">կամ դրա իրացման արգելք հանդիսանալ, - ընթացակարգային որևէ առանձնահատկություն չի կարող մեկնաբանվել որպես ՀՀ Սահմանադրությամբ երաշխավորված՝ դատարանի մատչելիության իրավունքի սահմանափակման հիմնավորում, - դատարանի (արդարադատության) մատչելիությունը կարող է ունենալ որոշակի սահմանափակումներ, որոնք չպետք է խաթարեն այդ իրավունքի բուն էությունը, - դատարան դիմելիս անձը չպետք է ծանրաբեռնվի ավելորդ ձևական պահանջներով, - իրավական որոշակիության ապահովման պահանջից ելնելով՝ դատարանի մատչելիության իրավունքի իրացման համար անհրաժեշտ որոշակի իմպերատիվ նախապայմանի </w:t>
            </w:r>
            <w:r w:rsidRPr="003A5968">
              <w:rPr>
                <w:rFonts w:ascii="GHEA Grapalat" w:eastAsia="GHEA Grapalat" w:hAnsi="GHEA Grapalat" w:cs="GHEA Grapalat"/>
                <w:color w:val="000000"/>
                <w:sz w:val="24"/>
                <w:szCs w:val="24"/>
              </w:rPr>
              <w:lastRenderedPageBreak/>
              <w:t>առկայությունն ինքնին չի կարող դիտվել որպես ՀՀ Սահմանադրությանը հակասող: Այլ հարց է, որ նման նախապայմանը պետք է լինի իրագործելի, ողջամիտ և իր ծանրությամբ չհանգեցնի իրավունքի էության խախտման: 2</w:t>
            </w:r>
            <w:r w:rsidRPr="003A5968">
              <w:rPr>
                <w:rFonts w:ascii="Cambria Math" w:eastAsia="GHEA Grapalat" w:hAnsi="Cambria Math" w:cs="Cambria Math"/>
                <w:color w:val="000000"/>
                <w:sz w:val="24"/>
                <w:szCs w:val="24"/>
              </w:rPr>
              <w:t>․</w:t>
            </w:r>
            <w:r w:rsidRPr="003A5968">
              <w:rPr>
                <w:rFonts w:ascii="GHEA Grapalat" w:eastAsia="GHEA Grapalat" w:hAnsi="GHEA Grapalat" w:cs="GHEA Grapalat"/>
                <w:color w:val="000000"/>
                <w:sz w:val="24"/>
                <w:szCs w:val="24"/>
              </w:rPr>
              <w:t xml:space="preserve">Երկրորդ հարցով բարձրացված խնդրի վերաբերյալ նշենք, որ ասվածի վերաբերյալ չկան համապատասխան ապացույցներ և հիմնավորումներ, թե վարչական ակտերը վիճարկվում են՝ նպատակ ունենալով հետաձգել տուգանքի վճարման պարտավորության կատարումը։  Տվյալ դեպքում ՀՀ ՆԳՆ ոստիկանության իրավասու մարմինների կողմից կայացված վարչական իրավախախտումների վերաբերյալ ակտերի դեմ դատական կարգով գանգատարկման համար </w:t>
            </w:r>
            <w:r w:rsidRPr="003A5968">
              <w:rPr>
                <w:rFonts w:ascii="GHEA Grapalat" w:eastAsia="GHEA Grapalat" w:hAnsi="GHEA Grapalat" w:cs="GHEA Grapalat"/>
                <w:color w:val="000000"/>
                <w:sz w:val="24"/>
                <w:szCs w:val="24"/>
              </w:rPr>
              <w:lastRenderedPageBreak/>
              <w:t>սահմանված պետական տուրքի չափը վերանայելը և ՀՀ ՆԳՆ ոստիկանության ընդունած վարչական ակտերի դատական կարգով վիճարկման գրավոր դատաքննության ընթացակարգ սահմանելը վերը նշված կարգավորումների պայմաններում ողջամիտ չէ քննարկել։  Նախագիծը չի ապահովում պատշաճ և արդյունավետ վարչարարություն իրականացնելու սկզբունքները և խախտում է վարչական պատասխանատվության ենթարկված անձի՝ օրենսգրքով սահմանված և միջազգային իրավական ընթացակարգերով երաշխավորված իրավունքներն, ուստի վերը թվարկվածի հաշվառմամբ, գտնում ենք, որ նախագիծը պետք է հանել շրջանառությունից։</w:t>
            </w:r>
          </w:p>
        </w:tc>
        <w:tc>
          <w:tcPr>
            <w:tcW w:w="3588" w:type="dxa"/>
            <w:tcBorders>
              <w:top w:val="single" w:sz="1" w:space="0" w:color="000000"/>
              <w:left w:val="single" w:sz="1" w:space="0" w:color="000000"/>
              <w:bottom w:val="single" w:sz="1" w:space="0" w:color="000000"/>
              <w:right w:val="single" w:sz="1" w:space="0" w:color="000000"/>
            </w:tcBorders>
          </w:tcPr>
          <w:p w14:paraId="3DFA303C" w14:textId="66DC3A40" w:rsidR="00682DC4" w:rsidRPr="003A5968" w:rsidRDefault="00AE7B86" w:rsidP="003A5968">
            <w:pPr>
              <w:spacing w:after="0" w:line="360" w:lineRule="auto"/>
              <w:ind w:right="245"/>
              <w:jc w:val="center"/>
              <w:rPr>
                <w:rFonts w:ascii="GHEA Grapalat" w:hAnsi="GHEA Grapalat"/>
                <w:b/>
                <w:bCs/>
                <w:sz w:val="24"/>
                <w:szCs w:val="24"/>
                <w:lang w:val="hy-AM"/>
              </w:rPr>
            </w:pPr>
            <w:r w:rsidRPr="003A5968">
              <w:rPr>
                <w:rFonts w:ascii="GHEA Grapalat" w:hAnsi="GHEA Grapalat"/>
                <w:b/>
                <w:bCs/>
                <w:sz w:val="24"/>
                <w:szCs w:val="24"/>
                <w:lang w:val="hy-AM"/>
              </w:rPr>
              <w:lastRenderedPageBreak/>
              <w:t>Ընդունվել է ի գիտություն</w:t>
            </w:r>
          </w:p>
          <w:p w14:paraId="2B54004E" w14:textId="6C92F876" w:rsidR="002917E3" w:rsidRPr="003A5968" w:rsidRDefault="00E61FF2" w:rsidP="003A5968">
            <w:pPr>
              <w:spacing w:after="0" w:line="360" w:lineRule="auto"/>
              <w:ind w:right="245"/>
              <w:jc w:val="both"/>
              <w:rPr>
                <w:rFonts w:ascii="GHEA Grapalat" w:hAnsi="GHEA Grapalat"/>
                <w:sz w:val="24"/>
                <w:szCs w:val="24"/>
                <w:lang w:val="hy-AM"/>
              </w:rPr>
            </w:pPr>
            <w:r w:rsidRPr="003A5968">
              <w:rPr>
                <w:rFonts w:ascii="GHEA Grapalat" w:hAnsi="GHEA Grapalat"/>
                <w:sz w:val="24"/>
                <w:szCs w:val="24"/>
                <w:lang w:val="hy-AM"/>
              </w:rPr>
              <w:t xml:space="preserve">Վերադասության կարգով վարչական բողոքների քննության արդյունավետությունը </w:t>
            </w:r>
            <w:r w:rsidRPr="003A5968">
              <w:rPr>
                <w:rFonts w:ascii="GHEA Grapalat" w:hAnsi="GHEA Grapalat"/>
                <w:sz w:val="24"/>
                <w:szCs w:val="24"/>
                <w:lang w:val="hy-AM"/>
              </w:rPr>
              <w:lastRenderedPageBreak/>
              <w:t>կարևոր պայման է, որ նախագծով առաջարկվող կարգավորումները հասնեն իրենց նպատակին։</w:t>
            </w:r>
            <w:r w:rsidR="00E13686" w:rsidRPr="003A5968">
              <w:rPr>
                <w:rFonts w:ascii="GHEA Grapalat" w:hAnsi="GHEA Grapalat"/>
                <w:sz w:val="24"/>
                <w:szCs w:val="24"/>
                <w:lang w:val="hy-AM"/>
              </w:rPr>
              <w:t xml:space="preserve"> </w:t>
            </w:r>
            <w:r w:rsidRPr="003A5968">
              <w:rPr>
                <w:rFonts w:ascii="GHEA Grapalat" w:hAnsi="GHEA Grapalat"/>
                <w:sz w:val="24"/>
                <w:szCs w:val="24"/>
                <w:lang w:val="hy-AM"/>
              </w:rPr>
              <w:t>Այս փաստը հաշվի է առնվել նախագիծը մշակելիս</w:t>
            </w:r>
            <w:r w:rsidR="00E13686" w:rsidRPr="003A5968">
              <w:rPr>
                <w:rFonts w:ascii="GHEA Grapalat" w:hAnsi="GHEA Grapalat"/>
                <w:sz w:val="24"/>
                <w:szCs w:val="24"/>
                <w:lang w:val="hy-AM"/>
              </w:rPr>
              <w:t xml:space="preserve"> և ադ ուղղությամբ ձեռնարկվելու են պատշաճ քայլեր։ </w:t>
            </w:r>
          </w:p>
          <w:p w14:paraId="251D7556" w14:textId="513F5BB1" w:rsidR="002917E3" w:rsidRPr="003A5968" w:rsidRDefault="002917E3" w:rsidP="003A5968">
            <w:pPr>
              <w:spacing w:after="0" w:line="360" w:lineRule="auto"/>
              <w:ind w:right="245"/>
              <w:jc w:val="both"/>
              <w:rPr>
                <w:rFonts w:ascii="GHEA Grapalat" w:hAnsi="GHEA Grapalat"/>
                <w:sz w:val="24"/>
                <w:szCs w:val="24"/>
                <w:lang w:val="hy-AM"/>
              </w:rPr>
            </w:pPr>
            <w:r w:rsidRPr="003A5968">
              <w:rPr>
                <w:rFonts w:ascii="GHEA Grapalat" w:hAnsi="GHEA Grapalat"/>
                <w:sz w:val="24"/>
                <w:szCs w:val="24"/>
                <w:lang w:val="hy-AM"/>
              </w:rPr>
              <w:t xml:space="preserve">Բացի այդ, վարչական ակտերի վերադասության կարգով բողոքարկման ընթացակարգը կարևոր գործիքակազմ է անձի կողմից իր  նկատմամբ կայացված վարչական ակտերի արագ վիճարկման, վերանայման տեսանկյունից, ինչը չի բացառում հետագայում </w:t>
            </w:r>
            <w:r w:rsidRPr="003A5968">
              <w:rPr>
                <w:rFonts w:ascii="GHEA Grapalat" w:hAnsi="GHEA Grapalat"/>
                <w:sz w:val="24"/>
                <w:szCs w:val="24"/>
                <w:lang w:val="hy-AM"/>
              </w:rPr>
              <w:lastRenderedPageBreak/>
              <w:t>դատական կարգով վերանայման հնարավորությանը։</w:t>
            </w:r>
          </w:p>
          <w:p w14:paraId="4BE4D977" w14:textId="19A473C6" w:rsidR="00E13686" w:rsidRPr="003A5968" w:rsidRDefault="002917E3" w:rsidP="003A5968">
            <w:pPr>
              <w:spacing w:after="0" w:line="360" w:lineRule="auto"/>
              <w:ind w:right="245"/>
              <w:jc w:val="both"/>
              <w:rPr>
                <w:rFonts w:ascii="GHEA Grapalat" w:hAnsi="GHEA Grapalat"/>
                <w:sz w:val="24"/>
                <w:szCs w:val="24"/>
                <w:lang w:val="hy-AM"/>
              </w:rPr>
            </w:pPr>
            <w:r w:rsidRPr="003A5968">
              <w:rPr>
                <w:rFonts w:ascii="GHEA Grapalat" w:hAnsi="GHEA Grapalat"/>
                <w:sz w:val="24"/>
                <w:szCs w:val="24"/>
                <w:lang w:val="hy-AM"/>
              </w:rPr>
              <w:t>Մ</w:t>
            </w:r>
            <w:r w:rsidR="00E13686" w:rsidRPr="003A5968">
              <w:rPr>
                <w:rFonts w:ascii="GHEA Grapalat" w:hAnsi="GHEA Grapalat"/>
                <w:sz w:val="24"/>
                <w:szCs w:val="24"/>
                <w:lang w:val="hy-AM"/>
              </w:rPr>
              <w:t>ևնույն ժամանակ նշենք, որ լրացուցիչ վիճակագրական տվյալներ ներկայացնելու հնարավորությունը օբյեկտիվորեն բացակայում է, իսկ ՆԳՆ-ին հասանելի վերաբերելի վիճակագրական տվյալները արդեն իսկ ներկայացված են հիմնավորման մեջ։</w:t>
            </w:r>
          </w:p>
          <w:p w14:paraId="2C1A8D88" w14:textId="0BAC5058" w:rsidR="00E13686" w:rsidRPr="003A5968" w:rsidRDefault="00E13686" w:rsidP="003A5968">
            <w:pPr>
              <w:spacing w:after="0" w:line="360" w:lineRule="auto"/>
              <w:ind w:right="245"/>
              <w:jc w:val="center"/>
              <w:rPr>
                <w:rFonts w:ascii="GHEA Grapalat" w:hAnsi="GHEA Grapalat"/>
                <w:b/>
                <w:bCs/>
                <w:sz w:val="24"/>
                <w:szCs w:val="24"/>
                <w:lang w:val="hy-AM"/>
              </w:rPr>
            </w:pPr>
            <w:r w:rsidRPr="003A5968">
              <w:rPr>
                <w:rFonts w:ascii="GHEA Grapalat" w:hAnsi="GHEA Grapalat"/>
                <w:b/>
                <w:bCs/>
                <w:sz w:val="24"/>
                <w:szCs w:val="24"/>
                <w:lang w:val="hy-AM"/>
              </w:rPr>
              <w:t>Չի ընդունվել</w:t>
            </w:r>
          </w:p>
          <w:p w14:paraId="367442CE" w14:textId="7AF17956" w:rsidR="00EA368C" w:rsidRPr="003A5968" w:rsidRDefault="00E13686" w:rsidP="003A5968">
            <w:pPr>
              <w:spacing w:after="0" w:line="360" w:lineRule="auto"/>
              <w:ind w:right="245"/>
              <w:jc w:val="both"/>
              <w:rPr>
                <w:rFonts w:ascii="GHEA Grapalat" w:hAnsi="GHEA Grapalat"/>
                <w:sz w:val="24"/>
                <w:szCs w:val="24"/>
                <w:lang w:val="hy-AM"/>
              </w:rPr>
            </w:pPr>
            <w:r w:rsidRPr="003A5968">
              <w:rPr>
                <w:rFonts w:ascii="GHEA Grapalat" w:hAnsi="GHEA Grapalat"/>
                <w:sz w:val="24"/>
                <w:szCs w:val="24"/>
                <w:lang w:val="hy-AM"/>
              </w:rPr>
              <w:t xml:space="preserve">Պարտադիր կարգով վերադաս բողոքարկման նախատեսումը չի հակասում դատարան դիմելու </w:t>
            </w:r>
            <w:r w:rsidRPr="003A5968">
              <w:rPr>
                <w:rFonts w:ascii="GHEA Grapalat" w:hAnsi="GHEA Grapalat"/>
                <w:sz w:val="24"/>
                <w:szCs w:val="24"/>
                <w:lang w:val="hy-AM"/>
              </w:rPr>
              <w:lastRenderedPageBreak/>
              <w:t xml:space="preserve">իրավունքին, քանի որ </w:t>
            </w:r>
            <w:r w:rsidR="002B2FC7" w:rsidRPr="003A5968">
              <w:rPr>
                <w:rFonts w:ascii="GHEA Grapalat" w:hAnsi="GHEA Grapalat"/>
                <w:sz w:val="24"/>
                <w:szCs w:val="24"/>
                <w:lang w:val="hy-AM"/>
              </w:rPr>
              <w:t>նշված պայմաններում անձը չի կորցնում դատարան դիմելու իրավունքը, այլ իր նկատմամբ կայացված վարչականա ակտը առավել սեղմ ժամկետներում բազմակողմանի և օբյեկտիվորեն վերանայելու հնարավորություն է ձեռք բերում</w:t>
            </w:r>
            <w:r w:rsidRPr="003A5968">
              <w:rPr>
                <w:rFonts w:ascii="GHEA Grapalat" w:hAnsi="GHEA Grapalat"/>
                <w:sz w:val="24"/>
                <w:szCs w:val="24"/>
                <w:lang w:val="hy-AM"/>
              </w:rPr>
              <w:t>։ Նախատեսված կարգավորում</w:t>
            </w:r>
            <w:r w:rsidR="00F72CAD" w:rsidRPr="003A5968">
              <w:rPr>
                <w:rFonts w:ascii="GHEA Grapalat" w:hAnsi="GHEA Grapalat"/>
                <w:sz w:val="24"/>
                <w:szCs w:val="24"/>
                <w:lang w:val="hy-AM"/>
              </w:rPr>
              <w:t>ներ</w:t>
            </w:r>
            <w:r w:rsidRPr="003A5968">
              <w:rPr>
                <w:rFonts w:ascii="GHEA Grapalat" w:hAnsi="GHEA Grapalat"/>
                <w:sz w:val="24"/>
                <w:szCs w:val="24"/>
                <w:lang w:val="hy-AM"/>
              </w:rPr>
              <w:t xml:space="preserve">ը չեն խախտում դատարան դիմելու իրավունքի բուն էությունը, այլ պարզապես սահմանում են պարտադիր նախնական ընթացակարգ դատարան դիմելու համար։ </w:t>
            </w:r>
            <w:r w:rsidR="00CE4C5D" w:rsidRPr="003A5968">
              <w:rPr>
                <w:rFonts w:ascii="GHEA Grapalat" w:hAnsi="GHEA Grapalat"/>
                <w:sz w:val="24"/>
                <w:szCs w:val="24"/>
                <w:lang w:val="hy-AM"/>
              </w:rPr>
              <w:t xml:space="preserve">Ավելին նման </w:t>
            </w:r>
            <w:r w:rsidR="00CE4C5D" w:rsidRPr="003A5968">
              <w:rPr>
                <w:rFonts w:ascii="GHEA Grapalat" w:hAnsi="GHEA Grapalat"/>
                <w:sz w:val="24"/>
                <w:szCs w:val="24"/>
                <w:lang w:val="hy-AM"/>
              </w:rPr>
              <w:lastRenderedPageBreak/>
              <w:t>պայմաններում անձը նաև լրացուցիչ ֆինանսական բեռ չի կրում։</w:t>
            </w:r>
          </w:p>
          <w:p w14:paraId="4C9C5A09" w14:textId="77777777" w:rsidR="00EA368C" w:rsidRPr="003A5968" w:rsidRDefault="00EA368C" w:rsidP="003A5968">
            <w:pPr>
              <w:spacing w:after="0" w:line="360" w:lineRule="auto"/>
              <w:ind w:right="245"/>
              <w:jc w:val="both"/>
              <w:rPr>
                <w:rFonts w:ascii="GHEA Grapalat" w:hAnsi="GHEA Grapalat"/>
                <w:sz w:val="24"/>
                <w:szCs w:val="24"/>
                <w:lang w:val="hy-AM"/>
              </w:rPr>
            </w:pPr>
          </w:p>
          <w:p w14:paraId="45C0F7B0" w14:textId="453E8CCC" w:rsidR="00EA368C" w:rsidRPr="003A5968" w:rsidRDefault="00EA368C" w:rsidP="003A5968">
            <w:pPr>
              <w:spacing w:after="0" w:line="360" w:lineRule="auto"/>
              <w:ind w:right="245"/>
              <w:jc w:val="center"/>
              <w:rPr>
                <w:rFonts w:ascii="GHEA Grapalat" w:hAnsi="GHEA Grapalat"/>
                <w:b/>
                <w:bCs/>
                <w:sz w:val="24"/>
                <w:szCs w:val="24"/>
                <w:lang w:val="hy-AM"/>
              </w:rPr>
            </w:pPr>
            <w:r w:rsidRPr="003A5968">
              <w:rPr>
                <w:rFonts w:ascii="GHEA Grapalat" w:hAnsi="GHEA Grapalat"/>
                <w:b/>
                <w:bCs/>
                <w:sz w:val="24"/>
                <w:szCs w:val="24"/>
                <w:lang w:val="hy-AM"/>
              </w:rPr>
              <w:t xml:space="preserve"> Չի </w:t>
            </w:r>
            <w:r w:rsidR="00AE7B86" w:rsidRPr="003A5968">
              <w:rPr>
                <w:rFonts w:ascii="GHEA Grapalat" w:hAnsi="GHEA Grapalat"/>
                <w:b/>
                <w:bCs/>
                <w:sz w:val="24"/>
                <w:szCs w:val="24"/>
                <w:lang w:val="hy-AM"/>
              </w:rPr>
              <w:t>ընդունվել</w:t>
            </w:r>
          </w:p>
          <w:p w14:paraId="2B655A21" w14:textId="77777777" w:rsidR="00CE4C5D" w:rsidRPr="003A5968" w:rsidRDefault="00CE4C5D" w:rsidP="003A5968">
            <w:pPr>
              <w:spacing w:after="0" w:line="360" w:lineRule="auto"/>
              <w:ind w:right="245"/>
              <w:jc w:val="both"/>
              <w:rPr>
                <w:rFonts w:ascii="GHEA Grapalat" w:eastAsia="GHEA Grapalat" w:hAnsi="GHEA Grapalat" w:cs="GHEA Grapalat"/>
                <w:color w:val="000000"/>
                <w:sz w:val="24"/>
                <w:szCs w:val="24"/>
                <w:lang w:val="hy-AM"/>
              </w:rPr>
            </w:pPr>
            <w:r w:rsidRPr="003A5968">
              <w:rPr>
                <w:rFonts w:ascii="GHEA Grapalat" w:eastAsia="GHEA Grapalat" w:hAnsi="GHEA Grapalat" w:cs="GHEA Grapalat"/>
                <w:color w:val="000000"/>
                <w:sz w:val="24"/>
                <w:szCs w:val="24"/>
                <w:lang w:val="hy-AM"/>
              </w:rPr>
              <w:t>Նախագրերի փաթեթով ներկայացված</w:t>
            </w:r>
            <w:r w:rsidR="00EA368C" w:rsidRPr="003A5968">
              <w:rPr>
                <w:rFonts w:ascii="GHEA Grapalat" w:eastAsia="GHEA Grapalat" w:hAnsi="GHEA Grapalat" w:cs="GHEA Grapalat"/>
                <w:color w:val="000000"/>
                <w:sz w:val="24"/>
                <w:szCs w:val="24"/>
                <w:lang w:val="hy-AM"/>
              </w:rPr>
              <w:t xml:space="preserve"> հիմնավորումը նպատակ չի հետապնդում </w:t>
            </w:r>
            <w:r w:rsidRPr="003A5968">
              <w:rPr>
                <w:rFonts w:ascii="GHEA Grapalat" w:eastAsia="GHEA Grapalat" w:hAnsi="GHEA Grapalat" w:cs="GHEA Grapalat"/>
                <w:color w:val="000000"/>
                <w:sz w:val="24"/>
                <w:szCs w:val="24"/>
                <w:lang w:val="hy-AM"/>
              </w:rPr>
              <w:t>փաստարկելու</w:t>
            </w:r>
            <w:r w:rsidR="00EA368C" w:rsidRPr="003A5968">
              <w:rPr>
                <w:rFonts w:ascii="GHEA Grapalat" w:eastAsia="GHEA Grapalat" w:hAnsi="GHEA Grapalat" w:cs="GHEA Grapalat"/>
                <w:color w:val="000000"/>
                <w:sz w:val="24"/>
                <w:szCs w:val="24"/>
                <w:lang w:val="hy-AM"/>
              </w:rPr>
              <w:t xml:space="preserve">, որ վարչական ակտերը </w:t>
            </w:r>
            <w:r w:rsidRPr="003A5968">
              <w:rPr>
                <w:rFonts w:ascii="GHEA Grapalat" w:eastAsia="GHEA Grapalat" w:hAnsi="GHEA Grapalat" w:cs="GHEA Grapalat"/>
                <w:color w:val="000000"/>
                <w:sz w:val="24"/>
                <w:szCs w:val="24"/>
                <w:lang w:val="hy-AM"/>
              </w:rPr>
              <w:t xml:space="preserve">կողմերը </w:t>
            </w:r>
            <w:r w:rsidR="00EA368C" w:rsidRPr="003A5968">
              <w:rPr>
                <w:rFonts w:ascii="GHEA Grapalat" w:eastAsia="GHEA Grapalat" w:hAnsi="GHEA Grapalat" w:cs="GHEA Grapalat"/>
                <w:color w:val="000000"/>
                <w:sz w:val="24"/>
                <w:szCs w:val="24"/>
                <w:lang w:val="hy-AM"/>
              </w:rPr>
              <w:t>վիճարկվում են դատարանում</w:t>
            </w:r>
            <w:r w:rsidR="00F72CAD" w:rsidRPr="003A5968">
              <w:rPr>
                <w:rFonts w:ascii="GHEA Grapalat" w:eastAsia="GHEA Grapalat" w:hAnsi="GHEA Grapalat" w:cs="GHEA Grapalat"/>
                <w:color w:val="000000"/>
                <w:sz w:val="24"/>
                <w:szCs w:val="24"/>
                <w:lang w:val="hy-AM"/>
              </w:rPr>
              <w:t xml:space="preserve"> </w:t>
            </w:r>
            <w:r w:rsidR="00EA368C" w:rsidRPr="003A5968">
              <w:rPr>
                <w:rFonts w:ascii="GHEA Grapalat" w:eastAsia="GHEA Grapalat" w:hAnsi="GHEA Grapalat" w:cs="GHEA Grapalat"/>
                <w:color w:val="000000"/>
                <w:sz w:val="24"/>
                <w:szCs w:val="24"/>
                <w:lang w:val="hy-AM"/>
              </w:rPr>
              <w:t xml:space="preserve">բացառապես </w:t>
            </w:r>
            <w:r w:rsidRPr="003A5968">
              <w:rPr>
                <w:rFonts w:ascii="GHEA Grapalat" w:eastAsia="GHEA Grapalat" w:hAnsi="GHEA Grapalat" w:cs="GHEA Grapalat"/>
                <w:color w:val="000000"/>
                <w:sz w:val="24"/>
                <w:szCs w:val="24"/>
                <w:lang w:val="hy-AM"/>
              </w:rPr>
              <w:t>մտադրված լինելով</w:t>
            </w:r>
            <w:r w:rsidR="00EA368C" w:rsidRPr="003A5968">
              <w:rPr>
                <w:rFonts w:ascii="GHEA Grapalat" w:eastAsia="GHEA Grapalat" w:hAnsi="GHEA Grapalat" w:cs="GHEA Grapalat"/>
                <w:color w:val="000000"/>
                <w:sz w:val="24"/>
                <w:szCs w:val="24"/>
                <w:lang w:val="hy-AM"/>
              </w:rPr>
              <w:t xml:space="preserve"> հետաձգել տուգանքի վճարման պարտավորության կատարումը։ Սա միայն հնարավոր անհիմն հայցադիմումների տեսակներից մեկն է։</w:t>
            </w:r>
          </w:p>
          <w:p w14:paraId="10EC0447" w14:textId="036965E3" w:rsidR="00E61FF2" w:rsidRPr="003A5968" w:rsidRDefault="00E13686" w:rsidP="003A5968">
            <w:pPr>
              <w:spacing w:after="0" w:line="360" w:lineRule="auto"/>
              <w:ind w:right="245"/>
              <w:jc w:val="both"/>
              <w:rPr>
                <w:rFonts w:ascii="GHEA Grapalat" w:hAnsi="GHEA Grapalat"/>
                <w:sz w:val="24"/>
                <w:szCs w:val="24"/>
                <w:lang w:val="hy-AM"/>
              </w:rPr>
            </w:pPr>
            <w:r w:rsidRPr="003A5968">
              <w:rPr>
                <w:rFonts w:ascii="GHEA Grapalat" w:hAnsi="GHEA Grapalat"/>
                <w:sz w:val="24"/>
                <w:szCs w:val="24"/>
                <w:lang w:val="hy-AM"/>
              </w:rPr>
              <w:lastRenderedPageBreak/>
              <w:t xml:space="preserve">  </w:t>
            </w:r>
            <w:r w:rsidR="00E61FF2" w:rsidRPr="003A5968">
              <w:rPr>
                <w:rFonts w:ascii="GHEA Grapalat" w:hAnsi="GHEA Grapalat"/>
                <w:sz w:val="24"/>
                <w:szCs w:val="24"/>
                <w:lang w:val="hy-AM"/>
              </w:rPr>
              <w:t xml:space="preserve">  </w:t>
            </w:r>
            <w:r w:rsidR="00CE4C5D" w:rsidRPr="003A5968">
              <w:rPr>
                <w:rFonts w:ascii="GHEA Grapalat" w:hAnsi="GHEA Grapalat"/>
                <w:sz w:val="24"/>
                <w:szCs w:val="24"/>
                <w:lang w:val="hy-AM"/>
              </w:rPr>
              <w:t>Բացի այդ, նախագծի կարագվորումներ</w:t>
            </w:r>
            <w:r w:rsidR="0083498E" w:rsidRPr="003A5968">
              <w:rPr>
                <w:rFonts w:ascii="GHEA Grapalat" w:hAnsi="GHEA Grapalat"/>
                <w:sz w:val="24"/>
                <w:szCs w:val="24"/>
                <w:lang w:val="hy-AM"/>
              </w:rPr>
              <w:t>ն</w:t>
            </w:r>
            <w:r w:rsidR="00CE4C5D" w:rsidRPr="003A5968">
              <w:rPr>
                <w:rFonts w:ascii="GHEA Grapalat" w:hAnsi="GHEA Grapalat"/>
                <w:sz w:val="24"/>
                <w:szCs w:val="24"/>
                <w:lang w:val="hy-AM"/>
              </w:rPr>
              <w:t xml:space="preserve"> ուղղված լինելով նպաստելու դատարանների անհիմն ծանրաբեռնվածությ</w:t>
            </w:r>
            <w:r w:rsidR="00AF69D1" w:rsidRPr="003A5968">
              <w:rPr>
                <w:rFonts w:ascii="GHEA Grapalat" w:hAnsi="GHEA Grapalat"/>
                <w:sz w:val="24"/>
                <w:szCs w:val="24"/>
                <w:lang w:val="hy-AM"/>
              </w:rPr>
              <w:t>ու</w:t>
            </w:r>
            <w:r w:rsidR="00CE4C5D" w:rsidRPr="003A5968">
              <w:rPr>
                <w:rFonts w:ascii="GHEA Grapalat" w:hAnsi="GHEA Grapalat"/>
                <w:sz w:val="24"/>
                <w:szCs w:val="24"/>
                <w:lang w:val="hy-AM"/>
              </w:rPr>
              <w:t>նը</w:t>
            </w:r>
            <w:r w:rsidR="00AF69D1" w:rsidRPr="003A5968">
              <w:rPr>
                <w:rFonts w:ascii="GHEA Grapalat" w:hAnsi="GHEA Grapalat"/>
                <w:sz w:val="24"/>
                <w:szCs w:val="24"/>
                <w:lang w:val="hy-AM"/>
              </w:rPr>
              <w:t xml:space="preserve"> թեթևացնելուն</w:t>
            </w:r>
            <w:r w:rsidR="00CE4C5D" w:rsidRPr="003A5968">
              <w:rPr>
                <w:rFonts w:ascii="GHEA Grapalat" w:hAnsi="GHEA Grapalat"/>
                <w:sz w:val="24"/>
                <w:szCs w:val="24"/>
                <w:lang w:val="hy-AM"/>
              </w:rPr>
              <w:t xml:space="preserve">, միաժամանակ </w:t>
            </w:r>
            <w:r w:rsidR="00AF69D1" w:rsidRPr="003A5968">
              <w:rPr>
                <w:rFonts w:ascii="GHEA Grapalat" w:hAnsi="GHEA Grapalat"/>
                <w:sz w:val="24"/>
                <w:szCs w:val="24"/>
                <w:lang w:val="hy-AM"/>
              </w:rPr>
              <w:t xml:space="preserve">նպատակ են հետապնդում </w:t>
            </w:r>
            <w:r w:rsidR="0083498E" w:rsidRPr="003A5968">
              <w:rPr>
                <w:rFonts w:ascii="GHEA Grapalat" w:hAnsi="GHEA Grapalat"/>
                <w:sz w:val="24"/>
                <w:szCs w:val="24"/>
                <w:lang w:val="hy-AM"/>
              </w:rPr>
              <w:t xml:space="preserve">կատարելգործելու </w:t>
            </w:r>
            <w:r w:rsidR="00AF69D1" w:rsidRPr="003A5968">
              <w:rPr>
                <w:rFonts w:ascii="GHEA Grapalat" w:hAnsi="GHEA Grapalat"/>
                <w:sz w:val="24"/>
                <w:szCs w:val="24"/>
                <w:lang w:val="hy-AM"/>
              </w:rPr>
              <w:t>վերադասության կարգով բողոքարկման ինստիտուտ</w:t>
            </w:r>
            <w:r w:rsidR="0083498E" w:rsidRPr="003A5968">
              <w:rPr>
                <w:rFonts w:ascii="GHEA Grapalat" w:hAnsi="GHEA Grapalat"/>
                <w:sz w:val="24"/>
                <w:szCs w:val="24"/>
                <w:lang w:val="hy-AM"/>
              </w:rPr>
              <w:t>ը</w:t>
            </w:r>
            <w:r w:rsidR="00AF69D1" w:rsidRPr="003A5968">
              <w:rPr>
                <w:rFonts w:ascii="GHEA Grapalat" w:hAnsi="GHEA Grapalat"/>
                <w:sz w:val="24"/>
                <w:szCs w:val="24"/>
                <w:lang w:val="hy-AM"/>
              </w:rPr>
              <w:t>։</w:t>
            </w:r>
          </w:p>
        </w:tc>
        <w:tc>
          <w:tcPr>
            <w:tcW w:w="2800" w:type="dxa"/>
            <w:tcBorders>
              <w:top w:val="single" w:sz="1" w:space="0" w:color="000000"/>
              <w:left w:val="single" w:sz="1" w:space="0" w:color="000000"/>
              <w:bottom w:val="single" w:sz="1" w:space="0" w:color="000000"/>
              <w:right w:val="single" w:sz="1" w:space="0" w:color="000000"/>
            </w:tcBorders>
          </w:tcPr>
          <w:p w14:paraId="496CD948" w14:textId="77777777" w:rsidR="00682DC4" w:rsidRPr="003A5968" w:rsidRDefault="00682DC4" w:rsidP="003A5968">
            <w:pPr>
              <w:spacing w:after="0" w:line="360" w:lineRule="auto"/>
              <w:jc w:val="center"/>
              <w:rPr>
                <w:rFonts w:ascii="GHEA Grapalat" w:hAnsi="GHEA Grapalat"/>
                <w:sz w:val="24"/>
                <w:szCs w:val="24"/>
                <w:lang w:val="hy-AM"/>
              </w:rPr>
            </w:pPr>
          </w:p>
        </w:tc>
      </w:tr>
      <w:tr w:rsidR="00AE7B86" w:rsidRPr="00757271" w14:paraId="3F6A4F6B" w14:textId="77777777" w:rsidTr="002917E3">
        <w:tc>
          <w:tcPr>
            <w:tcW w:w="458" w:type="dxa"/>
            <w:tcBorders>
              <w:top w:val="single" w:sz="1" w:space="0" w:color="000000"/>
              <w:left w:val="single" w:sz="1" w:space="0" w:color="000000"/>
              <w:bottom w:val="single" w:sz="1" w:space="0" w:color="000000"/>
              <w:right w:val="single" w:sz="1" w:space="0" w:color="000000"/>
            </w:tcBorders>
          </w:tcPr>
          <w:p w14:paraId="5D3C709A"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lastRenderedPageBreak/>
              <w:t>2</w:t>
            </w:r>
          </w:p>
        </w:tc>
        <w:tc>
          <w:tcPr>
            <w:tcW w:w="2191" w:type="dxa"/>
            <w:tcBorders>
              <w:top w:val="single" w:sz="1" w:space="0" w:color="000000"/>
              <w:left w:val="single" w:sz="1" w:space="0" w:color="000000"/>
              <w:bottom w:val="single" w:sz="1" w:space="0" w:color="000000"/>
              <w:right w:val="single" w:sz="1" w:space="0" w:color="000000"/>
            </w:tcBorders>
          </w:tcPr>
          <w:p w14:paraId="72B8B1DD"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Իրավունքի զարգացման և պաշտպանության հիմնադրամ</w:t>
            </w:r>
          </w:p>
          <w:p w14:paraId="328C5708"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15.11.2023 21:49:14</w:t>
            </w:r>
          </w:p>
        </w:tc>
        <w:tc>
          <w:tcPr>
            <w:tcW w:w="4930" w:type="dxa"/>
            <w:tcBorders>
              <w:top w:val="single" w:sz="1" w:space="0" w:color="000000"/>
              <w:left w:val="single" w:sz="1" w:space="0" w:color="000000"/>
              <w:bottom w:val="single" w:sz="1" w:space="0" w:color="000000"/>
              <w:right w:val="single" w:sz="1" w:space="0" w:color="000000"/>
            </w:tcBorders>
          </w:tcPr>
          <w:p w14:paraId="4CF3AF8A" w14:textId="3498EE3C"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 xml:space="preserve">Կարծիք  ««Պետական տուրքի մասին» Հայաստանի Հանրապետության օրենքում լրացում կատարելու մասին» ՀՀ օրենքի նախագծի վերաբերյալ  31.10.2023 թ.-ին Իրավական ակտերի նախագծերի հրապարակման միասնական կայքում ՀՀ Ներքին գործերի նախարարության կողմից քննարկման է ներկայացվել «Վարչական իրավախախտումների վերաբերյալ Հայաստանի Հանրապետության օրենսգրքում փոփոխություններ և լրացում կատարելու մասին» օրենքի և հարակից օրենքների նախագծերի փաթեթը, որը ներառում է նաև ««Պետական տուրքի մասին» Հայաստանի Հանրապետության օրենքում լրացում կատարելու մասին» ՀՀ օրենքի նախագիծը  (այսուհետ՝ նաև Նախագիծ):   Սույնով ներկայացնում ենք </w:t>
            </w:r>
            <w:r w:rsidRPr="003A5968">
              <w:rPr>
                <w:rFonts w:ascii="GHEA Grapalat" w:eastAsia="GHEA Grapalat" w:hAnsi="GHEA Grapalat" w:cs="GHEA Grapalat"/>
                <w:color w:val="000000"/>
                <w:sz w:val="24"/>
                <w:szCs w:val="24"/>
              </w:rPr>
              <w:lastRenderedPageBreak/>
              <w:t xml:space="preserve">մեր կարծիքը Նախագծի վերաբերյալ։ Նախագծով առաջարկվում է «Պետական տուրքի մասին» ՀՀ օրենքում կատարել լրացումներ, որոնցով նախատեսվում է ՀՀ ՆԳՆ ոստիկանության և դրա մարմինների դեմ ՀՀ վարչական դատարան ներկայացվող հայցադիմումների համար սահմանել մյուս վարչական մարմինների վարչական ակտերի դեմ ներկայացվող հայցադիմումների համար գանձվող պետական տուրքի համեմատ էապես ավելի բարձր չափի պետական տուրքեր։ Նախագծով առաջարկվող փոփոխություններն ըստ էության փաստարկվում են դատարանների անհարկի ծանրաբեռնվածությունը թոթափելու և պետության կողմից կատարվող դատական ծախսերի </w:t>
            </w:r>
            <w:r w:rsidRPr="003A5968">
              <w:rPr>
                <w:rFonts w:ascii="GHEA Grapalat" w:eastAsia="GHEA Grapalat" w:hAnsi="GHEA Grapalat" w:cs="GHEA Grapalat"/>
                <w:color w:val="000000"/>
                <w:sz w:val="24"/>
                <w:szCs w:val="24"/>
              </w:rPr>
              <w:lastRenderedPageBreak/>
              <w:t xml:space="preserve">հատուցանելիության մակարդակի բարձրացման անհրաժեշտությամբ։ Հարկ ենք համարում նշել, որ դատարան դիմելու համար պետական տուրքի սահմանումն առհասարակ իսկապես բխում է վերը մեջբերված նպատակից, և հենց այդ նպատակից ելնելով ՀՀ գործող օրենսդրությամբ արդեն իսկ սահմանված են դատարան դիմելու իրավունքի չարաշահումը կանխարգելող բավականին զսպող ազդեցություն ունեցող պետական տուրքեր, որոնց արդյունավետությունը այդ համատեքստում հիմնավորվում է հենց նախագծի հեղինակի կողմից ներկայացվող վիճակագրությամբ։   ՀՀ Սահմանադրական դատարանը ՍԴՈ-890 և ՍԴՈ-1655 որոշումների շրջանակներում, անդրադառնալով պետական տուրքեր </w:t>
            </w:r>
            <w:r w:rsidRPr="003A5968">
              <w:rPr>
                <w:rFonts w:ascii="GHEA Grapalat" w:eastAsia="GHEA Grapalat" w:hAnsi="GHEA Grapalat" w:cs="GHEA Grapalat"/>
                <w:color w:val="000000"/>
                <w:sz w:val="24"/>
                <w:szCs w:val="24"/>
              </w:rPr>
              <w:lastRenderedPageBreak/>
              <w:t xml:space="preserve">վճարելու պարտականությանը, նշված սահմանադրական պարտականության և դատարանի մատչելիության իրավունքի հարաբերակցությանը, պետական տուրքի բովանդակությանը, դերին ու նշանակությանը, գտել է, որ դատարաններում պետական տուրք վճարելու պարտականության սահմանումը կարող է հետապնդել բացառապես 2 նպատակ, այն է՝ փոխհատուցել պետության` արդարադատության իրականացման հետ կապված ծախսերը և կանխարգելել ակնհայտ անհիմն հայցադիմումների հոսքը, դատարան դիմելու իրավունքի չարաշահումը՝ դատարանների անհարկի ծանրաբեռնվածությունից խուսափելու համար:  Նշված համատեքստում պետք է </w:t>
            </w:r>
            <w:r w:rsidRPr="003A5968">
              <w:rPr>
                <w:rFonts w:ascii="GHEA Grapalat" w:eastAsia="GHEA Grapalat" w:hAnsi="GHEA Grapalat" w:cs="GHEA Grapalat"/>
                <w:color w:val="000000"/>
                <w:sz w:val="24"/>
                <w:szCs w:val="24"/>
              </w:rPr>
              <w:lastRenderedPageBreak/>
              <w:t xml:space="preserve">նկատել, որ առնվազն հեղինակը հիմնավոր փաստարկ չի ներկայացրել առ այն, որ  հատկապես ՆԳՆ ոստիկանության դեմ է, որ ներկայացվում են առավել շատ անհիմն հայցադիմումներ, կամ որ այդ տեսակ գործերն ունեն մյուսների համեմատ առավել բարդ բնույթ, ինչը հանգեցնում է պետության համար դրանց քննության ավելի մեծ ծախսատարության և որպես հետևանք ծախսերի հատուցանելիության մակարդակը այլ գործերին հավասար պահելու նպատակով պետական տուրքերի ավելի բարձր դրույքաչափեր կիրառելու անհրաժեշտություն առաջացնում։  Ավելին, քննարկվող նախագծի հետ մեկտեղ քննարկման է ներկայացված նաև «Վարչական դատավարության օրենսգրքում փոփոխություններ և </w:t>
            </w:r>
            <w:r w:rsidRPr="003A5968">
              <w:rPr>
                <w:rFonts w:ascii="GHEA Grapalat" w:eastAsia="GHEA Grapalat" w:hAnsi="GHEA Grapalat" w:cs="GHEA Grapalat"/>
                <w:color w:val="000000"/>
                <w:sz w:val="24"/>
                <w:szCs w:val="24"/>
              </w:rPr>
              <w:lastRenderedPageBreak/>
              <w:t xml:space="preserve">լրացումներ կատարելու մասին» ՀՀ օրենքի նախագիծ, որով, ի թիվս այլնի, նախատեսվում է, որ ՀՀ ՆԳՆ ոստիկանության և դրա մարմինների դեմ ներկայացվող հայցադիմումների քննությունը, անկախ ներկայացված հայցատեսակից, իրականացվում է գրավոր ընթացակարգով, ինչից բխում է, որ հեղինակն ինքն ունի այն համոզմունքը, որ նշված տեսակի գործերը ոչ միայն ավելի բարդ և պետության համար առավել ծախսատար չեն համեմատ մյուս վարչական ակտերի դեմ քննվողների, այլ ճիշտ հակառակը՝ մեծապես չեն հանդիսանում բարդ գործեր, ինչը թույլ է տալիս որպես կանոն դրանք քննել առավել պարզեցված՝ գրավոր կարգով։  Վերը նշվածը հիմք ընդունելով՝ ակնհայտ է, որ առկա չէ </w:t>
            </w:r>
            <w:r w:rsidRPr="003A5968">
              <w:rPr>
                <w:rFonts w:ascii="GHEA Grapalat" w:eastAsia="GHEA Grapalat" w:hAnsi="GHEA Grapalat" w:cs="GHEA Grapalat"/>
                <w:color w:val="000000"/>
                <w:sz w:val="24"/>
                <w:szCs w:val="24"/>
              </w:rPr>
              <w:lastRenderedPageBreak/>
              <w:t xml:space="preserve">տարբերակված մոտեցում ցուցաբերելու իրավաչափ և օբյեկտիվ որևէ հիմք՝ հատուկ մոտեցում ցուցաբերելու համար հատկապես ՆԳՆ ոստիկանության և դրա մարմինների դեմ ներկայացվող հայցադիմումների մասով։ Գտնում ենք, որ նախագծի ընդունման արդյունքում կխախտվի դատարան դիմելու իրավունք ունեցող անձանց՝ ՀՀ Սահմանադրության 29-րդ հոդվածով նախատեսված՝ խտրականության բոլոր ձևերից զերծ մնալու հիմնարար երաշխիքը և առաջարկում ենք հանրային քննարկման ներկայացված փաթեթից հանել ««Պետական տուրքի մասին» Հայաստանի Հանրապետության օրենքում լրացում կատարելու մասին» ՀՀ օրենքի նախագիծը։  Իրավունքի </w:t>
            </w:r>
            <w:r w:rsidRPr="003A5968">
              <w:rPr>
                <w:rFonts w:ascii="GHEA Grapalat" w:eastAsia="GHEA Grapalat" w:hAnsi="GHEA Grapalat" w:cs="GHEA Grapalat"/>
                <w:color w:val="000000"/>
                <w:sz w:val="24"/>
                <w:szCs w:val="24"/>
              </w:rPr>
              <w:lastRenderedPageBreak/>
              <w:t>զարգացման և պաշտպանության հիմնադրամ</w:t>
            </w:r>
          </w:p>
        </w:tc>
        <w:tc>
          <w:tcPr>
            <w:tcW w:w="3588" w:type="dxa"/>
            <w:tcBorders>
              <w:top w:val="single" w:sz="1" w:space="0" w:color="000000"/>
              <w:left w:val="single" w:sz="1" w:space="0" w:color="000000"/>
              <w:bottom w:val="single" w:sz="1" w:space="0" w:color="000000"/>
              <w:right w:val="single" w:sz="1" w:space="0" w:color="000000"/>
            </w:tcBorders>
          </w:tcPr>
          <w:p w14:paraId="3A38FC69" w14:textId="3141DC40" w:rsidR="00682DC4" w:rsidRPr="003A5968" w:rsidRDefault="00EA368C" w:rsidP="003A5968">
            <w:pPr>
              <w:spacing w:after="0" w:line="360" w:lineRule="auto"/>
              <w:jc w:val="center"/>
              <w:rPr>
                <w:rFonts w:ascii="GHEA Grapalat" w:hAnsi="GHEA Grapalat"/>
                <w:b/>
                <w:bCs/>
                <w:sz w:val="24"/>
                <w:szCs w:val="24"/>
                <w:lang w:val="hy-AM"/>
              </w:rPr>
            </w:pPr>
            <w:r w:rsidRPr="003A5968">
              <w:rPr>
                <w:rFonts w:ascii="GHEA Grapalat" w:hAnsi="GHEA Grapalat"/>
                <w:b/>
                <w:bCs/>
                <w:sz w:val="24"/>
                <w:szCs w:val="24"/>
                <w:lang w:val="hy-AM"/>
              </w:rPr>
              <w:lastRenderedPageBreak/>
              <w:t xml:space="preserve">Չի </w:t>
            </w:r>
            <w:r w:rsidR="00AE7B86" w:rsidRPr="003A5968">
              <w:rPr>
                <w:rFonts w:ascii="GHEA Grapalat" w:hAnsi="GHEA Grapalat"/>
                <w:b/>
                <w:bCs/>
                <w:sz w:val="24"/>
                <w:szCs w:val="24"/>
                <w:lang w:val="hy-AM"/>
              </w:rPr>
              <w:t>ընդունվել</w:t>
            </w:r>
          </w:p>
          <w:p w14:paraId="0CA808E2" w14:textId="773CB1AA" w:rsidR="00EA368C" w:rsidRPr="003A5968" w:rsidRDefault="00EA368C" w:rsidP="003A5968">
            <w:pPr>
              <w:spacing w:after="0" w:line="360" w:lineRule="auto"/>
              <w:jc w:val="both"/>
              <w:rPr>
                <w:rFonts w:ascii="GHEA Grapalat" w:eastAsia="GHEA Grapalat" w:hAnsi="GHEA Grapalat" w:cs="GHEA Grapalat"/>
                <w:color w:val="000000"/>
                <w:sz w:val="24"/>
                <w:szCs w:val="24"/>
                <w:lang w:val="hy-AM"/>
              </w:rPr>
            </w:pPr>
            <w:r w:rsidRPr="003A5968">
              <w:rPr>
                <w:rFonts w:ascii="GHEA Grapalat" w:hAnsi="GHEA Grapalat"/>
                <w:sz w:val="24"/>
                <w:szCs w:val="24"/>
                <w:lang w:val="hy-AM"/>
              </w:rPr>
              <w:t>1</w:t>
            </w:r>
            <w:r w:rsidRPr="003A5968">
              <w:rPr>
                <w:rFonts w:ascii="Cambria Math" w:hAnsi="Cambria Math" w:cs="Cambria Math"/>
                <w:sz w:val="24"/>
                <w:szCs w:val="24"/>
                <w:lang w:val="hy-AM"/>
              </w:rPr>
              <w:t>․</w:t>
            </w:r>
            <w:r w:rsidRPr="003A5968">
              <w:rPr>
                <w:rFonts w:ascii="GHEA Grapalat" w:hAnsi="GHEA Grapalat"/>
                <w:sz w:val="24"/>
                <w:szCs w:val="24"/>
                <w:lang w:val="hy-AM"/>
              </w:rPr>
              <w:t xml:space="preserve"> </w:t>
            </w:r>
            <w:r w:rsidR="0083498E" w:rsidRPr="003A5968">
              <w:rPr>
                <w:rFonts w:ascii="GHEA Grapalat" w:hAnsi="GHEA Grapalat"/>
                <w:sz w:val="24"/>
                <w:szCs w:val="24"/>
                <w:lang w:val="hy-AM"/>
              </w:rPr>
              <w:t>Պ</w:t>
            </w:r>
            <w:r w:rsidRPr="003A5968">
              <w:rPr>
                <w:rFonts w:ascii="GHEA Grapalat" w:eastAsia="GHEA Grapalat" w:hAnsi="GHEA Grapalat" w:cs="GHEA Grapalat"/>
                <w:color w:val="000000"/>
                <w:sz w:val="24"/>
                <w:szCs w:val="24"/>
                <w:lang w:val="hy-AM"/>
              </w:rPr>
              <w:t>ետական տուրքեր</w:t>
            </w:r>
            <w:r w:rsidR="0083498E" w:rsidRPr="003A5968">
              <w:rPr>
                <w:rFonts w:ascii="GHEA Grapalat" w:eastAsia="GHEA Grapalat" w:hAnsi="GHEA Grapalat" w:cs="GHEA Grapalat"/>
                <w:color w:val="000000"/>
                <w:sz w:val="24"/>
                <w:szCs w:val="24"/>
                <w:lang w:val="hy-AM"/>
              </w:rPr>
              <w:t>ի չ</w:t>
            </w:r>
            <w:r w:rsidRPr="003A5968">
              <w:rPr>
                <w:rFonts w:ascii="GHEA Grapalat" w:eastAsia="GHEA Grapalat" w:hAnsi="GHEA Grapalat" w:cs="GHEA Grapalat"/>
                <w:color w:val="000000"/>
                <w:sz w:val="24"/>
                <w:szCs w:val="24"/>
                <w:lang w:val="hy-AM"/>
              </w:rPr>
              <w:t xml:space="preserve">ափերը սահմանելիս հաշվի </w:t>
            </w:r>
            <w:r w:rsidR="00F72CAD" w:rsidRPr="003A5968">
              <w:rPr>
                <w:rFonts w:ascii="GHEA Grapalat" w:eastAsia="GHEA Grapalat" w:hAnsi="GHEA Grapalat" w:cs="GHEA Grapalat"/>
                <w:color w:val="000000"/>
                <w:sz w:val="24"/>
                <w:szCs w:val="24"/>
                <w:lang w:val="hy-AM"/>
              </w:rPr>
              <w:t xml:space="preserve">է </w:t>
            </w:r>
            <w:r w:rsidRPr="003A5968">
              <w:rPr>
                <w:rFonts w:ascii="GHEA Grapalat" w:eastAsia="GHEA Grapalat" w:hAnsi="GHEA Grapalat" w:cs="GHEA Grapalat"/>
                <w:color w:val="000000"/>
                <w:sz w:val="24"/>
                <w:szCs w:val="24"/>
                <w:lang w:val="hy-AM"/>
              </w:rPr>
              <w:t xml:space="preserve">առնվել այն հանգամանքը, որ այն չպետք է խոչընդոտ հանդիսանա դատարան դիմելու իրավունքի </w:t>
            </w:r>
            <w:r w:rsidR="00F72CAD" w:rsidRPr="003A5968">
              <w:rPr>
                <w:rFonts w:ascii="GHEA Grapalat" w:eastAsia="GHEA Grapalat" w:hAnsi="GHEA Grapalat" w:cs="GHEA Grapalat"/>
                <w:color w:val="000000"/>
                <w:sz w:val="24"/>
                <w:szCs w:val="24"/>
                <w:lang w:val="hy-AM"/>
              </w:rPr>
              <w:t>իրացման համար։</w:t>
            </w:r>
          </w:p>
          <w:p w14:paraId="6E78D02C" w14:textId="50DA5CEC" w:rsidR="0083498E" w:rsidRPr="003A5968" w:rsidRDefault="0083498E" w:rsidP="003A5968">
            <w:pPr>
              <w:spacing w:after="0" w:line="360" w:lineRule="auto"/>
              <w:jc w:val="both"/>
              <w:rPr>
                <w:rFonts w:ascii="GHEA Grapalat" w:eastAsia="GHEA Grapalat" w:hAnsi="GHEA Grapalat" w:cs="GHEA Grapalat"/>
                <w:color w:val="000000"/>
                <w:sz w:val="24"/>
                <w:szCs w:val="24"/>
                <w:lang w:val="hy-AM"/>
              </w:rPr>
            </w:pPr>
            <w:r w:rsidRPr="003A5968">
              <w:rPr>
                <w:rFonts w:ascii="GHEA Grapalat" w:eastAsia="GHEA Grapalat" w:hAnsi="GHEA Grapalat" w:cs="GHEA Grapalat"/>
                <w:color w:val="000000"/>
                <w:sz w:val="24"/>
                <w:szCs w:val="24"/>
                <w:lang w:val="hy-AM"/>
              </w:rPr>
              <w:t>Նախագծով նախատեսվել է բարձրացնել իրավախախտման վերաբերյալ որոշման դատական կարգով գանգատարկման համար սահմանված պետական տուրքի չափը՝ պահպանելով դատարանի դատարան դիմելու սահմանադրաիրավական և կոնվենցիոն իրավունքի իրացման մատչելիությունը։</w:t>
            </w:r>
          </w:p>
          <w:p w14:paraId="642BA572" w14:textId="7D092A8C" w:rsidR="0083498E" w:rsidRPr="003A5968" w:rsidRDefault="0083498E" w:rsidP="003A5968">
            <w:pPr>
              <w:spacing w:after="0" w:line="360" w:lineRule="auto"/>
              <w:jc w:val="both"/>
              <w:rPr>
                <w:rFonts w:ascii="GHEA Grapalat" w:eastAsia="GHEA Grapalat" w:hAnsi="GHEA Grapalat" w:cs="GHEA Grapalat"/>
                <w:color w:val="000000"/>
                <w:sz w:val="24"/>
                <w:szCs w:val="24"/>
                <w:lang w:val="hy-AM"/>
              </w:rPr>
            </w:pPr>
            <w:r w:rsidRPr="003A5968">
              <w:rPr>
                <w:rFonts w:ascii="GHEA Grapalat" w:eastAsia="GHEA Grapalat" w:hAnsi="GHEA Grapalat" w:cs="GHEA Grapalat"/>
                <w:color w:val="000000"/>
                <w:sz w:val="24"/>
                <w:szCs w:val="24"/>
                <w:lang w:val="hy-AM"/>
              </w:rPr>
              <w:lastRenderedPageBreak/>
              <w:t xml:space="preserve">Բացի այդ, </w:t>
            </w:r>
            <w:r w:rsidR="00227A67" w:rsidRPr="003A5968">
              <w:rPr>
                <w:rFonts w:ascii="GHEA Grapalat" w:eastAsia="GHEA Grapalat" w:hAnsi="GHEA Grapalat" w:cs="GHEA Grapalat"/>
                <w:color w:val="000000"/>
                <w:sz w:val="24"/>
                <w:szCs w:val="24"/>
                <w:lang w:val="hy-AM"/>
              </w:rPr>
              <w:t xml:space="preserve">հիմնավորմամբ արդեն իսկ ներկայացվել է վիճակագրություն 2021 թվականին պետական տուրքի փոփոխության ազդեցությունը վարչական դատարան մուտքագրվող հայցերի ընդհանուր թվի նվազման վերաբերյալ։ </w:t>
            </w:r>
          </w:p>
          <w:p w14:paraId="63B23784" w14:textId="4916BED4" w:rsidR="00227A67" w:rsidRPr="003A5968" w:rsidRDefault="00227A67" w:rsidP="003A5968">
            <w:pPr>
              <w:spacing w:after="0" w:line="360" w:lineRule="auto"/>
              <w:jc w:val="both"/>
              <w:rPr>
                <w:rFonts w:ascii="GHEA Grapalat" w:eastAsia="GHEA Grapalat" w:hAnsi="GHEA Grapalat" w:cs="GHEA Grapalat"/>
                <w:color w:val="000000"/>
                <w:sz w:val="24"/>
                <w:szCs w:val="24"/>
                <w:lang w:val="hy-AM"/>
              </w:rPr>
            </w:pPr>
            <w:r w:rsidRPr="003A5968">
              <w:rPr>
                <w:rFonts w:ascii="GHEA Grapalat" w:eastAsia="GHEA Grapalat" w:hAnsi="GHEA Grapalat" w:cs="GHEA Grapalat"/>
                <w:color w:val="000000"/>
                <w:sz w:val="24"/>
                <w:szCs w:val="24"/>
                <w:lang w:val="hy-AM"/>
              </w:rPr>
              <w:t xml:space="preserve">Ընդ որում հաշվի է առնվել նաև միջազգային փորձը, մասնավորապես, Հոլանդիայի, Գերմանիայի և Ֆրանսիայի, որտեղ նախատեսված են համեմատաբար ավելի բարձր պետական տուրքի դրույքաչափեր դատարան դիմելու համար, որը նպատակ է </w:t>
            </w:r>
            <w:r w:rsidRPr="003A5968">
              <w:rPr>
                <w:rFonts w:ascii="GHEA Grapalat" w:eastAsia="GHEA Grapalat" w:hAnsi="GHEA Grapalat" w:cs="GHEA Grapalat"/>
                <w:color w:val="000000"/>
                <w:sz w:val="24"/>
                <w:szCs w:val="24"/>
                <w:lang w:val="hy-AM"/>
              </w:rPr>
              <w:lastRenderedPageBreak/>
              <w:t>հետապնդում բացառել դատական իրավունքի չարաշահումները և լրացուցիչ բեռ չդնել դատավարական սուբյեկտ չհանդիսացող անձանց վրա։</w:t>
            </w:r>
          </w:p>
          <w:p w14:paraId="25696F2A" w14:textId="77777777" w:rsidR="00EA368C" w:rsidRPr="003A5968" w:rsidRDefault="00EA368C" w:rsidP="003A5968">
            <w:pPr>
              <w:spacing w:after="0" w:line="360" w:lineRule="auto"/>
              <w:jc w:val="both"/>
              <w:rPr>
                <w:rFonts w:ascii="GHEA Grapalat" w:eastAsia="GHEA Grapalat" w:hAnsi="GHEA Grapalat" w:cs="GHEA Grapalat"/>
                <w:color w:val="000000"/>
                <w:sz w:val="24"/>
                <w:szCs w:val="24"/>
                <w:lang w:val="hy-AM"/>
              </w:rPr>
            </w:pPr>
          </w:p>
          <w:p w14:paraId="754A517E" w14:textId="0B95F91A" w:rsidR="00EA368C" w:rsidRPr="003A5968" w:rsidRDefault="00EA368C" w:rsidP="003A5968">
            <w:pPr>
              <w:spacing w:after="0" w:line="360" w:lineRule="auto"/>
              <w:jc w:val="both"/>
              <w:rPr>
                <w:rFonts w:ascii="GHEA Grapalat" w:eastAsia="GHEA Grapalat" w:hAnsi="GHEA Grapalat" w:cs="GHEA Grapalat"/>
                <w:color w:val="000000"/>
                <w:sz w:val="24"/>
                <w:szCs w:val="24"/>
                <w:lang w:val="hy-AM"/>
              </w:rPr>
            </w:pPr>
            <w:r w:rsidRPr="003A5968">
              <w:rPr>
                <w:rFonts w:ascii="GHEA Grapalat" w:eastAsia="GHEA Grapalat" w:hAnsi="GHEA Grapalat" w:cs="GHEA Grapalat"/>
                <w:color w:val="000000"/>
                <w:sz w:val="24"/>
                <w:szCs w:val="24"/>
                <w:lang w:val="hy-AM"/>
              </w:rPr>
              <w:t>2</w:t>
            </w:r>
            <w:r w:rsidRPr="003A5968">
              <w:rPr>
                <w:rFonts w:ascii="Cambria Math" w:eastAsia="GHEA Grapalat" w:hAnsi="Cambria Math" w:cs="Cambria Math"/>
                <w:color w:val="000000"/>
                <w:sz w:val="24"/>
                <w:szCs w:val="24"/>
                <w:lang w:val="hy-AM"/>
              </w:rPr>
              <w:t>․</w:t>
            </w:r>
            <w:r w:rsidR="00227A67" w:rsidRPr="003A5968">
              <w:rPr>
                <w:rFonts w:ascii="GHEA Grapalat" w:eastAsia="GHEA Grapalat" w:hAnsi="GHEA Grapalat" w:cs="Cambria Math"/>
                <w:color w:val="000000"/>
                <w:sz w:val="24"/>
                <w:szCs w:val="24"/>
                <w:lang w:val="hy-AM"/>
              </w:rPr>
              <w:t xml:space="preserve"> </w:t>
            </w:r>
            <w:r w:rsidRPr="003A5968">
              <w:rPr>
                <w:rFonts w:ascii="GHEA Grapalat" w:eastAsia="GHEA Grapalat" w:hAnsi="GHEA Grapalat" w:cs="GHEA Grapalat"/>
                <w:color w:val="000000"/>
                <w:sz w:val="24"/>
                <w:szCs w:val="24"/>
                <w:lang w:val="hy-AM"/>
              </w:rPr>
              <w:t>Հիմ</w:t>
            </w:r>
            <w:r w:rsidR="00AF69D1" w:rsidRPr="003A5968">
              <w:rPr>
                <w:rFonts w:ascii="GHEA Grapalat" w:eastAsia="GHEA Grapalat" w:hAnsi="GHEA Grapalat" w:cs="GHEA Grapalat"/>
                <w:color w:val="000000"/>
                <w:sz w:val="24"/>
                <w:szCs w:val="24"/>
                <w:lang w:val="hy-AM"/>
              </w:rPr>
              <w:t>ն</w:t>
            </w:r>
            <w:r w:rsidRPr="003A5968">
              <w:rPr>
                <w:rFonts w:ascii="GHEA Grapalat" w:eastAsia="GHEA Grapalat" w:hAnsi="GHEA Grapalat" w:cs="GHEA Grapalat"/>
                <w:color w:val="000000"/>
                <w:sz w:val="24"/>
                <w:szCs w:val="24"/>
                <w:lang w:val="hy-AM"/>
              </w:rPr>
              <w:t xml:space="preserve">վարումները առ այն, որ պետական տուրքի չափի սահմանումը կարող </w:t>
            </w:r>
            <w:r w:rsidR="00F72CAD" w:rsidRPr="003A5968">
              <w:rPr>
                <w:rFonts w:ascii="GHEA Grapalat" w:eastAsia="GHEA Grapalat" w:hAnsi="GHEA Grapalat" w:cs="GHEA Grapalat"/>
                <w:color w:val="000000"/>
                <w:sz w:val="24"/>
                <w:szCs w:val="24"/>
                <w:lang w:val="hy-AM"/>
              </w:rPr>
              <w:t>է</w:t>
            </w:r>
            <w:r w:rsidRPr="003A5968">
              <w:rPr>
                <w:rFonts w:ascii="GHEA Grapalat" w:eastAsia="GHEA Grapalat" w:hAnsi="GHEA Grapalat" w:cs="GHEA Grapalat"/>
                <w:color w:val="000000"/>
                <w:sz w:val="24"/>
                <w:szCs w:val="24"/>
                <w:lang w:val="hy-AM"/>
              </w:rPr>
              <w:t xml:space="preserve"> ուղղ</w:t>
            </w:r>
            <w:r w:rsidR="00F72CAD" w:rsidRPr="003A5968">
              <w:rPr>
                <w:rFonts w:ascii="GHEA Grapalat" w:eastAsia="GHEA Grapalat" w:hAnsi="GHEA Grapalat" w:cs="GHEA Grapalat"/>
                <w:color w:val="000000"/>
                <w:sz w:val="24"/>
                <w:szCs w:val="24"/>
                <w:lang w:val="hy-AM"/>
              </w:rPr>
              <w:t>վ</w:t>
            </w:r>
            <w:r w:rsidRPr="003A5968">
              <w:rPr>
                <w:rFonts w:ascii="GHEA Grapalat" w:eastAsia="GHEA Grapalat" w:hAnsi="GHEA Grapalat" w:cs="GHEA Grapalat"/>
                <w:color w:val="000000"/>
                <w:sz w:val="24"/>
                <w:szCs w:val="24"/>
                <w:lang w:val="hy-AM"/>
              </w:rPr>
              <w:t xml:space="preserve">ած լինել բացառապես </w:t>
            </w:r>
            <w:r w:rsidR="00AE7B86" w:rsidRPr="003A5968">
              <w:rPr>
                <w:rFonts w:ascii="GHEA Grapalat" w:eastAsia="GHEA Grapalat" w:hAnsi="GHEA Grapalat" w:cs="GHEA Grapalat"/>
                <w:color w:val="000000"/>
                <w:sz w:val="24"/>
                <w:szCs w:val="24"/>
                <w:lang w:val="hy-AM"/>
              </w:rPr>
              <w:t>արդարադատության իրականացման համար դատարանի ծախսերը փոխհատուցելուն և կանխելուն անհիմն հայցադիմումների հոսքը</w:t>
            </w:r>
            <w:r w:rsidR="00F72CAD" w:rsidRPr="003A5968">
              <w:rPr>
                <w:rFonts w:ascii="GHEA Grapalat" w:eastAsia="GHEA Grapalat" w:hAnsi="GHEA Grapalat" w:cs="GHEA Grapalat"/>
                <w:color w:val="000000"/>
                <w:sz w:val="24"/>
                <w:szCs w:val="24"/>
                <w:lang w:val="hy-AM"/>
              </w:rPr>
              <w:t>,</w:t>
            </w:r>
            <w:r w:rsidR="00AE7B86" w:rsidRPr="003A5968">
              <w:rPr>
                <w:rFonts w:ascii="GHEA Grapalat" w:eastAsia="GHEA Grapalat" w:hAnsi="GHEA Grapalat" w:cs="GHEA Grapalat"/>
                <w:color w:val="000000"/>
                <w:sz w:val="24"/>
                <w:szCs w:val="24"/>
                <w:lang w:val="hy-AM"/>
              </w:rPr>
              <w:t xml:space="preserve"> լիովին ընդունելի են։ Սակայն գործող </w:t>
            </w:r>
            <w:r w:rsidR="00AE7B86" w:rsidRPr="003A5968">
              <w:rPr>
                <w:rFonts w:ascii="GHEA Grapalat" w:eastAsia="GHEA Grapalat" w:hAnsi="GHEA Grapalat" w:cs="GHEA Grapalat"/>
                <w:color w:val="000000"/>
                <w:sz w:val="24"/>
                <w:szCs w:val="24"/>
                <w:lang w:val="hy-AM"/>
              </w:rPr>
              <w:lastRenderedPageBreak/>
              <w:t>կարգվորումները չեն փոխհատուցում  դատարանի ծախսերը և չեն կանխում անհիմն հայցադիմումները բավարար չափով, ինչի մասին վկայում են ներկայացված հիմնավորումները</w:t>
            </w:r>
            <w:r w:rsidR="00AF69D1" w:rsidRPr="003A5968">
              <w:rPr>
                <w:rFonts w:ascii="GHEA Grapalat" w:eastAsia="GHEA Grapalat" w:hAnsi="GHEA Grapalat" w:cs="GHEA Grapalat"/>
                <w:color w:val="000000"/>
                <w:sz w:val="24"/>
                <w:szCs w:val="24"/>
                <w:lang w:val="hy-AM"/>
              </w:rPr>
              <w:t>։</w:t>
            </w:r>
          </w:p>
          <w:p w14:paraId="4E0A01D0" w14:textId="77777777" w:rsidR="00AF69D1" w:rsidRPr="003A5968" w:rsidRDefault="00AF69D1" w:rsidP="003A5968">
            <w:pPr>
              <w:spacing w:after="0" w:line="360" w:lineRule="auto"/>
              <w:jc w:val="both"/>
              <w:rPr>
                <w:rFonts w:ascii="GHEA Grapalat" w:eastAsia="GHEA Grapalat" w:hAnsi="GHEA Grapalat" w:cs="GHEA Grapalat"/>
                <w:color w:val="000000"/>
                <w:sz w:val="24"/>
                <w:szCs w:val="24"/>
                <w:lang w:val="hy-AM"/>
              </w:rPr>
            </w:pPr>
          </w:p>
          <w:p w14:paraId="41D3C32F" w14:textId="09AD94D8" w:rsidR="00AE7B86" w:rsidRPr="003A5968" w:rsidRDefault="00AE7B86" w:rsidP="003A5968">
            <w:pPr>
              <w:spacing w:after="0" w:line="360" w:lineRule="auto"/>
              <w:jc w:val="center"/>
              <w:rPr>
                <w:rFonts w:ascii="GHEA Grapalat" w:eastAsia="GHEA Grapalat" w:hAnsi="GHEA Grapalat" w:cs="GHEA Grapalat"/>
                <w:b/>
                <w:bCs/>
                <w:color w:val="000000"/>
                <w:sz w:val="24"/>
                <w:szCs w:val="24"/>
                <w:lang w:val="hy-AM"/>
              </w:rPr>
            </w:pPr>
            <w:r w:rsidRPr="003A5968">
              <w:rPr>
                <w:rFonts w:ascii="GHEA Grapalat" w:eastAsia="GHEA Grapalat" w:hAnsi="GHEA Grapalat" w:cs="GHEA Grapalat"/>
                <w:b/>
                <w:bCs/>
                <w:color w:val="000000"/>
                <w:sz w:val="24"/>
                <w:szCs w:val="24"/>
                <w:lang w:val="hy-AM"/>
              </w:rPr>
              <w:t>Չի ընդունվել</w:t>
            </w:r>
          </w:p>
          <w:p w14:paraId="1DCDA98A" w14:textId="77777777" w:rsidR="00AE7B86" w:rsidRPr="003A5968" w:rsidRDefault="00AE7B86" w:rsidP="003A5968">
            <w:pPr>
              <w:spacing w:after="0" w:line="360" w:lineRule="auto"/>
              <w:ind w:right="103"/>
              <w:jc w:val="both"/>
              <w:rPr>
                <w:rFonts w:ascii="GHEA Grapalat" w:eastAsia="GHEA Grapalat" w:hAnsi="GHEA Grapalat" w:cs="GHEA Grapalat"/>
                <w:color w:val="000000"/>
                <w:sz w:val="24"/>
                <w:szCs w:val="24"/>
                <w:lang w:val="hy-AM"/>
              </w:rPr>
            </w:pPr>
            <w:r w:rsidRPr="003A5968">
              <w:rPr>
                <w:rFonts w:ascii="GHEA Grapalat" w:eastAsia="GHEA Grapalat" w:hAnsi="GHEA Grapalat" w:cs="GHEA Grapalat"/>
                <w:color w:val="000000"/>
                <w:sz w:val="24"/>
                <w:szCs w:val="24"/>
                <w:lang w:val="hy-AM"/>
              </w:rPr>
              <w:t xml:space="preserve">Պարտադիր գրավոր ընթացակարգի նախատեսումը չի փաստում այն մասին, որ ըստ նախագծի հեղինակի փաստական բարդ հանգամանքներով գործեր չեն կարող ներկայացվել ՆԳՆ ոստիկանության դեմ։ Այդպիսի դեպքերի համար էլ </w:t>
            </w:r>
            <w:r w:rsidR="008516D9" w:rsidRPr="003A5968">
              <w:rPr>
                <w:rFonts w:ascii="GHEA Grapalat" w:eastAsia="GHEA Grapalat" w:hAnsi="GHEA Grapalat" w:cs="GHEA Grapalat"/>
                <w:color w:val="000000"/>
                <w:sz w:val="24"/>
                <w:szCs w:val="24"/>
                <w:lang w:val="hy-AM"/>
              </w:rPr>
              <w:lastRenderedPageBreak/>
              <w:t xml:space="preserve">Հայասըանի հանրապետության վարչական դատավարության օրենսգրքի 117-րդ հոդվածի 3-րդ մասով </w:t>
            </w:r>
            <w:r w:rsidRPr="003A5968">
              <w:rPr>
                <w:rFonts w:ascii="GHEA Grapalat" w:eastAsia="GHEA Grapalat" w:hAnsi="GHEA Grapalat" w:cs="GHEA Grapalat"/>
                <w:color w:val="000000"/>
                <w:sz w:val="24"/>
                <w:szCs w:val="24"/>
                <w:lang w:val="hy-AM"/>
              </w:rPr>
              <w:t xml:space="preserve">հենց սահմանված </w:t>
            </w:r>
            <w:r w:rsidR="008516D9" w:rsidRPr="003A5968">
              <w:rPr>
                <w:rFonts w:ascii="GHEA Grapalat" w:eastAsia="GHEA Grapalat" w:hAnsi="GHEA Grapalat" w:cs="GHEA Grapalat"/>
                <w:color w:val="000000"/>
                <w:sz w:val="24"/>
                <w:szCs w:val="24"/>
                <w:lang w:val="hy-AM"/>
              </w:rPr>
              <w:t>են</w:t>
            </w:r>
            <w:r w:rsidRPr="003A5968">
              <w:rPr>
                <w:rFonts w:ascii="GHEA Grapalat" w:eastAsia="GHEA Grapalat" w:hAnsi="GHEA Grapalat" w:cs="GHEA Grapalat"/>
                <w:color w:val="000000"/>
                <w:sz w:val="24"/>
                <w:szCs w:val="24"/>
                <w:lang w:val="hy-AM"/>
              </w:rPr>
              <w:t xml:space="preserve"> բացառություն</w:t>
            </w:r>
            <w:r w:rsidR="008516D9" w:rsidRPr="003A5968">
              <w:rPr>
                <w:rFonts w:ascii="GHEA Grapalat" w:eastAsia="GHEA Grapalat" w:hAnsi="GHEA Grapalat" w:cs="GHEA Grapalat"/>
                <w:color w:val="000000"/>
                <w:sz w:val="24"/>
                <w:szCs w:val="24"/>
                <w:lang w:val="hy-AM"/>
              </w:rPr>
              <w:t>ներ</w:t>
            </w:r>
            <w:r w:rsidRPr="003A5968">
              <w:rPr>
                <w:rFonts w:ascii="GHEA Grapalat" w:eastAsia="GHEA Grapalat" w:hAnsi="GHEA Grapalat" w:cs="GHEA Grapalat"/>
                <w:color w:val="000000"/>
                <w:sz w:val="24"/>
                <w:szCs w:val="24"/>
                <w:lang w:val="hy-AM"/>
              </w:rPr>
              <w:t xml:space="preserve"> և հիմքերի առկայության դեպքում դատարանը կարող է որոշել բանավոր ընթացակարգով գործը քննել։ Սակայն նախկին փորձը վկայում է, որ ոստիկանության դեմ ներկայացված հայցադիմումների մեծամասնության քննությունը հնարավոր է արդյունավետորեն </w:t>
            </w:r>
            <w:r w:rsidRPr="003A5968">
              <w:rPr>
                <w:rFonts w:ascii="GHEA Grapalat" w:eastAsia="GHEA Grapalat" w:hAnsi="GHEA Grapalat" w:cs="GHEA Grapalat"/>
                <w:color w:val="000000"/>
                <w:sz w:val="24"/>
                <w:szCs w:val="24"/>
                <w:lang w:val="hy-AM"/>
              </w:rPr>
              <w:lastRenderedPageBreak/>
              <w:t>իրականացնել գրավոր ընթացակարգով։</w:t>
            </w:r>
          </w:p>
          <w:p w14:paraId="024493F8" w14:textId="7AEC773E" w:rsidR="008516D9" w:rsidRPr="003A5968" w:rsidRDefault="008516D9" w:rsidP="003A5968">
            <w:pPr>
              <w:spacing w:after="0" w:line="360" w:lineRule="auto"/>
              <w:ind w:firstLine="567"/>
              <w:jc w:val="both"/>
              <w:rPr>
                <w:rFonts w:ascii="GHEA Grapalat" w:hAnsi="GHEA Grapalat"/>
                <w:sz w:val="24"/>
                <w:szCs w:val="24"/>
                <w:lang w:val="hy-AM"/>
              </w:rPr>
            </w:pPr>
            <w:r w:rsidRPr="003A5968">
              <w:rPr>
                <w:rFonts w:ascii="GHEA Grapalat" w:hAnsi="GHEA Grapalat"/>
                <w:sz w:val="24"/>
                <w:szCs w:val="24"/>
                <w:lang w:val="hy-AM"/>
              </w:rPr>
              <w:t xml:space="preserve">Ընդ որում հարկ է նշել, որ 2022 թվականին ՀՀ վարչական դատավարության օրենսգրքում գրավոր ընթացակարգի ներդրմանը ուղղված օրենսդրական փոփոխության նախագծում տեղ գտած հիմնավորումների մեջ ի թիվս այլի արձանագրվել էր, որ գրավոր ընթացակարգը վարչական դատավարությունում ներդնելու անհրաժեշտությունը պայմանավորված է եղել նախևառաջ այն հանգամանքով, որ վարչական </w:t>
            </w:r>
            <w:r w:rsidRPr="003A5968">
              <w:rPr>
                <w:rFonts w:ascii="GHEA Grapalat" w:hAnsi="GHEA Grapalat"/>
                <w:sz w:val="24"/>
                <w:szCs w:val="24"/>
                <w:lang w:val="hy-AM"/>
              </w:rPr>
              <w:lastRenderedPageBreak/>
              <w:t>դատարանում չափազանց մեծ քանակով վիճարկվում են Ճանապարհային ոստիկանության կողմից կայացված տուգանքների վերաբերյալ որոշումները:</w:t>
            </w:r>
          </w:p>
          <w:p w14:paraId="3BA20E9C" w14:textId="1BED3630" w:rsidR="008516D9" w:rsidRPr="003A5968" w:rsidRDefault="008516D9" w:rsidP="003A5968">
            <w:pPr>
              <w:spacing w:after="0" w:line="360" w:lineRule="auto"/>
              <w:ind w:right="103"/>
              <w:jc w:val="both"/>
              <w:rPr>
                <w:rFonts w:ascii="GHEA Grapalat" w:hAnsi="GHEA Grapalat"/>
                <w:sz w:val="24"/>
                <w:szCs w:val="24"/>
                <w:lang w:val="hy-AM"/>
              </w:rPr>
            </w:pPr>
          </w:p>
        </w:tc>
        <w:tc>
          <w:tcPr>
            <w:tcW w:w="2800" w:type="dxa"/>
            <w:tcBorders>
              <w:top w:val="single" w:sz="1" w:space="0" w:color="000000"/>
              <w:left w:val="single" w:sz="1" w:space="0" w:color="000000"/>
              <w:bottom w:val="single" w:sz="1" w:space="0" w:color="000000"/>
              <w:right w:val="single" w:sz="1" w:space="0" w:color="000000"/>
            </w:tcBorders>
          </w:tcPr>
          <w:p w14:paraId="53174978" w14:textId="77777777" w:rsidR="00682DC4" w:rsidRPr="003A5968" w:rsidRDefault="00682DC4" w:rsidP="003A5968">
            <w:pPr>
              <w:spacing w:after="0" w:line="360" w:lineRule="auto"/>
              <w:jc w:val="center"/>
              <w:rPr>
                <w:rFonts w:ascii="GHEA Grapalat" w:hAnsi="GHEA Grapalat"/>
                <w:sz w:val="24"/>
                <w:szCs w:val="24"/>
                <w:lang w:val="hy-AM"/>
              </w:rPr>
            </w:pPr>
          </w:p>
        </w:tc>
      </w:tr>
      <w:tr w:rsidR="00AE7B86" w:rsidRPr="00757271" w14:paraId="5812050D" w14:textId="77777777" w:rsidTr="002917E3">
        <w:tc>
          <w:tcPr>
            <w:tcW w:w="458" w:type="dxa"/>
            <w:tcBorders>
              <w:top w:val="single" w:sz="1" w:space="0" w:color="000000"/>
              <w:left w:val="single" w:sz="1" w:space="0" w:color="000000"/>
              <w:bottom w:val="single" w:sz="1" w:space="0" w:color="000000"/>
              <w:right w:val="single" w:sz="1" w:space="0" w:color="000000"/>
            </w:tcBorders>
          </w:tcPr>
          <w:p w14:paraId="6C759901"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lastRenderedPageBreak/>
              <w:t>3</w:t>
            </w:r>
          </w:p>
        </w:tc>
        <w:tc>
          <w:tcPr>
            <w:tcW w:w="2191" w:type="dxa"/>
            <w:tcBorders>
              <w:top w:val="single" w:sz="1" w:space="0" w:color="000000"/>
              <w:left w:val="single" w:sz="1" w:space="0" w:color="000000"/>
              <w:bottom w:val="single" w:sz="1" w:space="0" w:color="000000"/>
              <w:right w:val="single" w:sz="1" w:space="0" w:color="000000"/>
            </w:tcBorders>
          </w:tcPr>
          <w:p w14:paraId="767BB319"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Տիգրան Ստեփանյան</w:t>
            </w:r>
          </w:p>
          <w:p w14:paraId="0292AA1E"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03.11.2023 12:32:58</w:t>
            </w:r>
          </w:p>
        </w:tc>
        <w:tc>
          <w:tcPr>
            <w:tcW w:w="4930" w:type="dxa"/>
            <w:tcBorders>
              <w:top w:val="single" w:sz="1" w:space="0" w:color="000000"/>
              <w:left w:val="single" w:sz="1" w:space="0" w:color="000000"/>
              <w:bottom w:val="single" w:sz="1" w:space="0" w:color="000000"/>
              <w:right w:val="single" w:sz="1" w:space="0" w:color="000000"/>
            </w:tcBorders>
          </w:tcPr>
          <w:p w14:paraId="4F94E0E4"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 xml:space="preserve">Ըստ էության ՀՀ ՆԳՆ-ն իր ոչ իրավաչափ վարչարարության դեմ ներկայացվող հայցադիմումներից ձերբազատվելու նպատակով ներկայացրել է դատարան դիմելու մատչելիությունը նվազեցնելուն ուղղված մի շարք օրենսգրքերում փոփոխությունների նախագիծ, որի արդյունքում ՆԳՆ դեմ դատարան ներկայացվող հայցադիմումների համար գանձվող պետական տուրքը շեշտակի աճում է՝ ընդհուպ մինչև կրկնապատկվում, սահմանվում է պարտադիր վարչական բողոքարկման պահանջ և բացառվում է գործի քննության բանավոր ընթացակարգը։ Այսինքն՝ անհիմն վարչարարությունը նվազեցնելու փոխարեն փորձ է արվում </w:t>
            </w:r>
            <w:r w:rsidRPr="003A5968">
              <w:rPr>
                <w:rFonts w:ascii="GHEA Grapalat" w:eastAsia="GHEA Grapalat" w:hAnsi="GHEA Grapalat" w:cs="GHEA Grapalat"/>
                <w:color w:val="000000"/>
                <w:sz w:val="24"/>
                <w:szCs w:val="24"/>
              </w:rPr>
              <w:lastRenderedPageBreak/>
              <w:t>դժվարեցնել խախտված իրավունքի պաշտպանությունը՝ բարդացնելով դատարան դիմելու ընթացակարգն ու մատչելիությունը։  Առաջարկվում է Պետական տուրքի մասին ՀՀ օրենքում լրացում կատարելու մասին նախագծի 1-ին հոդվածը բացառել։</w:t>
            </w:r>
          </w:p>
        </w:tc>
        <w:tc>
          <w:tcPr>
            <w:tcW w:w="3588" w:type="dxa"/>
            <w:tcBorders>
              <w:top w:val="single" w:sz="1" w:space="0" w:color="000000"/>
              <w:left w:val="single" w:sz="1" w:space="0" w:color="000000"/>
              <w:bottom w:val="single" w:sz="1" w:space="0" w:color="000000"/>
              <w:right w:val="single" w:sz="1" w:space="0" w:color="000000"/>
            </w:tcBorders>
          </w:tcPr>
          <w:p w14:paraId="25E142E4" w14:textId="77777777" w:rsidR="00AE7B86" w:rsidRPr="003A5968" w:rsidRDefault="00AE7B86" w:rsidP="003A5968">
            <w:pPr>
              <w:spacing w:after="0" w:line="360" w:lineRule="auto"/>
              <w:jc w:val="center"/>
              <w:rPr>
                <w:rFonts w:ascii="GHEA Grapalat" w:hAnsi="GHEA Grapalat"/>
                <w:b/>
                <w:bCs/>
                <w:sz w:val="24"/>
                <w:szCs w:val="24"/>
                <w:lang w:val="hy-AM"/>
              </w:rPr>
            </w:pPr>
            <w:r w:rsidRPr="003A5968">
              <w:rPr>
                <w:rFonts w:ascii="GHEA Grapalat" w:hAnsi="GHEA Grapalat"/>
                <w:b/>
                <w:bCs/>
                <w:sz w:val="24"/>
                <w:szCs w:val="24"/>
                <w:lang w:val="hy-AM"/>
              </w:rPr>
              <w:lastRenderedPageBreak/>
              <w:t>Չի ընդունվել</w:t>
            </w:r>
          </w:p>
          <w:p w14:paraId="1D847A2D" w14:textId="162EE47A" w:rsidR="00682DC4" w:rsidRPr="003A5968" w:rsidRDefault="008516D9" w:rsidP="003A5968">
            <w:pPr>
              <w:spacing w:after="0" w:line="360" w:lineRule="auto"/>
              <w:jc w:val="both"/>
              <w:rPr>
                <w:rFonts w:ascii="GHEA Grapalat" w:hAnsi="GHEA Grapalat"/>
                <w:sz w:val="24"/>
                <w:szCs w:val="24"/>
                <w:lang w:val="hy-AM"/>
              </w:rPr>
            </w:pPr>
            <w:r w:rsidRPr="003A5968">
              <w:rPr>
                <w:rFonts w:ascii="GHEA Grapalat" w:hAnsi="GHEA Grapalat"/>
                <w:sz w:val="24"/>
                <w:szCs w:val="24"/>
                <w:lang w:val="hy-AM"/>
              </w:rPr>
              <w:t xml:space="preserve">Ինչպես արդեն նշվել է նախագծի կարգավորման նպատական է վարչական դատարանների ծանրաբեռնվածության թեթևացումը՝ պահպանելով համապատասխան վարչական ակտերի բողոքարկման կայուն մեխանիզմը։ Մասնավորապես վերադասության կարգով բողոքարկման պարտադիրությաունը առավել լայն մեխանիզմներ է ստեղծում համապատասխամն ապացույցների ներկայացման և </w:t>
            </w:r>
            <w:r w:rsidRPr="003A5968">
              <w:rPr>
                <w:rFonts w:ascii="GHEA Grapalat" w:hAnsi="GHEA Grapalat"/>
                <w:sz w:val="24"/>
                <w:szCs w:val="24"/>
                <w:lang w:val="hy-AM"/>
              </w:rPr>
              <w:lastRenderedPageBreak/>
              <w:t xml:space="preserve">առավել սեղմ ժամկետում </w:t>
            </w:r>
            <w:r w:rsidR="00AE7B86" w:rsidRPr="003A5968">
              <w:rPr>
                <w:rFonts w:ascii="GHEA Grapalat" w:hAnsi="GHEA Grapalat"/>
                <w:sz w:val="24"/>
                <w:szCs w:val="24"/>
                <w:lang w:val="hy-AM"/>
              </w:rPr>
              <w:t xml:space="preserve">   </w:t>
            </w:r>
            <w:r w:rsidRPr="003A5968">
              <w:rPr>
                <w:rFonts w:ascii="GHEA Grapalat" w:hAnsi="GHEA Grapalat"/>
                <w:sz w:val="24"/>
                <w:szCs w:val="24"/>
                <w:lang w:val="hy-AM"/>
              </w:rPr>
              <w:t xml:space="preserve">բողոքարկվող ակտերի վերանայման համար։ </w:t>
            </w:r>
            <w:r w:rsidR="00A14FC6" w:rsidRPr="003A5968">
              <w:rPr>
                <w:rFonts w:ascii="GHEA Grapalat" w:hAnsi="GHEA Grapalat"/>
                <w:sz w:val="24"/>
                <w:szCs w:val="24"/>
                <w:lang w:val="hy-AM"/>
              </w:rPr>
              <w:t xml:space="preserve">Պետական տուրքի դրույքաչափերի վերաբերյալ կարգավորումներն ուղղված են դատական իրավունքի չարաշահումները բացառելուն և դատավարության սուբյեկտ չհանդիսացող անձանց ֆինանսական բեռը թեթևացնելուն։ </w:t>
            </w:r>
          </w:p>
        </w:tc>
        <w:tc>
          <w:tcPr>
            <w:tcW w:w="2800" w:type="dxa"/>
            <w:tcBorders>
              <w:top w:val="single" w:sz="1" w:space="0" w:color="000000"/>
              <w:left w:val="single" w:sz="1" w:space="0" w:color="000000"/>
              <w:bottom w:val="single" w:sz="1" w:space="0" w:color="000000"/>
              <w:right w:val="single" w:sz="1" w:space="0" w:color="000000"/>
            </w:tcBorders>
          </w:tcPr>
          <w:p w14:paraId="7E4FD7AD" w14:textId="53F62B20" w:rsidR="00E61FF2" w:rsidRPr="003A5968" w:rsidRDefault="00E61FF2" w:rsidP="003A5968">
            <w:pPr>
              <w:spacing w:after="0" w:line="360" w:lineRule="auto"/>
              <w:jc w:val="center"/>
              <w:rPr>
                <w:rFonts w:ascii="GHEA Grapalat" w:hAnsi="GHEA Grapalat"/>
                <w:sz w:val="24"/>
                <w:szCs w:val="24"/>
                <w:lang w:val="hy-AM"/>
              </w:rPr>
            </w:pPr>
            <w:r w:rsidRPr="003A5968">
              <w:rPr>
                <w:rFonts w:ascii="GHEA Grapalat" w:hAnsi="GHEA Grapalat"/>
                <w:sz w:val="24"/>
                <w:szCs w:val="24"/>
                <w:lang w:val="hy-AM"/>
              </w:rPr>
              <w:lastRenderedPageBreak/>
              <w:t xml:space="preserve"> </w:t>
            </w:r>
          </w:p>
        </w:tc>
      </w:tr>
      <w:tr w:rsidR="00AE7B86" w:rsidRPr="0085301E" w14:paraId="0008ABB6" w14:textId="77777777" w:rsidTr="002917E3">
        <w:tc>
          <w:tcPr>
            <w:tcW w:w="458" w:type="dxa"/>
            <w:tcBorders>
              <w:top w:val="single" w:sz="1" w:space="0" w:color="000000"/>
              <w:left w:val="single" w:sz="1" w:space="0" w:color="000000"/>
              <w:bottom w:val="single" w:sz="1" w:space="0" w:color="000000"/>
              <w:right w:val="single" w:sz="1" w:space="0" w:color="000000"/>
            </w:tcBorders>
          </w:tcPr>
          <w:p w14:paraId="4658B1A4"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4</w:t>
            </w:r>
          </w:p>
        </w:tc>
        <w:tc>
          <w:tcPr>
            <w:tcW w:w="2191" w:type="dxa"/>
            <w:tcBorders>
              <w:top w:val="single" w:sz="1" w:space="0" w:color="000000"/>
              <w:left w:val="single" w:sz="1" w:space="0" w:color="000000"/>
              <w:bottom w:val="single" w:sz="1" w:space="0" w:color="000000"/>
              <w:right w:val="single" w:sz="1" w:space="0" w:color="000000"/>
            </w:tcBorders>
          </w:tcPr>
          <w:p w14:paraId="53A3CC53"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Անդրանիկ Հովհաննիսյան</w:t>
            </w:r>
          </w:p>
          <w:p w14:paraId="4DE26DA2"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02.11.2023 15:50:18</w:t>
            </w:r>
          </w:p>
        </w:tc>
        <w:tc>
          <w:tcPr>
            <w:tcW w:w="4930" w:type="dxa"/>
            <w:tcBorders>
              <w:top w:val="single" w:sz="1" w:space="0" w:color="000000"/>
              <w:left w:val="single" w:sz="1" w:space="0" w:color="000000"/>
              <w:bottom w:val="single" w:sz="1" w:space="0" w:color="000000"/>
              <w:right w:val="single" w:sz="1" w:space="0" w:color="000000"/>
            </w:tcBorders>
          </w:tcPr>
          <w:p w14:paraId="0294C5C2" w14:textId="77777777" w:rsidR="00682DC4" w:rsidRPr="003A5968" w:rsidRDefault="00B7416E" w:rsidP="003A5968">
            <w:pPr>
              <w:spacing w:after="0" w:line="360" w:lineRule="auto"/>
              <w:jc w:val="center"/>
              <w:rPr>
                <w:rFonts w:ascii="GHEA Grapalat" w:hAnsi="GHEA Grapalat"/>
                <w:sz w:val="24"/>
                <w:szCs w:val="24"/>
              </w:rPr>
            </w:pPr>
            <w:r w:rsidRPr="003A5968">
              <w:rPr>
                <w:rFonts w:ascii="GHEA Grapalat" w:eastAsia="GHEA Grapalat" w:hAnsi="GHEA Grapalat" w:cs="GHEA Grapalat"/>
                <w:color w:val="000000"/>
                <w:sz w:val="24"/>
                <w:szCs w:val="24"/>
              </w:rPr>
              <w:t xml:space="preserve">Առաջարկում ենք սահմանել պատասխանատվություն նաև անհիմն վարչական ակտ կազմողի նկատմամբ, քանի որ ներկայումս բավականին թվով ակտեր կազմելիս պարեկները բառացի հայտնում են՝ մենք գրենք դուք գնացեք </w:t>
            </w:r>
            <w:r w:rsidRPr="003A5968">
              <w:rPr>
                <w:rFonts w:ascii="GHEA Grapalat" w:eastAsia="GHEA Grapalat" w:hAnsi="GHEA Grapalat" w:cs="GHEA Grapalat"/>
                <w:color w:val="000000"/>
                <w:sz w:val="24"/>
                <w:szCs w:val="24"/>
              </w:rPr>
              <w:lastRenderedPageBreak/>
              <w:t>բողոքարկեք: Եթե նրանք պատասխանատվություն կրեն անհիմն կազմված վարչական ակտի համար, այլևս անհիմն ակտեր չեն կազմի:</w:t>
            </w:r>
          </w:p>
        </w:tc>
        <w:tc>
          <w:tcPr>
            <w:tcW w:w="3588" w:type="dxa"/>
            <w:tcBorders>
              <w:top w:val="single" w:sz="1" w:space="0" w:color="000000"/>
              <w:left w:val="single" w:sz="1" w:space="0" w:color="000000"/>
              <w:bottom w:val="single" w:sz="1" w:space="0" w:color="000000"/>
              <w:right w:val="single" w:sz="1" w:space="0" w:color="000000"/>
            </w:tcBorders>
          </w:tcPr>
          <w:p w14:paraId="3DD64694" w14:textId="0C654A70" w:rsidR="00F72CAD" w:rsidRPr="003A5968" w:rsidRDefault="0085301E" w:rsidP="003A5968">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w:t>
            </w:r>
            <w:r w:rsidR="00F72CAD" w:rsidRPr="003A5968">
              <w:rPr>
                <w:rFonts w:ascii="GHEA Grapalat" w:hAnsi="GHEA Grapalat"/>
                <w:b/>
                <w:bCs/>
                <w:sz w:val="24"/>
                <w:szCs w:val="24"/>
                <w:lang w:val="hy-AM"/>
              </w:rPr>
              <w:t>նդունվել</w:t>
            </w:r>
            <w:r>
              <w:rPr>
                <w:rFonts w:ascii="GHEA Grapalat" w:hAnsi="GHEA Grapalat"/>
                <w:b/>
                <w:bCs/>
                <w:sz w:val="24"/>
                <w:szCs w:val="24"/>
                <w:lang w:val="hy-AM"/>
              </w:rPr>
              <w:t xml:space="preserve"> է ի գիտություն</w:t>
            </w:r>
          </w:p>
          <w:p w14:paraId="53E54D24" w14:textId="5AD6887D" w:rsidR="00A14FC6" w:rsidRPr="003A5968" w:rsidRDefault="0085301E" w:rsidP="003A5968">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Միաժամանակ, </w:t>
            </w:r>
            <w:r w:rsidR="00757271">
              <w:rPr>
                <w:rFonts w:ascii="GHEA Grapalat" w:hAnsi="GHEA Grapalat"/>
                <w:color w:val="000000"/>
                <w:sz w:val="24"/>
                <w:szCs w:val="24"/>
                <w:shd w:val="clear" w:color="auto" w:fill="FFFFFF"/>
                <w:lang w:val="hy-AM"/>
              </w:rPr>
              <w:t>պ</w:t>
            </w:r>
            <w:r w:rsidR="00A14FC6" w:rsidRPr="003A5968">
              <w:rPr>
                <w:rFonts w:ascii="GHEA Grapalat" w:hAnsi="GHEA Grapalat"/>
                <w:color w:val="000000"/>
                <w:sz w:val="24"/>
                <w:szCs w:val="24"/>
                <w:shd w:val="clear" w:color="auto" w:fill="FFFFFF"/>
                <w:lang w:val="hy-AM"/>
              </w:rPr>
              <w:t xml:space="preserve">ետական և տեղական ինքնակառավարման մարմինների ու դրանց պաշտոնատար անձանց նորմատիվ իրավական և </w:t>
            </w:r>
            <w:r w:rsidR="00A14FC6" w:rsidRPr="003A5968">
              <w:rPr>
                <w:rFonts w:ascii="GHEA Grapalat" w:hAnsi="GHEA Grapalat"/>
                <w:color w:val="000000"/>
                <w:sz w:val="24"/>
                <w:szCs w:val="24"/>
                <w:shd w:val="clear" w:color="auto" w:fill="FFFFFF"/>
                <w:lang w:val="hy-AM"/>
              </w:rPr>
              <w:lastRenderedPageBreak/>
              <w:t xml:space="preserve">վարչական ակտերի, գործողությունների կամ անգործության դեմ ֆիզիկական և իրավաբանական անձանց </w:t>
            </w:r>
            <w:r w:rsidR="003A5968" w:rsidRPr="003A5968">
              <w:rPr>
                <w:rFonts w:ascii="GHEA Grapalat" w:hAnsi="GHEA Grapalat"/>
                <w:color w:val="000000"/>
                <w:sz w:val="24"/>
                <w:szCs w:val="24"/>
                <w:shd w:val="clear" w:color="auto" w:fill="FFFFFF"/>
                <w:lang w:val="hy-AM"/>
              </w:rPr>
              <w:t>բողոքները քննվում են, վարչական ակտը կայացնող մարմինը պաշտոնատար անձը պատասխանատվության է ենթարկվում «</w:t>
            </w:r>
            <w:r w:rsidR="00A14FC6" w:rsidRPr="003A5968">
              <w:rPr>
                <w:rFonts w:ascii="GHEA Grapalat" w:hAnsi="GHEA Grapalat"/>
                <w:color w:val="000000"/>
                <w:sz w:val="24"/>
                <w:szCs w:val="24"/>
                <w:shd w:val="clear" w:color="auto" w:fill="FFFFFF"/>
                <w:lang w:val="hy-AM"/>
              </w:rPr>
              <w:t>Վարչարարությա</w:t>
            </w:r>
            <w:r w:rsidR="003A5968" w:rsidRPr="003A5968">
              <w:rPr>
                <w:rFonts w:ascii="GHEA Grapalat" w:hAnsi="GHEA Grapalat"/>
                <w:color w:val="000000"/>
                <w:sz w:val="24"/>
                <w:szCs w:val="24"/>
                <w:shd w:val="clear" w:color="auto" w:fill="FFFFFF"/>
                <w:lang w:val="hy-AM"/>
              </w:rPr>
              <w:t xml:space="preserve">ն հիմունքների և վարչական վարույթի մասին» օրենքով, Վարչական իրավախախտումների վերաբերյալ Հայաստանի Հանրապետության օրենսգրքով սահմանված իրավակարգավորուների համաձայն։ </w:t>
            </w:r>
          </w:p>
          <w:p w14:paraId="40D8D033" w14:textId="77777777" w:rsidR="00A14FC6" w:rsidRPr="003A5968" w:rsidRDefault="00A14FC6" w:rsidP="003A5968">
            <w:pPr>
              <w:spacing w:after="0" w:line="360" w:lineRule="auto"/>
              <w:jc w:val="both"/>
              <w:rPr>
                <w:rFonts w:ascii="GHEA Grapalat" w:hAnsi="GHEA Grapalat"/>
                <w:color w:val="000000"/>
                <w:sz w:val="24"/>
                <w:szCs w:val="24"/>
                <w:shd w:val="clear" w:color="auto" w:fill="FFFFFF"/>
                <w:lang w:val="hy-AM"/>
              </w:rPr>
            </w:pPr>
          </w:p>
          <w:p w14:paraId="288A7822" w14:textId="77777777" w:rsidR="00A14FC6" w:rsidRPr="003A5968" w:rsidRDefault="00A14FC6" w:rsidP="003A5968">
            <w:pPr>
              <w:spacing w:after="0" w:line="360" w:lineRule="auto"/>
              <w:jc w:val="both"/>
              <w:rPr>
                <w:rFonts w:ascii="GHEA Grapalat" w:hAnsi="GHEA Grapalat"/>
                <w:color w:val="000000"/>
                <w:sz w:val="24"/>
                <w:szCs w:val="24"/>
                <w:shd w:val="clear" w:color="auto" w:fill="FFFFFF"/>
                <w:lang w:val="hy-AM"/>
              </w:rPr>
            </w:pPr>
          </w:p>
          <w:p w14:paraId="2D96BC5C" w14:textId="77777777" w:rsidR="00A14FC6" w:rsidRPr="003A5968" w:rsidRDefault="00A14FC6" w:rsidP="003A5968">
            <w:pPr>
              <w:spacing w:after="0" w:line="360" w:lineRule="auto"/>
              <w:jc w:val="both"/>
              <w:rPr>
                <w:rFonts w:ascii="GHEA Grapalat" w:hAnsi="GHEA Grapalat"/>
                <w:color w:val="000000"/>
                <w:sz w:val="24"/>
                <w:szCs w:val="24"/>
                <w:shd w:val="clear" w:color="auto" w:fill="FFFFFF"/>
                <w:lang w:val="hy-AM"/>
              </w:rPr>
            </w:pPr>
          </w:p>
          <w:p w14:paraId="3DC5C9E9" w14:textId="77777777" w:rsidR="00A14FC6" w:rsidRPr="003A5968" w:rsidRDefault="00A14FC6" w:rsidP="003A5968">
            <w:pPr>
              <w:spacing w:after="0" w:line="360" w:lineRule="auto"/>
              <w:jc w:val="both"/>
              <w:rPr>
                <w:rFonts w:ascii="GHEA Grapalat" w:hAnsi="GHEA Grapalat"/>
                <w:color w:val="000000"/>
                <w:sz w:val="24"/>
                <w:szCs w:val="24"/>
                <w:shd w:val="clear" w:color="auto" w:fill="FFFFFF"/>
                <w:lang w:val="hy-AM"/>
              </w:rPr>
            </w:pPr>
          </w:p>
          <w:p w14:paraId="20735827" w14:textId="05DEC8A6" w:rsidR="00682DC4" w:rsidRPr="003A5968" w:rsidRDefault="00F72CAD" w:rsidP="003A5968">
            <w:pPr>
              <w:spacing w:after="0" w:line="360" w:lineRule="auto"/>
              <w:jc w:val="both"/>
              <w:rPr>
                <w:rFonts w:ascii="GHEA Grapalat" w:hAnsi="GHEA Grapalat"/>
                <w:sz w:val="24"/>
                <w:szCs w:val="24"/>
                <w:lang w:val="hy-AM"/>
              </w:rPr>
            </w:pPr>
            <w:r w:rsidRPr="003A5968">
              <w:rPr>
                <w:rFonts w:ascii="GHEA Grapalat" w:hAnsi="GHEA Grapalat"/>
                <w:sz w:val="24"/>
                <w:szCs w:val="24"/>
                <w:lang w:val="hy-AM"/>
              </w:rPr>
              <w:t xml:space="preserve"> </w:t>
            </w:r>
          </w:p>
        </w:tc>
        <w:tc>
          <w:tcPr>
            <w:tcW w:w="2800" w:type="dxa"/>
            <w:tcBorders>
              <w:top w:val="single" w:sz="1" w:space="0" w:color="000000"/>
              <w:left w:val="single" w:sz="1" w:space="0" w:color="000000"/>
              <w:bottom w:val="single" w:sz="1" w:space="0" w:color="000000"/>
              <w:right w:val="single" w:sz="1" w:space="0" w:color="000000"/>
            </w:tcBorders>
          </w:tcPr>
          <w:p w14:paraId="04099E40" w14:textId="1BFFC286" w:rsidR="00E61FF2" w:rsidRPr="003A5968" w:rsidRDefault="00E61FF2" w:rsidP="003A5968">
            <w:pPr>
              <w:spacing w:after="0" w:line="360" w:lineRule="auto"/>
              <w:jc w:val="center"/>
              <w:rPr>
                <w:rFonts w:ascii="GHEA Grapalat" w:hAnsi="GHEA Grapalat"/>
                <w:sz w:val="24"/>
                <w:szCs w:val="24"/>
                <w:lang w:val="hy-AM"/>
              </w:rPr>
            </w:pPr>
            <w:r w:rsidRPr="003A5968">
              <w:rPr>
                <w:rFonts w:ascii="GHEA Grapalat" w:hAnsi="GHEA Grapalat"/>
                <w:sz w:val="24"/>
                <w:szCs w:val="24"/>
                <w:lang w:val="hy-AM"/>
              </w:rPr>
              <w:lastRenderedPageBreak/>
              <w:t xml:space="preserve"> </w:t>
            </w:r>
          </w:p>
        </w:tc>
      </w:tr>
    </w:tbl>
    <w:p w14:paraId="67B009E8" w14:textId="77777777" w:rsidR="00B7416E" w:rsidRPr="003A5968" w:rsidRDefault="00B7416E" w:rsidP="003A5968">
      <w:pPr>
        <w:spacing w:after="0" w:line="360" w:lineRule="auto"/>
        <w:rPr>
          <w:rFonts w:ascii="GHEA Grapalat" w:hAnsi="GHEA Grapalat"/>
          <w:sz w:val="24"/>
          <w:szCs w:val="24"/>
          <w:lang w:val="hy-AM"/>
        </w:rPr>
      </w:pPr>
    </w:p>
    <w:sectPr w:rsidR="00B7416E" w:rsidRPr="003A5968">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Times New Roma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DC4"/>
    <w:rsid w:val="000D6749"/>
    <w:rsid w:val="00227A67"/>
    <w:rsid w:val="002917E3"/>
    <w:rsid w:val="002B2FC7"/>
    <w:rsid w:val="002E3059"/>
    <w:rsid w:val="003A5968"/>
    <w:rsid w:val="00682DC4"/>
    <w:rsid w:val="00757271"/>
    <w:rsid w:val="0083498E"/>
    <w:rsid w:val="008516D9"/>
    <w:rsid w:val="0085301E"/>
    <w:rsid w:val="00A14FC6"/>
    <w:rsid w:val="00AE7B86"/>
    <w:rsid w:val="00AF69D1"/>
    <w:rsid w:val="00B7416E"/>
    <w:rsid w:val="00C34137"/>
    <w:rsid w:val="00CD68DB"/>
    <w:rsid w:val="00CE4C5D"/>
    <w:rsid w:val="00E13686"/>
    <w:rsid w:val="00E61FF2"/>
    <w:rsid w:val="00EA368C"/>
    <w:rsid w:val="00F72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F0F49"/>
  <w15:docId w15:val="{A39F7441-A150-448A-ABD5-ED39AF38C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082F9-C66D-4DA1-A00F-13FD08EF7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2999</Words>
  <Characters>17099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Harutyunyan</dc:creator>
  <cp:keywords>https://mul2.gov.am/tasks/909609/oneclick/ca64c6e8ed15d75d7c8878a5be372573c4654659d3e92a7cb9f973aa94e24315.docx?token=c533894f682b96fdfbe75321dcee5ce3</cp:keywords>
  <dc:description/>
  <cp:lastModifiedBy>Gohar Harutyunyan</cp:lastModifiedBy>
  <cp:revision>4</cp:revision>
  <dcterms:created xsi:type="dcterms:W3CDTF">2023-12-07T13:02:00Z</dcterms:created>
  <dcterms:modified xsi:type="dcterms:W3CDTF">2023-12-08T07:27:00Z</dcterms:modified>
  <cp:category/>
</cp:coreProperties>
</file>