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10217" w14:textId="77777777" w:rsidR="00946756" w:rsidRPr="006C1DD9" w:rsidRDefault="00946756" w:rsidP="00946756">
      <w:pPr>
        <w:tabs>
          <w:tab w:val="left" w:pos="1650"/>
        </w:tabs>
        <w:spacing w:line="276" w:lineRule="auto"/>
        <w:jc w:val="center"/>
        <w:rPr>
          <w:rFonts w:ascii="GHEA Grapalat" w:eastAsia="GHEA Grapalat" w:hAnsi="GHEA Grapalat" w:cstheme="majorHAnsi"/>
          <w:b/>
          <w:bCs/>
          <w:sz w:val="24"/>
          <w:szCs w:val="24"/>
        </w:rPr>
      </w:pPr>
      <w:r w:rsidRPr="006C1DD9">
        <w:rPr>
          <w:rFonts w:ascii="GHEA Grapalat" w:eastAsia="GHEA Grapalat" w:hAnsi="GHEA Grapalat" w:cstheme="majorHAnsi"/>
          <w:b/>
          <w:bCs/>
          <w:sz w:val="24"/>
          <w:szCs w:val="24"/>
        </w:rPr>
        <w:t>ՏԵՂԵԿԱՆՔ</w:t>
      </w:r>
    </w:p>
    <w:p w14:paraId="5489E3E0" w14:textId="77777777" w:rsidR="00946756" w:rsidRPr="006C1DD9" w:rsidRDefault="00946756" w:rsidP="00946756">
      <w:pPr>
        <w:spacing w:line="276" w:lineRule="auto"/>
        <w:jc w:val="center"/>
        <w:rPr>
          <w:rFonts w:ascii="GHEA Grapalat" w:eastAsia="GHEA Grapalat" w:hAnsi="GHEA Grapalat" w:cstheme="majorHAnsi"/>
          <w:b/>
          <w:sz w:val="24"/>
          <w:szCs w:val="24"/>
        </w:rPr>
      </w:pPr>
      <w:r w:rsidRPr="006C1DD9">
        <w:rPr>
          <w:rFonts w:ascii="GHEA Grapalat" w:eastAsia="GHEA Grapalat" w:hAnsi="GHEA Grapalat" w:cstheme="majorHAnsi"/>
          <w:b/>
          <w:sz w:val="24"/>
          <w:szCs w:val="24"/>
        </w:rPr>
        <w:t xml:space="preserve">««ԲԱԺՆԵՏԻՐԱԿԱՆ ԸՆԿԵՐՈՒԹՅՈՒՆՆԵՐԻ ՄԱՍԻՆ» ՕՐԵՆՔՈՒՄ ԼՐԱՑՈՒՄՆԵՐ ԿԱՏԱՐԵԼՈՒ ՄԱՍԻՆ» ՕՐԵՆՔԻ ՆԱԽԱԳԾԻ </w:t>
      </w:r>
      <w:r>
        <w:rPr>
          <w:rFonts w:ascii="GHEA Grapalat" w:eastAsia="GHEA Grapalat" w:hAnsi="GHEA Grapalat" w:cstheme="majorHAnsi"/>
          <w:b/>
          <w:sz w:val="24"/>
          <w:szCs w:val="24"/>
        </w:rPr>
        <w:t xml:space="preserve">ՀԱՄԱՁԱՅՆ </w:t>
      </w:r>
      <w:r w:rsidRPr="006C1DD9">
        <w:rPr>
          <w:rFonts w:ascii="GHEA Grapalat" w:eastAsia="GHEA Grapalat" w:hAnsi="GHEA Grapalat" w:cstheme="majorHAnsi"/>
          <w:b/>
          <w:sz w:val="24"/>
          <w:szCs w:val="24"/>
        </w:rPr>
        <w:t>ՓՈՓՈԽՎՈՂ ՀՈԴՎԱԾՆԵՐԻ ՎԵՐԱԲԵՐՅԱԼ</w:t>
      </w:r>
    </w:p>
    <w:p w14:paraId="48F7F911" w14:textId="77777777" w:rsidR="00946756" w:rsidRPr="006C1DD9" w:rsidRDefault="00946756" w:rsidP="00946756">
      <w:pPr>
        <w:tabs>
          <w:tab w:val="left" w:pos="1650"/>
        </w:tabs>
        <w:spacing w:line="276" w:lineRule="auto"/>
        <w:jc w:val="center"/>
        <w:rPr>
          <w:rFonts w:ascii="GHEA Grapalat" w:eastAsia="GHEA Grapalat" w:hAnsi="GHEA Grapalat" w:cstheme="majorHAnsi"/>
          <w:sz w:val="24"/>
          <w:szCs w:val="24"/>
        </w:rPr>
      </w:pPr>
    </w:p>
    <w:p w14:paraId="6C1AE235" w14:textId="77777777" w:rsidR="00946756" w:rsidRPr="006C1DD9" w:rsidRDefault="00946756" w:rsidP="00946756">
      <w:pPr>
        <w:tabs>
          <w:tab w:val="left" w:pos="1650"/>
        </w:tabs>
        <w:spacing w:line="276" w:lineRule="auto"/>
        <w:jc w:val="center"/>
        <w:rPr>
          <w:rFonts w:ascii="GHEA Grapalat" w:eastAsia="GHEA Grapalat" w:hAnsi="GHEA Grapalat" w:cstheme="majorHAnsi"/>
          <w:sz w:val="24"/>
          <w:szCs w:val="24"/>
        </w:rPr>
      </w:pPr>
    </w:p>
    <w:p w14:paraId="5E64EDB5" w14:textId="77777777" w:rsidR="00946756" w:rsidRPr="006C1DD9" w:rsidRDefault="00946756" w:rsidP="00946756">
      <w:pPr>
        <w:shd w:val="clear" w:color="auto" w:fill="FFFFFF"/>
        <w:spacing w:after="0" w:line="240" w:lineRule="auto"/>
        <w:ind w:right="150" w:firstLine="450"/>
        <w:jc w:val="center"/>
        <w:rPr>
          <w:rFonts w:ascii="GHEA Grapalat" w:eastAsia="GHEA Grapalat" w:hAnsi="GHEA Grapalat" w:cs="GHEA Grapalat"/>
          <w:b/>
          <w:sz w:val="24"/>
          <w:szCs w:val="24"/>
        </w:rPr>
      </w:pPr>
      <w:r w:rsidRPr="006C1DD9">
        <w:rPr>
          <w:rFonts w:ascii="GHEA Grapalat" w:eastAsia="GHEA Grapalat" w:hAnsi="GHEA Grapalat" w:cs="GHEA Grapalat"/>
          <w:b/>
          <w:sz w:val="24"/>
          <w:szCs w:val="24"/>
        </w:rPr>
        <w:t>ՀԱՅԱՍՏԱՆԻ ՀԱՆՐԱՊԵՏՈՒԹՅԱՆ</w:t>
      </w:r>
      <w:r w:rsidRPr="006C1DD9">
        <w:rPr>
          <w:rFonts w:ascii="GHEA Grapalat" w:eastAsia="GHEA Grapalat" w:hAnsi="GHEA Grapalat" w:cs="GHEA Grapalat"/>
          <w:b/>
          <w:sz w:val="24"/>
          <w:szCs w:val="24"/>
        </w:rPr>
        <w:br/>
        <w:t>ՕՐԵՆՔԸ</w:t>
      </w:r>
    </w:p>
    <w:p w14:paraId="61002CAB" w14:textId="77777777" w:rsidR="00946756" w:rsidRPr="006C1DD9" w:rsidRDefault="00946756" w:rsidP="00946756">
      <w:pPr>
        <w:shd w:val="clear" w:color="auto" w:fill="FFFFFF"/>
        <w:spacing w:after="0" w:line="240" w:lineRule="auto"/>
        <w:ind w:right="150" w:firstLine="450"/>
        <w:jc w:val="both"/>
        <w:rPr>
          <w:rFonts w:ascii="GHEA Grapalat" w:eastAsia="GHEA Grapalat" w:hAnsi="GHEA Grapalat" w:cs="GHEA Grapalat"/>
          <w:b/>
          <w:sz w:val="24"/>
          <w:szCs w:val="24"/>
        </w:rPr>
      </w:pPr>
      <w:r w:rsidRPr="006C1DD9">
        <w:rPr>
          <w:rFonts w:eastAsia="GHEA Grapalat"/>
          <w:b/>
          <w:sz w:val="24"/>
          <w:szCs w:val="24"/>
        </w:rPr>
        <w:t> </w:t>
      </w:r>
    </w:p>
    <w:p w14:paraId="5EBE75E2" w14:textId="77777777" w:rsidR="00946756" w:rsidRPr="006C1DD9" w:rsidRDefault="00946756" w:rsidP="00946756">
      <w:pPr>
        <w:shd w:val="clear" w:color="auto" w:fill="FFFFFF"/>
        <w:spacing w:after="0" w:line="240" w:lineRule="auto"/>
        <w:ind w:right="150" w:firstLine="450"/>
        <w:jc w:val="center"/>
        <w:rPr>
          <w:rFonts w:ascii="GHEA Grapalat" w:eastAsia="GHEA Grapalat" w:hAnsi="GHEA Grapalat" w:cs="GHEA Grapalat"/>
          <w:b/>
          <w:sz w:val="24"/>
          <w:szCs w:val="24"/>
        </w:rPr>
      </w:pPr>
      <w:r w:rsidRPr="006C1DD9">
        <w:rPr>
          <w:rFonts w:ascii="GHEA Grapalat" w:eastAsia="GHEA Grapalat" w:hAnsi="GHEA Grapalat" w:cs="GHEA Grapalat"/>
          <w:b/>
          <w:sz w:val="24"/>
          <w:szCs w:val="24"/>
        </w:rPr>
        <w:t>ԲԱԺՆԵՏԻՐԱԿԱՆ ԸՆԿԵՐՈՒԹՅՈՒՆՆԵՐԻ ՄԱՍԻՆ</w:t>
      </w:r>
    </w:p>
    <w:p w14:paraId="4BBD502B" w14:textId="77777777" w:rsidR="00946756" w:rsidRPr="006C1DD9" w:rsidRDefault="00946756" w:rsidP="00946756">
      <w:pPr>
        <w:tabs>
          <w:tab w:val="left" w:pos="1650"/>
        </w:tabs>
        <w:spacing w:line="276" w:lineRule="auto"/>
        <w:jc w:val="center"/>
        <w:rPr>
          <w:rFonts w:ascii="GHEA Grapalat" w:eastAsia="GHEA Grapalat" w:hAnsi="GHEA Grapalat" w:cs="GHEA Grapalat"/>
          <w:b/>
          <w:sz w:val="24"/>
          <w:szCs w:val="24"/>
        </w:rPr>
      </w:pPr>
    </w:p>
    <w:p w14:paraId="38B95F22" w14:textId="77777777" w:rsidR="00946756" w:rsidRPr="006C1DD9" w:rsidRDefault="00946756" w:rsidP="00946756">
      <w:pPr>
        <w:tabs>
          <w:tab w:val="left" w:pos="1650"/>
        </w:tabs>
        <w:spacing w:line="276" w:lineRule="auto"/>
        <w:rPr>
          <w:rFonts w:ascii="GHEA Grapalat" w:eastAsia="GHEA Grapalat" w:hAnsi="GHEA Grapalat" w:cs="GHEA Grapalat"/>
          <w:b/>
          <w:sz w:val="24"/>
          <w:szCs w:val="24"/>
        </w:rPr>
      </w:pPr>
    </w:p>
    <w:p w14:paraId="3A836934" w14:textId="77777777" w:rsidR="00946756" w:rsidRPr="006C1DD9" w:rsidRDefault="00946756" w:rsidP="00946756">
      <w:pPr>
        <w:shd w:val="clear" w:color="auto" w:fill="FFFFFF"/>
        <w:spacing w:after="0" w:line="276" w:lineRule="auto"/>
        <w:ind w:right="150" w:firstLine="450"/>
        <w:jc w:val="both"/>
        <w:rPr>
          <w:rFonts w:ascii="GHEA Grapalat" w:eastAsia="GHEA Grapalat" w:hAnsi="GHEA Grapalat" w:cs="GHEA Grapalat"/>
          <w:b/>
          <w:sz w:val="24"/>
          <w:szCs w:val="24"/>
          <w:highlight w:val="yellow"/>
          <w:u w:val="single"/>
        </w:rPr>
      </w:pPr>
      <w:r w:rsidRPr="006C1DD9">
        <w:rPr>
          <w:rFonts w:ascii="GHEA Grapalat" w:eastAsia="GHEA Grapalat" w:hAnsi="GHEA Grapalat" w:cs="GHEA Grapalat"/>
          <w:b/>
          <w:sz w:val="24"/>
          <w:szCs w:val="24"/>
          <w:highlight w:val="yellow"/>
          <w:u w:val="single"/>
        </w:rPr>
        <w:t>Հոդված 38.2. ՍԵՅՖ պայմանագիրը</w:t>
      </w:r>
    </w:p>
    <w:p w14:paraId="5E67BF2A" w14:textId="77777777" w:rsidR="00946756" w:rsidRPr="006C1DD9" w:rsidRDefault="00946756" w:rsidP="00946756">
      <w:pPr>
        <w:shd w:val="clear" w:color="auto" w:fill="FFFFFF"/>
        <w:spacing w:after="0" w:line="276" w:lineRule="auto"/>
        <w:ind w:right="150" w:firstLine="450"/>
        <w:jc w:val="both"/>
        <w:rPr>
          <w:rFonts w:ascii="GHEA Grapalat" w:eastAsia="GHEA Grapalat" w:hAnsi="GHEA Grapalat" w:cs="GHEA Grapalat"/>
          <w:b/>
          <w:sz w:val="24"/>
          <w:szCs w:val="24"/>
          <w:highlight w:val="yellow"/>
          <w:u w:val="single"/>
        </w:rPr>
      </w:pPr>
    </w:p>
    <w:p w14:paraId="4D1D8ED7" w14:textId="77777777" w:rsidR="00946756" w:rsidRPr="00FD48EE" w:rsidRDefault="00946756" w:rsidP="00946756">
      <w:pPr>
        <w:numPr>
          <w:ilvl w:val="0"/>
          <w:numId w:val="1"/>
        </w:numPr>
        <w:shd w:val="clear" w:color="auto" w:fill="FFFFFF"/>
        <w:spacing w:after="0" w:line="276" w:lineRule="auto"/>
        <w:ind w:right="150"/>
        <w:jc w:val="both"/>
        <w:rPr>
          <w:rFonts w:ascii="GHEA Grapalat" w:eastAsia="GHEA Grapalat" w:hAnsi="GHEA Grapalat" w:cs="GHEA Grapalat"/>
          <w:sz w:val="24"/>
          <w:szCs w:val="24"/>
          <w:highlight w:val="yellow"/>
          <w:u w:val="single"/>
        </w:rPr>
      </w:pPr>
      <w:r w:rsidRPr="00FD48EE">
        <w:rPr>
          <w:rFonts w:ascii="GHEA Grapalat" w:eastAsia="GHEA Grapalat" w:hAnsi="GHEA Grapalat" w:cs="GHEA Grapalat"/>
          <w:sz w:val="24"/>
          <w:szCs w:val="24"/>
          <w:highlight w:val="yellow"/>
          <w:u w:val="single"/>
        </w:rPr>
        <w:t xml:space="preserve">ՍԵՅՖ պայմանագրով մի կողմը՝ ներդրողը պարտավորվում է Ընկերության </w:t>
      </w:r>
      <w:r>
        <w:rPr>
          <w:rFonts w:ascii="GHEA Grapalat" w:eastAsia="GHEA Grapalat" w:hAnsi="GHEA Grapalat" w:cs="GHEA Grapalat"/>
          <w:sz w:val="24"/>
          <w:szCs w:val="24"/>
          <w:highlight w:val="yellow"/>
          <w:u w:val="single"/>
        </w:rPr>
        <w:t>սեփական</w:t>
      </w:r>
      <w:r w:rsidRPr="00FD48EE">
        <w:rPr>
          <w:rFonts w:ascii="GHEA Grapalat" w:eastAsia="GHEA Grapalat" w:hAnsi="GHEA Grapalat" w:cs="GHEA Grapalat"/>
          <w:sz w:val="24"/>
          <w:szCs w:val="24"/>
          <w:highlight w:val="yellow"/>
          <w:u w:val="single"/>
        </w:rPr>
        <w:t xml:space="preserve"> կապիտալում ներդնել պայմանագրով սահմանված չափի դրամական միջոցներ, իսկ Ընկերությունը պարտավորվում է այդ պայմանագրով սահմանված պայմանների վրա հասնելու դեպքում ապագայում թողարկել և մյուս կողմի (ներդրողի) օգտին տեղաբաշխել այդ պայմանագրով որոշված կամ պայմանագրով սահմանված կարգով որոշվող քանակով, տեսակի և դասի բաժնետոմսեր:</w:t>
      </w:r>
    </w:p>
    <w:p w14:paraId="01FDAD1E" w14:textId="77777777" w:rsidR="00946756" w:rsidRPr="00FD48EE" w:rsidRDefault="00946756" w:rsidP="00946756">
      <w:pPr>
        <w:numPr>
          <w:ilvl w:val="0"/>
          <w:numId w:val="1"/>
        </w:numPr>
        <w:shd w:val="clear" w:color="auto" w:fill="FFFFFF"/>
        <w:spacing w:after="0" w:line="276" w:lineRule="auto"/>
        <w:ind w:right="150"/>
        <w:jc w:val="both"/>
        <w:rPr>
          <w:rFonts w:ascii="GHEA Grapalat" w:eastAsia="GHEA Grapalat" w:hAnsi="GHEA Grapalat" w:cs="GHEA Grapalat"/>
          <w:sz w:val="24"/>
          <w:szCs w:val="24"/>
          <w:highlight w:val="yellow"/>
          <w:u w:val="single"/>
        </w:rPr>
      </w:pPr>
      <w:r w:rsidRPr="00FD48EE">
        <w:rPr>
          <w:rFonts w:ascii="GHEA Grapalat" w:eastAsia="GHEA Grapalat" w:hAnsi="GHEA Grapalat" w:cs="GHEA Grapalat"/>
          <w:sz w:val="24"/>
          <w:szCs w:val="24"/>
          <w:highlight w:val="yellow"/>
          <w:u w:val="single"/>
        </w:rPr>
        <w:t>ՍԵՅՖ պայմանագրի կնքման դեպքում ներդրողը` պայմանագրով սահմանված ժամկետում Ընկերությանը հանձնում է պայմանագրով սահմանված չափի դրամական միջոցներ, սակայն Ընկերության կանոնադրական կապիտալի ավելացումը համապատասխան չափով տեղի է ունենում միայն պայմանագրով սահմանված կարգով Ընկերության բաժնետոմսերի թողարկման և ներդրողի օգտին տեղաբաշխման դեպքում: ՍԵՅՖ պայմանագիրն ուժի մեջ է մտնում դրա կնքման պահին, սակայն դրա հիման վրա Ընկերության բաժնետոմսերի թողարկման և ներդրողի օգտին տեղաբաշխման դեպքում բաժնետոմսերը համարվում են վճարված դրանց տեղաբաշխման պահին:</w:t>
      </w:r>
    </w:p>
    <w:p w14:paraId="7BE717A9" w14:textId="77777777" w:rsidR="00946756" w:rsidRPr="00FD48EE" w:rsidRDefault="00946756" w:rsidP="00946756">
      <w:pPr>
        <w:numPr>
          <w:ilvl w:val="0"/>
          <w:numId w:val="1"/>
        </w:numPr>
        <w:shd w:val="clear" w:color="auto" w:fill="FFFFFF"/>
        <w:spacing w:after="0" w:line="276" w:lineRule="auto"/>
        <w:ind w:right="150"/>
        <w:jc w:val="both"/>
        <w:rPr>
          <w:rFonts w:ascii="GHEA Grapalat" w:eastAsia="GHEA Grapalat" w:hAnsi="GHEA Grapalat" w:cs="GHEA Grapalat"/>
          <w:sz w:val="24"/>
          <w:szCs w:val="24"/>
          <w:highlight w:val="yellow"/>
          <w:u w:val="single"/>
        </w:rPr>
      </w:pPr>
      <w:r w:rsidRPr="00FD48EE">
        <w:rPr>
          <w:rFonts w:ascii="GHEA Grapalat" w:eastAsia="GHEA Grapalat" w:hAnsi="GHEA Grapalat" w:cs="GHEA Grapalat"/>
          <w:sz w:val="24"/>
          <w:szCs w:val="24"/>
          <w:highlight w:val="yellow"/>
          <w:u w:val="single"/>
        </w:rPr>
        <w:t>ՍԵՅՖ պայմանագրով սահմանված` Ընկերության բաժնետոմսերի թողարկման և ներդրողի օգտին տեղաբաշխման պայմանները վրա հասնելու դեպքում Ընկերությունը պարտավոր է 60-օրյա ժամկետում ՍԵՅՖ պայմանագրով սահմանված բաժնետոմսերը թողարկել և ներդրողի օգտին տեղաբաշխել:</w:t>
      </w:r>
    </w:p>
    <w:p w14:paraId="6B839E56" w14:textId="77777777" w:rsidR="00946756" w:rsidRPr="00FD48EE" w:rsidRDefault="00946756" w:rsidP="00946756">
      <w:pPr>
        <w:numPr>
          <w:ilvl w:val="0"/>
          <w:numId w:val="1"/>
        </w:numPr>
        <w:shd w:val="clear" w:color="auto" w:fill="FFFFFF"/>
        <w:spacing w:after="0" w:line="276" w:lineRule="auto"/>
        <w:ind w:right="150"/>
        <w:jc w:val="both"/>
        <w:rPr>
          <w:rFonts w:ascii="GHEA Grapalat" w:eastAsia="GHEA Grapalat" w:hAnsi="GHEA Grapalat" w:cs="GHEA Grapalat"/>
          <w:sz w:val="24"/>
          <w:szCs w:val="24"/>
          <w:highlight w:val="yellow"/>
          <w:u w:val="single"/>
        </w:rPr>
      </w:pPr>
      <w:r w:rsidRPr="00FD48EE">
        <w:rPr>
          <w:rFonts w:ascii="GHEA Grapalat" w:eastAsia="GHEA Grapalat" w:hAnsi="GHEA Grapalat" w:cs="GHEA Grapalat"/>
          <w:sz w:val="24"/>
          <w:szCs w:val="24"/>
          <w:highlight w:val="yellow"/>
          <w:u w:val="single"/>
        </w:rPr>
        <w:lastRenderedPageBreak/>
        <w:t>ՍԵՅՖ պայմանագրի հիման վրա բաժնետոմսերի թողարկման և ներդրողի օգտին տեղաբաշխման դեպքում Ընկերության այլ բաժնետերերի կամ Ընկերության կողմից բաժնետոմսերը ձեռք բերելու նախապատվության իրավունքը չի կիրառվում:</w:t>
      </w:r>
    </w:p>
    <w:p w14:paraId="335E4866" w14:textId="77777777" w:rsidR="00946756" w:rsidRPr="00FD48EE" w:rsidRDefault="00946756" w:rsidP="00946756">
      <w:pPr>
        <w:numPr>
          <w:ilvl w:val="0"/>
          <w:numId w:val="1"/>
        </w:numPr>
        <w:shd w:val="clear" w:color="auto" w:fill="FFFFFF"/>
        <w:spacing w:after="0" w:line="276" w:lineRule="auto"/>
        <w:ind w:right="150"/>
        <w:jc w:val="both"/>
        <w:rPr>
          <w:rFonts w:ascii="GHEA Grapalat" w:eastAsia="GHEA Grapalat" w:hAnsi="GHEA Grapalat" w:cs="GHEA Grapalat"/>
          <w:sz w:val="24"/>
          <w:szCs w:val="24"/>
          <w:highlight w:val="yellow"/>
          <w:u w:val="single"/>
        </w:rPr>
      </w:pPr>
      <w:r w:rsidRPr="00FD48EE">
        <w:rPr>
          <w:rFonts w:ascii="GHEA Grapalat" w:eastAsia="GHEA Grapalat" w:hAnsi="GHEA Grapalat" w:cs="GHEA Grapalat"/>
          <w:sz w:val="24"/>
          <w:szCs w:val="24"/>
          <w:highlight w:val="yellow"/>
          <w:u w:val="single"/>
        </w:rPr>
        <w:t>«Հայաստանի Հանրապետության կենտրոնական բանկի մասին» ՀՀ օրենքի 39</w:t>
      </w:r>
      <w:r w:rsidRPr="00FD48EE">
        <w:rPr>
          <w:rFonts w:ascii="Cambria Math" w:eastAsia="GHEA Grapalat" w:hAnsi="Cambria Math" w:cs="Cambria Math"/>
          <w:sz w:val="24"/>
          <w:szCs w:val="24"/>
          <w:highlight w:val="yellow"/>
          <w:u w:val="single"/>
        </w:rPr>
        <w:t>․</w:t>
      </w:r>
      <w:r w:rsidRPr="00FD48EE">
        <w:rPr>
          <w:rFonts w:ascii="GHEA Grapalat" w:eastAsia="GHEA Grapalat" w:hAnsi="GHEA Grapalat" w:cs="GHEA Grapalat"/>
          <w:sz w:val="24"/>
          <w:szCs w:val="24"/>
          <w:highlight w:val="yellow"/>
          <w:u w:val="single"/>
        </w:rPr>
        <w:t>1 հոդվածի 1-ին մասով նախատեսված կազմակերպությունների կողմից ներդրումներ ներգրավելու կամ ներդրումներ կատարելու հետ կապված հարաբերությունները կարգավորվում են այդ կազմակերպությունների գործունեությունը կարգավորող օրենքներով և նորմատիվ իրավական ակտերով։</w:t>
      </w:r>
    </w:p>
    <w:p w14:paraId="430C2DF9" w14:textId="77777777" w:rsidR="00946756" w:rsidRPr="00320D6B" w:rsidRDefault="00946756" w:rsidP="00946756">
      <w:pPr>
        <w:pStyle w:val="ListParagraph"/>
        <w:numPr>
          <w:ilvl w:val="0"/>
          <w:numId w:val="1"/>
        </w:numPr>
        <w:rPr>
          <w:rFonts w:ascii="GHEA Grapalat" w:eastAsia="GHEA Grapalat" w:hAnsi="GHEA Grapalat" w:cs="GHEA Grapalat"/>
          <w:sz w:val="24"/>
          <w:szCs w:val="24"/>
          <w:highlight w:val="yellow"/>
          <w:u w:val="single"/>
        </w:rPr>
      </w:pPr>
      <w:r w:rsidRPr="00320D6B">
        <w:rPr>
          <w:rFonts w:ascii="GHEA Grapalat" w:eastAsia="GHEA Grapalat" w:hAnsi="GHEA Grapalat" w:cs="GHEA Grapalat"/>
          <w:sz w:val="24"/>
          <w:szCs w:val="24"/>
          <w:highlight w:val="yellow"/>
          <w:u w:val="single"/>
        </w:rPr>
        <w:t>ՍԵՅՖ պայմանագրով սահմանվում են նաև պայմաններ, որոնց վրա հասնելու դեպքում ներդրողի կողմից ՍԵՅՖ պայմանագրի հիման վրա ներդրված գումարին հավասար գումարը ենթակա է ներդրողին վերադարձման, ինչի դեպքում Ընկերության կանոնադրական կապիտալի ավելացում և լրացուցիչ բաժնետոմսերի տեղաբաշխում տեղի չի ունենում: ՍԵՅՖ պայմանագրով կարող է նաև սահմանվել, որ ներդրված դրամական միջոցների վերադարձման դեպքում Ընկերությունը պարտավոր է ներդրողին վճարել դրանց նկատմամաբ տոկոսներ:</w:t>
      </w:r>
    </w:p>
    <w:p w14:paraId="454C76C8" w14:textId="77777777" w:rsidR="00946756" w:rsidRPr="00FD48EE" w:rsidRDefault="00946756" w:rsidP="00946756">
      <w:pPr>
        <w:numPr>
          <w:ilvl w:val="0"/>
          <w:numId w:val="1"/>
        </w:numPr>
        <w:shd w:val="clear" w:color="auto" w:fill="FFFFFF"/>
        <w:spacing w:after="0" w:line="276" w:lineRule="auto"/>
        <w:ind w:right="150"/>
        <w:jc w:val="both"/>
        <w:rPr>
          <w:rFonts w:ascii="GHEA Grapalat" w:eastAsia="GHEA Grapalat" w:hAnsi="GHEA Grapalat" w:cs="GHEA Grapalat"/>
          <w:sz w:val="24"/>
          <w:szCs w:val="24"/>
          <w:highlight w:val="yellow"/>
          <w:u w:val="single"/>
        </w:rPr>
      </w:pPr>
      <w:r w:rsidRPr="00FD48EE">
        <w:rPr>
          <w:rFonts w:ascii="GHEA Grapalat" w:eastAsia="GHEA Grapalat" w:hAnsi="GHEA Grapalat" w:cs="GHEA Grapalat"/>
          <w:sz w:val="24"/>
          <w:szCs w:val="24"/>
          <w:highlight w:val="yellow"/>
          <w:u w:val="single"/>
        </w:rPr>
        <w:t>ՍԵՅՖ պայմանագիրը հանդիսանում է արժեթուղթ։»</w:t>
      </w:r>
    </w:p>
    <w:p w14:paraId="2175C1E1" w14:textId="77777777" w:rsidR="00946756" w:rsidRPr="006C1DD9" w:rsidRDefault="00946756" w:rsidP="00946756">
      <w:pPr>
        <w:shd w:val="clear" w:color="auto" w:fill="FFFFFF"/>
        <w:spacing w:after="0" w:line="276" w:lineRule="auto"/>
        <w:ind w:left="450" w:right="150"/>
        <w:jc w:val="both"/>
        <w:rPr>
          <w:rFonts w:ascii="GHEA Grapalat" w:eastAsia="GHEA Grapalat" w:hAnsi="GHEA Grapalat" w:cs="GHEA Grapalat"/>
          <w:sz w:val="24"/>
          <w:szCs w:val="24"/>
          <w:highlight w:val="yellow"/>
          <w:u w:val="single"/>
        </w:rPr>
      </w:pPr>
    </w:p>
    <w:p w14:paraId="3D9BABCE" w14:textId="77777777" w:rsidR="00946756" w:rsidRPr="006C1DD9" w:rsidRDefault="00946756" w:rsidP="00946756">
      <w:pPr>
        <w:tabs>
          <w:tab w:val="left" w:pos="1650"/>
        </w:tabs>
        <w:spacing w:line="276" w:lineRule="auto"/>
        <w:rPr>
          <w:rFonts w:ascii="GHEA Grapalat" w:eastAsia="GHEA Grapalat" w:hAnsi="GHEA Grapalat" w:cs="GHEA Grapalat"/>
          <w:b/>
          <w:sz w:val="24"/>
          <w:szCs w:val="24"/>
        </w:rPr>
      </w:pPr>
    </w:p>
    <w:p w14:paraId="181ADA3A" w14:textId="77777777" w:rsidR="00946756" w:rsidRPr="006C1DD9" w:rsidRDefault="00946756" w:rsidP="00946756">
      <w:pPr>
        <w:tabs>
          <w:tab w:val="left" w:pos="1650"/>
        </w:tabs>
        <w:spacing w:line="276" w:lineRule="auto"/>
        <w:rPr>
          <w:rFonts w:ascii="GHEA Grapalat" w:eastAsia="GHEA Grapalat" w:hAnsi="GHEA Grapalat" w:cs="GHEA Grapalat"/>
          <w:b/>
          <w:sz w:val="24"/>
          <w:szCs w:val="24"/>
        </w:rPr>
      </w:pPr>
    </w:p>
    <w:p w14:paraId="5932951F" w14:textId="77777777" w:rsidR="00946756" w:rsidRPr="006C1DD9" w:rsidRDefault="00946756" w:rsidP="00946756">
      <w:pPr>
        <w:tabs>
          <w:tab w:val="left" w:pos="1650"/>
        </w:tabs>
        <w:spacing w:line="276" w:lineRule="auto"/>
        <w:rPr>
          <w:rFonts w:ascii="GHEA Grapalat" w:eastAsia="GHEA Grapalat" w:hAnsi="GHEA Grapalat" w:cs="GHEA Grapalat"/>
          <w:b/>
          <w:sz w:val="24"/>
          <w:szCs w:val="24"/>
        </w:rPr>
      </w:pPr>
    </w:p>
    <w:p w14:paraId="048FACFE" w14:textId="77777777" w:rsidR="00946756" w:rsidRPr="006C1DD9" w:rsidRDefault="00946756" w:rsidP="00946756">
      <w:pPr>
        <w:tabs>
          <w:tab w:val="left" w:pos="1650"/>
        </w:tabs>
        <w:spacing w:line="276" w:lineRule="auto"/>
        <w:rPr>
          <w:rFonts w:ascii="GHEA Grapalat" w:eastAsia="GHEA Grapalat" w:hAnsi="GHEA Grapalat" w:cs="GHEA Grapalat"/>
          <w:b/>
          <w:sz w:val="24"/>
          <w:szCs w:val="24"/>
        </w:rPr>
      </w:pPr>
    </w:p>
    <w:p w14:paraId="16EC40E0" w14:textId="77777777" w:rsidR="00946756" w:rsidRPr="006C1DD9" w:rsidRDefault="00946756" w:rsidP="00946756">
      <w:pPr>
        <w:tabs>
          <w:tab w:val="left" w:pos="1650"/>
        </w:tabs>
        <w:spacing w:line="276" w:lineRule="auto"/>
        <w:rPr>
          <w:rFonts w:ascii="GHEA Grapalat" w:eastAsia="GHEA Grapalat" w:hAnsi="GHEA Grapalat" w:cs="GHEA Grapalat"/>
          <w:b/>
          <w:sz w:val="24"/>
          <w:szCs w:val="24"/>
        </w:rPr>
      </w:pPr>
      <w:r w:rsidRPr="006C1DD9">
        <w:rPr>
          <w:rFonts w:ascii="GHEA Grapalat" w:eastAsia="GHEA Grapalat" w:hAnsi="GHEA Grapalat" w:cs="GHEA Grapalat"/>
          <w:b/>
          <w:sz w:val="24"/>
          <w:szCs w:val="24"/>
        </w:rPr>
        <w:t>Հոդված 44.</w:t>
      </w:r>
      <w:r w:rsidRPr="006C1DD9">
        <w:rPr>
          <w:rFonts w:ascii="GHEA Grapalat" w:eastAsia="GHEA Grapalat" w:hAnsi="GHEA Grapalat" w:cs="GHEA Grapalat"/>
          <w:b/>
          <w:sz w:val="24"/>
          <w:szCs w:val="24"/>
        </w:rPr>
        <w:tab/>
        <w:t>Ընկերության տեղաբաշխվող բաժնետոմսերի գինը</w:t>
      </w:r>
    </w:p>
    <w:p w14:paraId="0081987C"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 Ընկերության կողմից տեղաբաշխվող բաժնետոմսերի դիմաց վճարումը կատարվում է դրանց շուկայական արժեքով, բայց ոչ պակաս անվանական արժեքից:</w:t>
      </w:r>
    </w:p>
    <w:p w14:paraId="06C38EFD"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Ընկերության բաժնետոմսերի դիմաց վճարումն Ընկերության հիմնադրման ժամանակ իրականացվում է հիմնադիրների կողմից` բաժնետոմսի անվանական արժեքով:</w:t>
      </w:r>
    </w:p>
    <w:p w14:paraId="17512D65"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2. Ընկերությունն իրավունք ունի լրացուցիչ բաժնետոմսեր տեղաբաշխել դրանց շուկայական արժեքից ցածր, եթե`</w:t>
      </w:r>
    </w:p>
    <w:p w14:paraId="2047447D"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ա) տեղաբաշխումն իրականացվում է Ընկերության հասարակ (սովորական) բաժնետոմսեր ունեցող բոլոր բաժնետերերի կողմից նման բաժնետոմսեր ձեռք բերելու նախապատվության իրենց իրավունքն իրականացնելիս.</w:t>
      </w:r>
    </w:p>
    <w:p w14:paraId="691B217F"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lastRenderedPageBreak/>
        <w:t>բ) բաժնետոմսերի տեղաբաշխման համար Ընկերությունն օգտվում է տեղաբաշխողի (միջնորդի) ծառայություններից: Տեղաբաշխման գինն այս դեպքում կարող է շուկայական արժեքից ցածր լինել միայն տեղաբաշխողին (միջնորդին) վճարվող վարձատրության չափով, որը պետք է սահմանվի որպես տոկոսադրույք` տեղաբաշխվող բաժնետոմսի գնի նկատմամբ:</w:t>
      </w:r>
    </w:p>
    <w:p w14:paraId="50E10287"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գ) սույն օրենքի 41-րդ հոդվածով սահմանված կարգով տեղաբաշխում է աշխատակիցներին տրամադրվող բաժնետոմսեր:</w:t>
      </w:r>
    </w:p>
    <w:p w14:paraId="632AE116" w14:textId="77777777" w:rsidR="00946756" w:rsidRPr="006C1DD9" w:rsidRDefault="00946756" w:rsidP="00946756">
      <w:pPr>
        <w:tabs>
          <w:tab w:val="left" w:pos="1650"/>
        </w:tabs>
        <w:spacing w:line="276" w:lineRule="auto"/>
        <w:jc w:val="both"/>
        <w:rPr>
          <w:rFonts w:ascii="GHEA Grapalat" w:eastAsia="GHEA Grapalat" w:hAnsi="GHEA Grapalat" w:cs="GHEA Grapalat"/>
          <w:sz w:val="24"/>
          <w:szCs w:val="24"/>
          <w:u w:val="single"/>
        </w:rPr>
      </w:pPr>
      <w:r w:rsidRPr="006C1DD9">
        <w:rPr>
          <w:rFonts w:ascii="GHEA Grapalat" w:eastAsia="GHEA Grapalat" w:hAnsi="GHEA Grapalat" w:cs="GHEA Grapalat"/>
          <w:sz w:val="24"/>
          <w:szCs w:val="24"/>
          <w:highlight w:val="yellow"/>
          <w:u w:val="single"/>
        </w:rPr>
        <w:t>դ) ՍԵՅՖ պայմանագրի հիման վրա տեղաբաշխում է բաժնետոմսեր:</w:t>
      </w:r>
    </w:p>
    <w:p w14:paraId="7F0A0658" w14:textId="77777777" w:rsidR="00946756" w:rsidRPr="006C1DD9" w:rsidRDefault="00946756" w:rsidP="00946756">
      <w:pPr>
        <w:tabs>
          <w:tab w:val="left" w:pos="1650"/>
        </w:tabs>
        <w:spacing w:line="276" w:lineRule="auto"/>
        <w:jc w:val="both"/>
        <w:rPr>
          <w:rFonts w:ascii="GHEA Grapalat" w:eastAsia="GHEA Grapalat" w:hAnsi="GHEA Grapalat" w:cs="GHEA Grapalat"/>
          <w:sz w:val="24"/>
          <w:szCs w:val="24"/>
          <w:u w:val="single"/>
        </w:rPr>
      </w:pPr>
    </w:p>
    <w:p w14:paraId="3EA259C0"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u w:val="single"/>
        </w:rPr>
      </w:pPr>
    </w:p>
    <w:p w14:paraId="7559F749" w14:textId="77777777" w:rsidR="00946756" w:rsidRPr="006C1DD9" w:rsidRDefault="00946756" w:rsidP="00946756">
      <w:pPr>
        <w:tabs>
          <w:tab w:val="left" w:pos="1650"/>
        </w:tabs>
        <w:spacing w:line="276" w:lineRule="auto"/>
        <w:jc w:val="both"/>
        <w:rPr>
          <w:rFonts w:ascii="GHEA Grapalat" w:eastAsia="GHEA Grapalat" w:hAnsi="GHEA Grapalat" w:cs="GHEA Grapalat"/>
          <w:b/>
          <w:sz w:val="24"/>
          <w:szCs w:val="24"/>
        </w:rPr>
      </w:pPr>
      <w:r w:rsidRPr="006C1DD9">
        <w:rPr>
          <w:rFonts w:ascii="GHEA Grapalat" w:eastAsia="GHEA Grapalat" w:hAnsi="GHEA Grapalat" w:cs="GHEA Grapalat"/>
          <w:b/>
          <w:sz w:val="24"/>
          <w:szCs w:val="24"/>
        </w:rPr>
        <w:t xml:space="preserve">Հոդված 67. </w:t>
      </w:r>
      <w:r w:rsidRPr="006C1DD9">
        <w:rPr>
          <w:rFonts w:ascii="GHEA Grapalat" w:eastAsia="GHEA Grapalat" w:hAnsi="GHEA Grapalat" w:cs="GHEA Grapalat"/>
          <w:b/>
          <w:sz w:val="24"/>
          <w:szCs w:val="24"/>
        </w:rPr>
        <w:tab/>
        <w:t>Ժողովի իրավասությունները</w:t>
      </w:r>
    </w:p>
    <w:p w14:paraId="177091E0"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 xml:space="preserve"> </w:t>
      </w:r>
    </w:p>
    <w:p w14:paraId="5498F6A5"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 Ժողովի իրավասություններն են`</w:t>
      </w:r>
    </w:p>
    <w:p w14:paraId="0B3B0198"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p>
    <w:p w14:paraId="71B8DC0A"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 կանոնադրության հաստատումը, դրանում փոփոխությունների և լրացումների կատարումը, կանոնադրության հաստատումը նոր խմբագրությամբ.</w:t>
      </w:r>
    </w:p>
    <w:p w14:paraId="5BDE51D5"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2) Ընկերության վերակազմակերպումը.</w:t>
      </w:r>
    </w:p>
    <w:p w14:paraId="7AF64F49"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3) Ընկերության լուծարումը.</w:t>
      </w:r>
    </w:p>
    <w:p w14:paraId="564CADD6"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4) ամփոփ, միջանկյալ և լուծարման հաշվեկշիռների հաստատումը, լուծարային հանձնաժողովի նշանակումը.</w:t>
      </w:r>
    </w:p>
    <w:p w14:paraId="56B5D092"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5) խորհրդի քանակական կազմի հաստատումը, դրա անդամների ընտրությունը, նրանց լիազորությունների վաղաժամկետ դադարեցումը: Խորհրդի քանակական կազմի հաստատման և դրա անդամների ընտրության հարցերը քննարկվում են բացառապես տարեկան ժողովներում: Խորհրդի անդամների ընտրության հարցն արտահերթ ժողովում կարող է քննարկվել, եթե վերջինս որոշում է ընդունել խորհրդի կամ նրա առանձին անդամների լիազորությունների վաղաժամկետ դադարեցման մասին.</w:t>
      </w:r>
    </w:p>
    <w:p w14:paraId="180F451D"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6) հայտարարված բաժնետոմսերի ծավալի առավելագույն չափի սահմանումը.</w:t>
      </w:r>
    </w:p>
    <w:p w14:paraId="1CDB155F"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 xml:space="preserve">7) բաժնետոմսերի անվանական արժեքի փոքրացման, բաժնետոմսերի ընդհանուր քանակի կրճատման նպատակով Ընկերության կողմից տեղաբաշխված բաժնետոմսերի ձեռքբերման, ինչպես նաև Ընկերության կողմից ձեռք բերված կամ հետգնված </w:t>
      </w:r>
      <w:r w:rsidRPr="006C1DD9">
        <w:rPr>
          <w:rFonts w:ascii="GHEA Grapalat" w:eastAsia="GHEA Grapalat" w:hAnsi="GHEA Grapalat" w:cs="GHEA Grapalat"/>
          <w:bCs/>
          <w:sz w:val="24"/>
          <w:szCs w:val="24"/>
        </w:rPr>
        <w:lastRenderedPageBreak/>
        <w:t>բաժնետոմսերի մարման ճանապարհով կանոնադրական կապիտալի չափի նվազեցումը.</w:t>
      </w:r>
    </w:p>
    <w:p w14:paraId="1BCF9AF5"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8) բաժնետոմսերի անվանական արժեքի մեծացման կամ լրացուցիչ բաժնետոմսերի տեղաբաշխման միջոցով կանոնադրական կապիտալի չափի ավելացումը.</w:t>
      </w:r>
    </w:p>
    <w:p w14:paraId="06785A63"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9) Ընկերության գործադիր մարմնի (միանձնյա կամ կոլեգիալ) ձևավորումը, լիազորությունների վաղաժամկետ դադարեցումը, ինչպես նաև Ընկերության գործադիր մարմնի լիազորությունները ժամանակավորապես իրականացնող պաշտոնատար անձի նշանակումը.</w:t>
      </w:r>
    </w:p>
    <w:p w14:paraId="52302FFA"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10) Ընկերության աուդիտն իրականացնող անձի հաստատումը.</w:t>
      </w:r>
    </w:p>
    <w:p w14:paraId="1DAD6383"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11) Ընկերության վերստուգող հանձնաժողովի անդամների (վերստուգողի) ընտրությունը և նրանց (նրա) լիազորությունների վաղաժամկետ դադարեցումը: Ընկերության վերստուգող հանձնաժողովի անդամների (վերստուգողի) ընտրության հարցերը ժողովին վերապահված լինելու դեպքում քննարկվում են բացառապես տարեկան ժողովներում: Ընկերության վերստուգող հանձնաժողովի անդամների (վերստուգողի) ընտրության հարցն արտահերթ ժողովում կարող է քննարկվել, եթե վերջինս որոշում է ընդունել Ընկերության վերստուգող հանձնաժողովի (վերստուգողի) կամ նրա առանձին անդամների լիազորությունների վաղաժամկետ դադարեցման մասին.</w:t>
      </w:r>
    </w:p>
    <w:p w14:paraId="1FCF5C54"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12) Ընկերության աշխատակիցների բաժնետիրացման ծրագրի հաստատումը.</w:t>
      </w:r>
    </w:p>
    <w:p w14:paraId="7115BDC8"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13) Ընկերության տարեկան հաշվետվությունների, հաշվապահական հաշվեկշիռների, շահույթների և վնասների հաշվի, շահույթների և վնասների բաշխման հաստատումը, տարեկան շահութաբաժինների վճարման մասին որոշման ընդունումը և տարեկան շահութաբաժինների չափի հաստատումը: Նշված հարցերը քննարկվում են բացառապես տարեկան ժողովներում: Եթե սահմանված ժամկետում տարեկան ժողովը տեղի չի ունեցել, ապա արտահերթ ժողով կարող է հրավիրվել միայն Ընկերության լուծարման կամ սույն ենթակետում նշված հարցերը քննարկելու համար: Նշված հարցերով հրավիրված արտահերթ ժողովում այլ հարցեր քննարկվել չեն կարող, բացառությամբ սույն ենթակետում նշված հարցերով կայացված որոշումներով պայմանավորված կանոնադրական կապիտալի նվազեցման դեպքերի.</w:t>
      </w:r>
    </w:p>
    <w:p w14:paraId="6A1E957E"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14) սույն օրենքի 47-րդ հոդվածի 2-րդ մասին համապատասխան` Ընկերության բաժնետոմսերի կամ բաժնետոմսերի փոխարկվող այլ արժեթղթերի նկատմամբ Ընկերության բաժնետերերի նախապատվության իրավունքը չկիրառելու մասին որոշման ընդունումը.</w:t>
      </w:r>
    </w:p>
    <w:p w14:paraId="3259FC15"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lastRenderedPageBreak/>
        <w:t>15) առանձին տեսակների կամ դասերի բաժնետոմսերի դիմաց շահութաբաժիններ չվճարելու կամ արտոնյալ բաժնետոմսերի դիմաց շահութաբաժինները ոչ լրիվ չափով վճարելու մասին որոշումների ընդունումը.</w:t>
      </w:r>
    </w:p>
    <w:p w14:paraId="41288E64"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16) ժողովի վարման կարգի հաստատումը.</w:t>
      </w:r>
    </w:p>
    <w:p w14:paraId="4BEB6739"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17) հաշվիչ հանձնաժողովի ձևավորումը.</w:t>
      </w:r>
    </w:p>
    <w:p w14:paraId="20E3C7D5"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18) բաժնետոմսերի համախմբումը (կոնսոլիդացիան), բաժանումը.</w:t>
      </w:r>
    </w:p>
    <w:p w14:paraId="5D75ECDA"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19) գործարքների կնքման մասին որոշման ընդունումը` սույն օրենքի 64-րդ հոդվածով նախատեսված դեպքերում.</w:t>
      </w:r>
    </w:p>
    <w:p w14:paraId="100C4310"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20) խոշոր գործարքների կնքման մասին որոշման ընդունումը.</w:t>
      </w:r>
    </w:p>
    <w:p w14:paraId="41756473"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21) «Արժեթղթերի շուկայի մասին» Հայաստանի Հանրապետության օրենքով սահմանված դեպքերում և կարգով որոշումների ընդունումը.</w:t>
      </w:r>
    </w:p>
    <w:p w14:paraId="4F9B6CFD"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22) Ընկերության կողմից բաժնետերերին տեղեկությունների և նյութերի հաղորդման ձևի որոշումը, ներառյալ զանգվածային լրատվության համապատասխան միջոցի ընտրությունը, եթե հաղորդումը պետք է իրականացվի նաև հրապարակային հայտարարության ձևով.</w:t>
      </w:r>
    </w:p>
    <w:p w14:paraId="18B0FE41"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23) Ընկերության կողմից տեղաբաշխված բաժնետոմսերի ձեռքբերումը և հետգնումը` սույն օրենքով նախատեսված դեպքերում.</w:t>
      </w:r>
    </w:p>
    <w:p w14:paraId="5916BD02"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24) Ընկերության ղեկավար պաշտոնատար անձանց (խորհրդի նախագահի կամ անդամի, տնօրենի, գլխավոր տնօրենի կամ վարչության, տնօրինության անդամի) աշխատանքի վարձատրության պայմանների որոշումը.</w:t>
      </w:r>
    </w:p>
    <w:p w14:paraId="585DD4CF"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25) դուստր կամ կախյալ ընկերությունների ստեղծումը կամ դրանց մասնակցությունը.</w:t>
      </w:r>
    </w:p>
    <w:p w14:paraId="22B9F64C"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u w:val="single"/>
        </w:rPr>
      </w:pPr>
      <w:r w:rsidRPr="006C1DD9">
        <w:rPr>
          <w:rFonts w:ascii="GHEA Grapalat" w:eastAsia="GHEA Grapalat" w:hAnsi="GHEA Grapalat" w:cs="GHEA Grapalat"/>
          <w:sz w:val="24"/>
          <w:szCs w:val="24"/>
          <w:highlight w:val="yellow"/>
          <w:u w:val="single"/>
        </w:rPr>
        <w:t>25.1) ՍԵՅՖ պայմանագրի կնքման մասին որոշման ընդունումը.</w:t>
      </w:r>
    </w:p>
    <w:p w14:paraId="532A8711"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26) օրենքով և կանոնադրությամբ նախատեսված այլ որոշումների ընդունումը:</w:t>
      </w:r>
    </w:p>
    <w:p w14:paraId="218C7FA1"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 xml:space="preserve">2. Կանոնադրությամբ կամ ժողովի որոշմամբ սույն հոդվածի 1-ին մասի 8-11-րդ, 22-րդ, 23-րդ, 24-րդ (բացառությամբ խորհրդի նախագահի կամ անդամի վարձատրության) և 25-րդ կետերով սահմանված` ժողովի իրավասությունները կարող են վերապահվել խորհրդին: Սույն հոդվածի 1-ին մասի 1-ին կետով նախատեսված իրավասությունները կարող են վերապահվել խորհրդին, եթե դրանց իրականացումը բացառապես պայմանավորված է Հայաստանի Հանրապետության տարածքում Ընկերության գտնվելու վայրի փոփոխությամբ կամ, Ընկերության հայտարարված բաժնետոմսերի տեղաբաշխմամբ պայմանավորված, կանոնադրության փոփոխություններ կատարելով, </w:t>
      </w:r>
      <w:r w:rsidRPr="006C1DD9">
        <w:rPr>
          <w:rFonts w:ascii="GHEA Grapalat" w:eastAsia="GHEA Grapalat" w:hAnsi="GHEA Grapalat" w:cs="GHEA Grapalat"/>
          <w:bCs/>
          <w:sz w:val="24"/>
          <w:szCs w:val="24"/>
        </w:rPr>
        <w:lastRenderedPageBreak/>
        <w:t>ինչպես նաև սույն օրենքի 88-րդ հոդվածի 2.1-ին մասով նախատեսված դրույթներ սահմանելով, եթե սույն հոդվածի 1-ին մասի 9-րդ կետով սահմանված իրավասությունը վերապահված է խորհրդին:</w:t>
      </w:r>
    </w:p>
    <w:p w14:paraId="2608FEE9"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3. Սույն հոդվածի 1-ին մասի 22-րդ և 23-րդ կետերով նախատեսված իրավասություններն Ընկերության կանոնադրությամբ կամ ժողովի որոշմամբ կարող են վերապահվել Ընկերության գործադիր մարմնին:</w:t>
      </w:r>
    </w:p>
    <w:p w14:paraId="4227E5B2"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4. Ժողովն իրավունք չունի քննարկելու և որոշումներ ընդունելու այն հարցերի վերաբերյալ, որոնք օրենքի համաձայն և Ընկերության կանոնադրությամբ չեն սահմանվել որպես ժողովի իրավասություն:</w:t>
      </w:r>
    </w:p>
    <w:p w14:paraId="0FA3A839"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p>
    <w:p w14:paraId="14793BEC"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p>
    <w:p w14:paraId="09FC7C78" w14:textId="77777777" w:rsidR="00946756" w:rsidRPr="006C1DD9" w:rsidRDefault="00946756" w:rsidP="00946756">
      <w:pPr>
        <w:tabs>
          <w:tab w:val="left" w:pos="1650"/>
        </w:tabs>
        <w:spacing w:line="276" w:lineRule="auto"/>
        <w:jc w:val="both"/>
        <w:rPr>
          <w:rFonts w:ascii="GHEA Grapalat" w:eastAsia="GHEA Grapalat" w:hAnsi="GHEA Grapalat" w:cs="GHEA Grapalat"/>
          <w:b/>
          <w:sz w:val="24"/>
          <w:szCs w:val="24"/>
        </w:rPr>
      </w:pPr>
      <w:r w:rsidRPr="006C1DD9">
        <w:rPr>
          <w:rFonts w:ascii="GHEA Grapalat" w:eastAsia="GHEA Grapalat" w:hAnsi="GHEA Grapalat" w:cs="GHEA Grapalat"/>
          <w:b/>
          <w:sz w:val="24"/>
          <w:szCs w:val="24"/>
        </w:rPr>
        <w:t>Հոդված 68.</w:t>
      </w:r>
      <w:r w:rsidRPr="006C1DD9">
        <w:rPr>
          <w:rFonts w:ascii="GHEA Grapalat" w:eastAsia="GHEA Grapalat" w:hAnsi="GHEA Grapalat" w:cs="GHEA Grapalat"/>
          <w:b/>
          <w:sz w:val="24"/>
          <w:szCs w:val="24"/>
        </w:rPr>
        <w:tab/>
        <w:t>Ժողովի որոշումները</w:t>
      </w:r>
    </w:p>
    <w:p w14:paraId="363FAFC2"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p>
    <w:p w14:paraId="444666BD"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 Բացառությամբ սույն օրենքով սահմանված դեպքերի, ժողովում ձայնի իրավունքից օգտվում են`</w:t>
      </w:r>
    </w:p>
    <w:p w14:paraId="5BE04284"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ա) Ընկերության հասարակ (սովորական) բաժնետոմսերի սեփականատեր հանդիսացող բաժնետերերը.</w:t>
      </w:r>
    </w:p>
    <w:p w14:paraId="4564A455"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բ) Ընկերության արտոնյալ բաժնետոմսերի սեփականատեր հանդիսացող բաժնետերերը` սույն օրենքով և կանոնադրությամբ սահմանված դեպքերում:</w:t>
      </w:r>
    </w:p>
    <w:p w14:paraId="41013DAD"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 xml:space="preserve">Ձայնի իրավունք տվող (քվեարկող) բաժնետոմս է համարվում այն հասարակ (սովորական) կամ արտոնյալ բաժնետոմսը, որն իր սեփականատիրոջը տալիս է քվեարկվող հարցի վերաբերյալ քվեարկությանը մասնակցելու իրավունք: Եթե հասարակ (սովորական) կամ արտոնյալ բաժնետոմսն իր սեփականատիրոջը տալիս է մեկ ձայնից ավելի ձայնի իրավունք, ապա քվեարկող բաժնետոմսերի քանակի հաշվարկման ժամանակ նշված հասարակ (սովորական) կամ արտոնյալ բաժնետոմսերի տրված յուրաքանչյուր ձայն հաշվառվում է որպես առանձին քվեարկող բաժնետոմս: Քվեարկող կոտորակային բաժնետոմսերի քանակի հաշվարկման ժամանակ նշված բաժնետոմսերով տրված յուրաքանչյուր ձայն հաշվառվում է տվյալ բաժնետոմսի կոտորակին (մասին) համամասնորեն: </w:t>
      </w:r>
    </w:p>
    <w:p w14:paraId="67A7E5CB"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2. Ժողովի որոշումներն ընդունվում են ժողովին մասնակցող` քվեարկող բաժնետոմսերի սեփականատերերի ձայների պարզ մեծամասնությամբ, եթե սույն օրենքով կամ Ընկերության կանոնադրությամբ ձայների ավելի շատ քանակ սահմանված չէ:</w:t>
      </w:r>
    </w:p>
    <w:p w14:paraId="2F2795AF"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lastRenderedPageBreak/>
        <w:t>3. Սույն օրենքի 67-րդ հոդվածի 1-ին մասի 2-րդ, 14-րդ, 18-20-րդ, 22-րդ և 23-րդ կետերում թվարկված հարցերով որոշումներն ընդունում է ժողովը` միայն խորհրդի ներկայացմամբ, եթե սույն օրենքով կամ կանոնադրությամբ այլ բան նախատեսված չէ:</w:t>
      </w:r>
    </w:p>
    <w:p w14:paraId="1CA6147F" w14:textId="77777777" w:rsidR="00946756"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4. Սույն օրենքի 67-րդ հոդվածի 1-ին մասի 1</w:t>
      </w:r>
      <w:r w:rsidRPr="00595B98">
        <w:rPr>
          <w:rFonts w:ascii="GHEA Grapalat" w:eastAsia="GHEA Grapalat" w:hAnsi="GHEA Grapalat" w:cs="GHEA Grapalat"/>
          <w:bCs/>
          <w:sz w:val="24"/>
          <w:szCs w:val="24"/>
        </w:rPr>
        <w:t xml:space="preserve">-ին, 2-րդ, 4-րդ, 6-րդ </w:t>
      </w:r>
      <w:r w:rsidRPr="00043648">
        <w:rPr>
          <w:rFonts w:ascii="GHEA Grapalat" w:eastAsia="GHEA Grapalat" w:hAnsi="GHEA Grapalat" w:cs="GHEA Grapalat"/>
          <w:bCs/>
          <w:sz w:val="24"/>
          <w:szCs w:val="24"/>
        </w:rPr>
        <w:t>և 20-րդ կետերում</w:t>
      </w:r>
      <w:r w:rsidRPr="00595B98">
        <w:rPr>
          <w:rFonts w:ascii="GHEA Grapalat" w:eastAsia="GHEA Grapalat" w:hAnsi="GHEA Grapalat" w:cs="GHEA Grapalat"/>
          <w:bCs/>
          <w:sz w:val="24"/>
          <w:szCs w:val="24"/>
        </w:rPr>
        <w:t xml:space="preserve"> թվարկված հարցերով որոշումներն ընդունում է ժողովը` դրան մասնակցող` քվեարկող բաժնետոմսերի սեփականատերերի ձայների 3/4-ով, եթե Ընկերության կանոնադրությամբ ձայների առավել</w:t>
      </w:r>
      <w:r w:rsidRPr="006C1DD9">
        <w:rPr>
          <w:rFonts w:ascii="GHEA Grapalat" w:eastAsia="GHEA Grapalat" w:hAnsi="GHEA Grapalat" w:cs="GHEA Grapalat"/>
          <w:bCs/>
          <w:sz w:val="24"/>
          <w:szCs w:val="24"/>
        </w:rPr>
        <w:t xml:space="preserve"> մեծ քանակ սահմանված չէ:</w:t>
      </w:r>
    </w:p>
    <w:p w14:paraId="2A6D0F46" w14:textId="77777777" w:rsidR="00946756" w:rsidRPr="00043648" w:rsidRDefault="00946756" w:rsidP="00946756">
      <w:pPr>
        <w:tabs>
          <w:tab w:val="left" w:pos="1650"/>
        </w:tabs>
        <w:spacing w:line="276" w:lineRule="auto"/>
        <w:jc w:val="both"/>
        <w:rPr>
          <w:rFonts w:ascii="GHEA Grapalat" w:eastAsia="GHEA Grapalat" w:hAnsi="GHEA Grapalat" w:cs="GHEA Grapalat"/>
          <w:bCs/>
          <w:sz w:val="24"/>
          <w:szCs w:val="24"/>
          <w:u w:val="single"/>
        </w:rPr>
      </w:pPr>
      <w:r w:rsidRPr="00043648">
        <w:rPr>
          <w:rFonts w:ascii="GHEA Grapalat" w:eastAsia="GHEA Grapalat" w:hAnsi="GHEA Grapalat" w:cs="GHEA Grapalat"/>
          <w:bCs/>
          <w:sz w:val="24"/>
          <w:szCs w:val="24"/>
          <w:highlight w:val="yellow"/>
          <w:u w:val="single"/>
        </w:rPr>
        <w:t>4.1. Սույն օրենքի 67-րդ հոդվածի 1-ին մասի 25.1-ին կետով սահմանված հարցով որոշումներն ընդունում է ժողովը` Ընկերության ձայնի իրավունք տվող բաժնետոմսերի բոլոր սեփականատերերի միաձայնությամբ:</w:t>
      </w:r>
    </w:p>
    <w:p w14:paraId="34EFC0AE"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5. Սույն օրենքի 67-րդ հոդվածի 1-ին մասի 3-րդ, 7-րդ և 18-րդ կետերով սահմանված հարցերով որոշումները, ինչպես նաև Ընկերության կանոնադրության մեջ այնպիսի փոփոխություններ կամ լրացումներ կատարելու կամ կանոնադրությունը նոր խմբագրությամբ հաստատելու մասին որոշումները, որոնցով Ընկերությունում ստեղծվում են հասարակ (սովորական) կամ արտոնյալ բաժնետոմսերի նոր դասեր, կամ փոփոխվում են հասարակ (սովորական) կամ արտոնյալ բաժնետոմսերի դասերի պայմանները, ընդունում է ժողովը` դրան մասնակցող` քվեարկող բաժնետոմսերի սեփականատերերի ձայների 3/4-ով, սակայն ոչ պակաս քվեարկող բաժնետոմսերի սեփականատերերի ձայների 2/3-ից, եթե Ընկերության կանոնադրությամբ ձայների առավել մեծ քանակ սահմանված չէ: Հասարակ (սովորական) բաժնետոմսերի դասերի պայմանների փոփոխության հանգեցնող որոշումները, որոնցով սահմանափակվում են այդ բաժնետոմսերով հատկացվող իրավունքները, կարող են ընդունվել, երբ դրանց կողմ են քվեարկել համապատասխան դասի հասարակ (սովորական) բաժնետոմսերի առնվազն 3/4-ի սեփականատերերը կամ անվանատերերը, եթե Ընկերության կանոնադրությամբ սեփականատերերի կամ անվանատերերի առավել մեծ թիվ սահմանված չէ:</w:t>
      </w:r>
    </w:p>
    <w:p w14:paraId="6CBF9B4A"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6. Եթե Ընկերության ձայնի իրավունք տվող բաժնետոմսերի սեփականատեր կամ անվանատեր է հանդիսանում միայն մեկ անձ, ապա ժողովի որոշումները կարող են ընդունվել այդ անձի գրավոր որոշմամբ: Բաժնետեր իրավաբանական անձի որոշումը պետք է ընդունվի վերջինիս կանոնադրությամբ նման լիազորություններ ունեցող մարմնի կողմից:</w:t>
      </w:r>
    </w:p>
    <w:p w14:paraId="0DB55C0C"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 xml:space="preserve">7. Սույն օրենքի 67-րդ հոդվածի 1-ին մասի 2-րդ, 3-րդ և 7-րդ կետերով սահմանված հարցերով պետությանը պատկանող բաժնետոմսերով Ընկերությունների ընդհանուր ժողովներում լիազորված մարմինը (մարմինները) կամ վերջիններիս կողմից լիազորված </w:t>
      </w:r>
      <w:r w:rsidRPr="006C1DD9">
        <w:rPr>
          <w:rFonts w:ascii="GHEA Grapalat" w:eastAsia="GHEA Grapalat" w:hAnsi="GHEA Grapalat" w:cs="GHEA Grapalat"/>
          <w:bCs/>
          <w:sz w:val="24"/>
          <w:szCs w:val="24"/>
        </w:rPr>
        <w:lastRenderedPageBreak/>
        <w:t>անձը (անձինք) մասնակցում են որոշումների ընդունմանը` միայն Կառավարության համապատասխան որոշման առկայության դեպքում:</w:t>
      </w:r>
    </w:p>
    <w:p w14:paraId="0198FD13"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8. Սույն օրենքի 67-րդ հոդվածի 1-ին մասի 2-րդ, 3-րդ և 7-րդ կետերով սահմանված հարցերով համայնքին պատկանող բաժնետոմսերով Ընկերությունների ընդհանուր ժողովներում համայնքի ղեկավարը կամ վերջինիս կողմից լիազորված անձը մասնակցում է որոշումների ընդունմանը` միայն համայնքի ղեկավարի (ավագանու համաձայնությամբ) համապատասխան որոշման առկայության դեպքում:</w:t>
      </w:r>
    </w:p>
    <w:p w14:paraId="653164AB"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9. Ժողովի վարման կարգի մասին որոշումներ ընդունելու կարգը սահմանվում է կանոնադրությամբ կամ ժողովի հաստատած ներքին փաստաթղթերով:</w:t>
      </w:r>
    </w:p>
    <w:p w14:paraId="32EFD8C1"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10. Ժողովն իրավունք չունի փոփոխել օրակարգը, ինչպես նաև որոշումներ ընդունել օրակարգում չընդգրկված հարցերի վերաբերյալ:</w:t>
      </w:r>
    </w:p>
    <w:p w14:paraId="365B20E2"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11. Ժողովի ընդունած որոշումների մասին տեղեկությունները, ինչպես նաև քվեարկության արդյունքները պետք է ներկայացվեն Ընկերության բաժնետերերին սույն օրենքով և Կանոնադրությամբ սահմանված կարգով և ժամկետներում` այդ որոշումներն ընդունելու պահից` 45 օրվա ընթացքում:</w:t>
      </w:r>
    </w:p>
    <w:p w14:paraId="61093D7D"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12. Եթե ժողովի որոշումն ընդունվել է Ընկերության ձայնի իրավունք տվող բաժնետոմսերի բոլոր սեփականատերերի կամ միաձայնությամբ, ապա սույն օրենքի 58-րդ հոդվածի 2-րդ կետով, 68-րդ հոդվածի 10-րդ կետով, 69-րդ հոդվածի 4-րդ կետով, 70-րդ հոդվածի 2-6-րդ կետերով, 71-րդ հոդվածով, 73-րդ հոդվածով, 74-րդ հոդվածի 1-ին կետի երկրորդ-չորրորդ մասերով, 2-րդ կետով և 4-րդ կետի առաջին մասով, 75-րդ հոդվածով և 79-81-րդ հոդվածներով սահմանված պահանջները չպահպանելը չի կարող հիմք հանդիսանալ այդ հիմքերով որոշումներն անվավեր ճանաչելու համար:</w:t>
      </w:r>
    </w:p>
    <w:p w14:paraId="3A88D7E0" w14:textId="77777777" w:rsidR="00946756" w:rsidRPr="006C1DD9" w:rsidRDefault="00946756" w:rsidP="00946756">
      <w:pPr>
        <w:tabs>
          <w:tab w:val="left" w:pos="1650"/>
        </w:tabs>
        <w:spacing w:line="276" w:lineRule="auto"/>
        <w:jc w:val="both"/>
        <w:rPr>
          <w:rFonts w:ascii="GHEA Grapalat" w:eastAsia="GHEA Grapalat" w:hAnsi="GHEA Grapalat" w:cs="GHEA Grapalat"/>
          <w:bCs/>
          <w:sz w:val="24"/>
          <w:szCs w:val="24"/>
        </w:rPr>
      </w:pPr>
      <w:r w:rsidRPr="006C1DD9">
        <w:rPr>
          <w:rFonts w:ascii="GHEA Grapalat" w:eastAsia="GHEA Grapalat" w:hAnsi="GHEA Grapalat" w:cs="GHEA Grapalat"/>
          <w:bCs/>
          <w:sz w:val="24"/>
          <w:szCs w:val="24"/>
        </w:rPr>
        <w:t>13. Բաժնետերն իրավունք ունի դատական կարգով բողոքարկել սույն օրենքի, այլ իրավական ակտերի և կանոնադրության պահանջների խախտմամբ ժողովի ընդունած որոշումը:</w:t>
      </w:r>
    </w:p>
    <w:p w14:paraId="2ECE82B2" w14:textId="77777777" w:rsidR="00946756" w:rsidRPr="006C1DD9" w:rsidRDefault="00946756" w:rsidP="00946756">
      <w:pPr>
        <w:tabs>
          <w:tab w:val="left" w:pos="1650"/>
        </w:tabs>
        <w:spacing w:line="276" w:lineRule="auto"/>
        <w:jc w:val="both"/>
        <w:rPr>
          <w:rFonts w:ascii="GHEA Grapalat" w:eastAsia="GHEA Grapalat" w:hAnsi="GHEA Grapalat" w:cstheme="majorHAnsi"/>
          <w:bCs/>
          <w:sz w:val="24"/>
          <w:szCs w:val="24"/>
        </w:rPr>
      </w:pPr>
    </w:p>
    <w:p w14:paraId="340BCEEE" w14:textId="77777777" w:rsidR="009A045D" w:rsidRDefault="009A045D"/>
    <w:sectPr w:rsidR="009A045D" w:rsidSect="00EF400D">
      <w:headerReference w:type="default" r:id="rId5"/>
      <w:pgSz w:w="12240" w:h="15840"/>
      <w:pgMar w:top="1134" w:right="850" w:bottom="1134"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8A3BB" w14:textId="77777777" w:rsidR="00000000" w:rsidRDefault="00000000">
    <w:pPr>
      <w:pBdr>
        <w:top w:val="nil"/>
        <w:left w:val="nil"/>
        <w:bottom w:val="nil"/>
        <w:right w:val="nil"/>
        <w:between w:val="nil"/>
      </w:pBdr>
      <w:tabs>
        <w:tab w:val="center" w:pos="4844"/>
        <w:tab w:val="right" w:pos="9689"/>
      </w:tabs>
      <w:spacing w:after="0" w:line="240" w:lineRule="auto"/>
      <w:jc w:val="right"/>
      <w:rPr>
        <w:color w:val="000000"/>
      </w:rPr>
    </w:pPr>
    <w:r>
      <w:rPr>
        <w:color w:val="000000"/>
      </w:rPr>
      <w:t>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145E0"/>
    <w:multiLevelType w:val="multilevel"/>
    <w:tmpl w:val="0FF6A1FE"/>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num w:numId="1" w16cid:durableId="1033530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379"/>
    <w:rsid w:val="000D7379"/>
    <w:rsid w:val="00946756"/>
    <w:rsid w:val="009A045D"/>
    <w:rsid w:val="00EF4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3372CA-7412-41F0-9008-82874C4B2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756"/>
    <w:rPr>
      <w:rFonts w:ascii="Calibri" w:eastAsia="Calibri" w:hAnsi="Calibri" w:cs="Calibri"/>
      <w:kern w:val="0"/>
      <w:lang w:val="hy-AM"/>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7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2085</Words>
  <Characters>11886</Characters>
  <Application>Microsoft Office Word</Application>
  <DocSecurity>0</DocSecurity>
  <Lines>99</Lines>
  <Paragraphs>27</Paragraphs>
  <ScaleCrop>false</ScaleCrop>
  <Company/>
  <LinksUpToDate>false</LinksUpToDate>
  <CharactersWithSpaces>13944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A. Hayrapetyan</dc:creator>
  <cp:keywords>https://mul2.gov.am/tasks/914098/oneclick/a36d72ddfdad68d013256885b9f588d3bab64ee243ba799fc4724061ff5dd7a8.docx?token=e9a777ff2f1548ded58f6a2e9634c2e9</cp:keywords>
  <dc:description/>
  <cp:lastModifiedBy>Albert A. Hayrapetyan</cp:lastModifiedBy>
  <cp:revision>2</cp:revision>
  <dcterms:created xsi:type="dcterms:W3CDTF">2024-01-15T09:12:00Z</dcterms:created>
  <dcterms:modified xsi:type="dcterms:W3CDTF">2024-01-15T09:12:00Z</dcterms:modified>
</cp:coreProperties>
</file>