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DB498B" w:rsidRDefault="00DB498B" w:rsidP="00DB498B">
      <w:pPr>
        <w:tabs>
          <w:tab w:val="left" w:pos="630"/>
          <w:tab w:val="left" w:pos="990"/>
          <w:tab w:val="left" w:pos="3420"/>
        </w:tabs>
        <w:jc w:val="center"/>
        <w:rPr>
          <w:rFonts w:ascii="GHEA Grapalat" w:hAnsi="GHEA Grapalat" w:cs="Arial"/>
          <w:shd w:val="clear" w:color="auto" w:fill="FFFFFF"/>
          <w:lang w:val="hy-AM" w:eastAsia="ru-RU"/>
        </w:rPr>
      </w:pPr>
      <w:r w:rsidRPr="0063564B">
        <w:rPr>
          <w:rFonts w:ascii="GHEA Grapalat" w:hAnsi="GHEA Grapalat" w:cs="GHEA Grapalat"/>
          <w:b/>
          <w:lang w:val="nb-NO"/>
        </w:rPr>
        <w:t xml:space="preserve">«ՀԱՅԱՍՏԱՆԻ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N2323-Ն ՈՐՈՇՄԱՆ ՄԵՋ ՓՈՓՈԽՈՒԹՅՈՒՆ </w:t>
      </w:r>
      <w:r>
        <w:rPr>
          <w:rFonts w:ascii="GHEA Grapalat" w:hAnsi="GHEA Grapalat" w:cs="GHEA Grapalat"/>
          <w:b/>
          <w:lang w:val="nb-NO"/>
        </w:rPr>
        <w:t>ԵՎ</w:t>
      </w:r>
      <w:r w:rsidRPr="0063564B">
        <w:rPr>
          <w:rFonts w:ascii="GHEA Grapalat" w:hAnsi="GHEA Grapalat" w:cs="GHEA Grapalat"/>
          <w:b/>
          <w:lang w:val="nb-NO"/>
        </w:rPr>
        <w:t xml:space="preserve"> ԼՐԱՑՈՒՄ ԿԱՏԱՐԵԼՈՒ ՄԱՍԻՆ</w:t>
      </w:r>
      <w:r>
        <w:rPr>
          <w:rFonts w:ascii="GHEA Grapalat" w:hAnsi="GHEA Grapalat" w:cs="Arial"/>
          <w:shd w:val="clear" w:color="auto" w:fill="FFFFFF"/>
          <w:lang w:val="en-US" w:eastAsia="ru-RU"/>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tbl>
      <w:tblPr>
        <w:tblpPr w:leftFromText="180" w:rightFromText="180" w:vertAnchor="page" w:horzAnchor="margin" w:tblpY="4381"/>
        <w:tblW w:w="151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25"/>
        <w:gridCol w:w="7290"/>
      </w:tblGrid>
      <w:tr w:rsidR="00DB498B" w:rsidRPr="00983231" w:rsidTr="00F96BFC">
        <w:trPr>
          <w:trHeight w:val="656"/>
          <w:tblCellSpacing w:w="0" w:type="dxa"/>
        </w:trPr>
        <w:tc>
          <w:tcPr>
            <w:tcW w:w="7825" w:type="dxa"/>
            <w:vMerge w:val="restart"/>
            <w:shd w:val="clear" w:color="auto" w:fill="D9D9D9" w:themeFill="background1" w:themeFillShade="D9"/>
            <w:hideMark/>
          </w:tcPr>
          <w:p w:rsidR="00DB498B" w:rsidRPr="00983231" w:rsidRDefault="00DB498B" w:rsidP="00DB498B">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 xml:space="preserve">ՀՀ </w:t>
            </w:r>
            <w:r w:rsidRPr="00983231">
              <w:rPr>
                <w:rFonts w:ascii="GHEA Grapalat" w:eastAsia="Times New Roman" w:hAnsi="GHEA Grapalat" w:cs="Times New Roman"/>
                <w:color w:val="000000"/>
                <w:sz w:val="24"/>
                <w:szCs w:val="24"/>
                <w:lang w:val="en-US" w:eastAsia="ru-RU"/>
              </w:rPr>
              <w:t xml:space="preserve"> ֆինանսների նախարարություն</w:t>
            </w:r>
          </w:p>
        </w:tc>
        <w:tc>
          <w:tcPr>
            <w:tcW w:w="7290" w:type="dxa"/>
            <w:shd w:val="clear" w:color="auto" w:fill="D9D9D9" w:themeFill="background1" w:themeFillShade="D9"/>
          </w:tcPr>
          <w:p w:rsidR="00DB498B" w:rsidRPr="00983231" w:rsidRDefault="00DB498B" w:rsidP="00DB498B">
            <w:pPr>
              <w:spacing w:after="0"/>
              <w:ind w:left="132" w:right="214"/>
              <w:contextualSpacing/>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en-US" w:eastAsia="ru-RU"/>
              </w:rPr>
              <w:t>27</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02</w:t>
            </w:r>
            <w:r w:rsidRPr="00983231">
              <w:rPr>
                <w:rFonts w:ascii="GHEA Grapalat" w:eastAsia="Times New Roman" w:hAnsi="GHEA Grapalat" w:cs="Times New Roman"/>
                <w:color w:val="000000"/>
                <w:sz w:val="24"/>
                <w:szCs w:val="24"/>
                <w:lang w:val="hy-AM" w:eastAsia="ru-RU"/>
              </w:rPr>
              <w:t>.2024թ.</w:t>
            </w:r>
          </w:p>
        </w:tc>
      </w:tr>
      <w:tr w:rsidR="00DB498B" w:rsidRPr="00983231" w:rsidTr="00F96BFC">
        <w:trPr>
          <w:trHeight w:val="656"/>
          <w:tblCellSpacing w:w="0" w:type="dxa"/>
        </w:trPr>
        <w:tc>
          <w:tcPr>
            <w:tcW w:w="7825" w:type="dxa"/>
            <w:vMerge/>
            <w:shd w:val="clear" w:color="auto" w:fill="D9D9D9" w:themeFill="background1" w:themeFillShade="D9"/>
            <w:hideMark/>
          </w:tcPr>
          <w:p w:rsidR="00DB498B" w:rsidRPr="00983231" w:rsidRDefault="00DB498B" w:rsidP="00DB498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290" w:type="dxa"/>
            <w:shd w:val="clear" w:color="auto" w:fill="D9D9D9" w:themeFill="background1" w:themeFillShade="D9"/>
          </w:tcPr>
          <w:p w:rsidR="00DB498B" w:rsidRPr="00983231" w:rsidRDefault="00DB498B" w:rsidP="00DB498B">
            <w:pPr>
              <w:spacing w:after="0"/>
              <w:ind w:left="132" w:right="214"/>
              <w:contextualSpacing/>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N 01/9-1/4336-2024</w:t>
            </w:r>
          </w:p>
        </w:tc>
      </w:tr>
      <w:tr w:rsidR="00DB498B" w:rsidRPr="0051541C" w:rsidTr="00F96BFC">
        <w:trPr>
          <w:trHeight w:val="656"/>
          <w:tblCellSpacing w:w="0" w:type="dxa"/>
        </w:trPr>
        <w:tc>
          <w:tcPr>
            <w:tcW w:w="7825" w:type="dxa"/>
            <w:shd w:val="clear" w:color="auto" w:fill="FFFFFF"/>
          </w:tcPr>
          <w:p w:rsidR="00CA666B" w:rsidRPr="00CA666B" w:rsidRDefault="00DB498B" w:rsidP="00CA666B">
            <w:pPr>
              <w:widowControl w:val="0"/>
              <w:shd w:val="clear" w:color="auto" w:fill="FFFFFF"/>
              <w:spacing w:after="0"/>
              <w:ind w:left="175" w:right="233"/>
              <w:contextualSpacing/>
              <w:jc w:val="both"/>
              <w:rPr>
                <w:rFonts w:ascii="GHEA Grapalat" w:hAnsi="GHEA Grapalat"/>
                <w:sz w:val="24"/>
                <w:szCs w:val="24"/>
                <w:lang w:val="hy-AM"/>
              </w:rPr>
            </w:pPr>
            <w:r w:rsidRPr="00983231">
              <w:rPr>
                <w:rFonts w:ascii="GHEA Grapalat" w:hAnsi="GHEA Grapalat"/>
                <w:sz w:val="24"/>
                <w:szCs w:val="24"/>
                <w:lang w:val="hy-AM"/>
              </w:rPr>
              <w:tab/>
            </w:r>
            <w:r w:rsidR="00022A49">
              <w:t xml:space="preserve"> </w:t>
            </w:r>
            <w:r w:rsidR="00CA666B">
              <w:t xml:space="preserve"> </w:t>
            </w:r>
            <w:r w:rsidR="00CA666B" w:rsidRPr="00CA666B">
              <w:rPr>
                <w:rFonts w:ascii="GHEA Grapalat" w:hAnsi="GHEA Grapalat"/>
                <w:sz w:val="24"/>
                <w:szCs w:val="24"/>
                <w:lang w:val="hy-AM"/>
              </w:rPr>
              <w:t>Ի կատարումն ՀՀ փոխվարչապետի 22.02.2024թ-ի № № 03.1//6784-2024 հանձնարա-րականի և ի պատասխան Ձեր 22.02.2024թ-ի N 01/16.1/2542-2024 գրության, քննարկելով «Հայաստանի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 և լրացում կատարելու մասին» ՀՀ կառավարության որոշման նախա¬գիծը, հայտնում ենք հետևյալը.</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 xml:space="preserve">Նախագծով առաջարկվում է ՀՀ 2024թ-ի պետական բյուջեի «1103» ծրագրի «21001. Քաղաքաշինության բնագավառում պետական ծրագրերի իրականացման ապահովում» միջոցառման շրջանակներում Ստեփանավան համայնքի Աշոտաբերդ </w:t>
            </w:r>
            <w:r w:rsidRPr="00CA666B">
              <w:rPr>
                <w:rFonts w:ascii="GHEA Grapalat" w:hAnsi="GHEA Grapalat"/>
                <w:sz w:val="24"/>
                <w:szCs w:val="24"/>
                <w:lang w:val="hy-AM"/>
              </w:rPr>
              <w:lastRenderedPageBreak/>
              <w:t>թաղամասի կառուցա-պատման աշխատանքների համար նախատեսված 1,941.3 մլն դրամից շուրջ 108.5 մլն դրամ վերաբաշխել Շուռնուխում բնակելի թաղամասի կառուցման աշխատանքների ավարտման նպատակով, միաժամանակ աշխատանքների ավարտման ժամկետ սահմանելով մինչև 2024թ-ի ապրիլի 1-ը:</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Նախագծի տեղեկանք հիմնավորման համաձայն՝ նախատեսվող միջոցներից</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w:t>
            </w:r>
            <w:r w:rsidRPr="00CA666B">
              <w:rPr>
                <w:rFonts w:ascii="GHEA Grapalat" w:hAnsi="GHEA Grapalat"/>
                <w:sz w:val="24"/>
                <w:szCs w:val="24"/>
                <w:lang w:val="hy-AM"/>
              </w:rPr>
              <w:tab/>
              <w:t xml:space="preserve"> 17.70 մլն դրամը՝ շինարարական 2 պայմանագրերի նախորդ տարիների չիրացված մնացորդն է, ներառյալ տեխնիկական և հեղինակային հսկողության գումարները,</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w:t>
            </w:r>
            <w:r w:rsidRPr="00CA666B">
              <w:rPr>
                <w:rFonts w:ascii="GHEA Grapalat" w:hAnsi="GHEA Grapalat"/>
                <w:sz w:val="24"/>
                <w:szCs w:val="24"/>
                <w:lang w:val="hy-AM"/>
              </w:rPr>
              <w:tab/>
              <w:t>շուրջ 90.8 մլն դրամը՝ կառուցման աշխատանքներ ծավալների ճշգրտումների և լրացուցիչ աշխատանքների համար անհրաժեշտ միջոցներն են (ներառյալ օրվա կարգավորիչ ջրամբարի կառուցում, տարածքով անցնող օդային բարձրավոլտ հոսանքագծի տեղափոխում և թվով 13 բնակելի տների ու արտաքին լուսավորության էլեկտրասնուցման միացում)։</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Այս կապակցությամբ հայտնում ենք, որ.</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1.</w:t>
            </w:r>
            <w:r w:rsidRPr="00CA666B">
              <w:rPr>
                <w:rFonts w:ascii="GHEA Grapalat" w:hAnsi="GHEA Grapalat"/>
                <w:sz w:val="24"/>
                <w:szCs w:val="24"/>
                <w:lang w:val="hy-AM"/>
              </w:rPr>
              <w:tab/>
              <w:t>Նախագծին կից բացակայում են 90.08 մլն դրամի հաշվարկային հիմնավորումները, մասնավորապես. ծավալների ճշգրտումների, լրացուցիչ աշխատանքների փորձագիտական դրական եզրակացությունները, ինչպես նաև բնակելի տների ու արտաքին լուսավորության էլեկտրասնուցման միացումների գնորոշման աղբյուրները:</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2.</w:t>
            </w:r>
            <w:r w:rsidRPr="00CA666B">
              <w:rPr>
                <w:rFonts w:ascii="GHEA Grapalat" w:hAnsi="GHEA Grapalat"/>
                <w:sz w:val="24"/>
                <w:szCs w:val="24"/>
                <w:lang w:val="hy-AM"/>
              </w:rPr>
              <w:tab/>
              <w:t xml:space="preserve">Ծրագրի իրականացման աշխատանքների կատարման </w:t>
            </w:r>
            <w:r w:rsidRPr="00CA666B">
              <w:rPr>
                <w:rFonts w:ascii="GHEA Grapalat" w:hAnsi="GHEA Grapalat"/>
                <w:sz w:val="24"/>
                <w:szCs w:val="24"/>
                <w:lang w:val="hy-AM"/>
              </w:rPr>
              <w:lastRenderedPageBreak/>
              <w:t xml:space="preserve">(ներառյալ տեխնիկական և հեղինակային հսկողության ծառայությունների ձեռքբերման) համար կնքված պայմանագրերի ընդհանուր գումարը կազմում է 1,214.6 մլն դրամ: ՀՀ 2021-2023թթ-ի պետական բյուջեներով թաղամասի կառուցման համար հատկացվել է շուրջ 1,214.6 մլն դրամ (փաստացի ֆինանսավորումը՝ շուրջ 1,196.9), որից ՀՀ 2023թ-ի պետական բյուջեով 532.2 մլն դրամ, այդ թվում՝ ՀՀ կառավարության 22.09.2023թ-ի N 1624-Ն որոշմամբ 228.0 մլն դրամ, որի չիրացված մնացորդը կազմում է 17.7 մլն դրամ: </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Անհրաժեշտ ենք համարում նշել, որ 2023թ-ին ընդունված հիշյալ որոշման հիմնավո-րումը խարսխված էր այն պարզաբանումների վրա, որ.</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ա/  բնակելի թաղամասի տարածքով խմելու ջրի մատակարարման բացակայության խնդրով պայմանավորված առկա է թաղամասի կարիքների համար օրվա կարգավորիչ ջրամբար կառուցե¬լու անհրաժեշտություն, և որ այն իրականացվում է ՀիմնաՏավուշ զարգացման հիմնադրամի կողմից բարեգործական ծրագրի ֆինանսավորմամբ, իսկ լրացուցիչ 24 խմ տարողությամբ ջրամբարի կառուցումը անհրաժեշտ է իրականացնել ՀՀ պետական բյուջեի միջոցներով,</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բ/  առկա է տարածքով անցնող բարձրավոլտ էլկտրասնուցման գծի խոչընդոտ հանդիսանելու հանգամանք, որի տեղափոխությունն իրականացվելու է Կառուցապատողի ֆինանսավորմամբ՝ մատակարար կազմակերպության կողմից (նախագծով միջոցների հատկացումն ակնկալվում է ՀՀ 2024թ-ի պետական բյուջեից),</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lastRenderedPageBreak/>
              <w:t>գ/ առաջացել է նախորդ տարիներից եկող խոնչընդոտներ և հետագայում աշխատանքների տեխնոլոգիական հաջորդականությունը խաթարած սահմանային միջադեպերով պայմանավորված շինարարական աշխատանքների մասնակի դադար, ինչպես նաև դեպի Շուռնուխ բնակավայր տանող գրունտային ճանապարհի փլուզման հետևանքով վերջինիս անանցանելի դառնալու հանգամանք,</w:t>
            </w:r>
          </w:p>
          <w:p w:rsidR="00CA666B" w:rsidRPr="00CA666B"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դ/ բնակելի թաղամասի ավարտն ապահովելու համար անհրաժեշտ է 2023 թվականին ֆինանսավորել լրացուցիչ 228.0 մլն դրամ:</w:t>
            </w:r>
          </w:p>
          <w:p w:rsidR="00DB498B" w:rsidRPr="00983231" w:rsidRDefault="00CA666B" w:rsidP="00CA666B">
            <w:pPr>
              <w:widowControl w:val="0"/>
              <w:shd w:val="clear" w:color="auto" w:fill="FFFFFF"/>
              <w:spacing w:after="0"/>
              <w:ind w:left="175" w:right="233"/>
              <w:contextualSpacing/>
              <w:jc w:val="both"/>
              <w:rPr>
                <w:rFonts w:ascii="GHEA Grapalat" w:hAnsi="GHEA Grapalat"/>
                <w:sz w:val="24"/>
                <w:szCs w:val="24"/>
                <w:lang w:val="hy-AM"/>
              </w:rPr>
            </w:pPr>
            <w:r w:rsidRPr="00CA666B">
              <w:rPr>
                <w:rFonts w:ascii="GHEA Grapalat" w:hAnsi="GHEA Grapalat"/>
                <w:sz w:val="24"/>
                <w:szCs w:val="24"/>
                <w:lang w:val="hy-AM"/>
              </w:rPr>
              <w:t>Հաշվի առնելով վերոշարադրյալը և նկատի ունենալով, որ նախագծի ընդունումը հիմնավորող փաստաթղթում ներկայացված են նույն աշխատանքների իրականացման անհրաժեշտությունը և բերված բացահայտումները բավարար չափով ամբողջական չեն գնահատելու առաջարկվող եղանակով և պայմաններով փոփոխությունների կատարման անհրաժեշտությունը (օրինակ՝ կապալառուի կողմից աշխատանքները չիրացնելու պատճառները, պատվիրատուի կողմից նախաձեռնված գործողությունները, ինչով են պայմանավորված ծավալների ճշգրտումները, նախագծերով ինչու չեն նախատեսվել ենթակառուցվածքների կառուցում և այլն), հայտնում ենք, որ նախագծի վերաբերյալ դիրքորոշում կարող ենք ներկայացնել նշված հանգամանքները բացահայտելու պարագայում:</w:t>
            </w:r>
            <w:r w:rsidR="00022A49" w:rsidRPr="00022A49">
              <w:rPr>
                <w:rFonts w:ascii="GHEA Grapalat" w:hAnsi="GHEA Grapalat"/>
                <w:sz w:val="24"/>
                <w:szCs w:val="24"/>
                <w:lang w:val="hy-AM"/>
              </w:rPr>
              <w:t xml:space="preserve">Հաշվի առնելով վերոշարադրյալը և նկատի ունենալով, որ նախագծի ընդունումը հիմնավորող փաստաթղթում ներկայացված են նույն աշխատանքների իրականացման անհրաժեշտությունը և բերված բացահայտումները բավարար </w:t>
            </w:r>
            <w:r w:rsidR="00022A49" w:rsidRPr="00022A49">
              <w:rPr>
                <w:rFonts w:ascii="GHEA Grapalat" w:hAnsi="GHEA Grapalat"/>
                <w:sz w:val="24"/>
                <w:szCs w:val="24"/>
                <w:lang w:val="hy-AM"/>
              </w:rPr>
              <w:lastRenderedPageBreak/>
              <w:t>չափով ամբողջական չեն գնահատելու առաջարկվող եղանակով և պայմաններով փոփոխությունների կատարման անհրաժեշտությունը (օրինակ՝ կապալառուի կողմից աշխատանքները չիրացնելու պատճառները, պատվիրատուի կողմից նախաձեռնված գործողությունները, ինչով են պայմանավորված ծավալների ճշգրտումները, նախագծերով ինչու չեն նախատեսվել ենթակառուցվածքների կառուցում և այլն), հայտնում ենք, որ նախագծի վերաբերյալ դիրքորոշում կարող ենք ներկայացնել նշված հանգամանքները բացահայտելու պարագայում:</w:t>
            </w:r>
          </w:p>
        </w:tc>
        <w:tc>
          <w:tcPr>
            <w:tcW w:w="7290" w:type="dxa"/>
            <w:shd w:val="clear" w:color="auto" w:fill="FFFFFF"/>
          </w:tcPr>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lastRenderedPageBreak/>
              <w:t>Շինարարական լրացուցիչ աշխատանքների 90,779,799 դրամ գումարը ներառում է</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 xml:space="preserve">ՀՀՔԿ-ՀՄԱԱՇՁԲ-21/1 պայմանագիրը՝ ավելանում է 40,696,818  դրամով </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 xml:space="preserve">Օրվա կարգավորիչ ջրամբարի կառուցման համար նախատեսվում է 30,986, 520 դրամ, որի համար առկա են նախագծանախահաշվային փաստաթղթեր և փորձաքննության դրական երզակացությունը։ Նախագծման փուլում նախատեսված է եղել թաղամասի ջրամատակարարում իրականացնել գործող ջրամբարից։ Հետագայում պարզ է դարձել, որ գործող ջրամբարում առկա է ջրի կորստի խնդիր և մնացորդային պաշարը չի կարող բավարարել  նոր կառուցվող բնակելի թաղամասի </w:t>
            </w:r>
            <w:r w:rsidRPr="004E6544">
              <w:rPr>
                <w:rFonts w:ascii="GHEA Grapalat" w:eastAsia="Times New Roman" w:hAnsi="GHEA Grapalat" w:cs="Times New Roman"/>
                <w:i/>
                <w:color w:val="000000"/>
                <w:sz w:val="24"/>
                <w:szCs w:val="24"/>
                <w:lang w:val="hy-AM" w:eastAsia="ru-RU"/>
              </w:rPr>
              <w:lastRenderedPageBreak/>
              <w:t>կաիրքներին։ Այդ իսկ պատճառով նախատեսվել է նոր օրվա կարգավորիչ ջրամբար, իսկ դեպի ջրամբար կապտաժներից հավաքվող ջրի խողովակաշարի մոնտաժման աշխատանքներն իրականացվել են բարեգործական ծրագրով։</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Բնակելի տների տարածքով անցնող օդային բարձրավոլտ հոսանքագծի տեղափոխման աշխատանքների համար նախատեսվել է 6,495,540 դրամ, որոնք նախագծով նախատեսված չեն եղել</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 xml:space="preserve">թվով 13 բնակելի տների ու արտաքին լուսավորության էլեկտրասնուցման միացման վճարը կարգավորվում է Հանրային ծառայությունները կարգավորող հանձնաժողովի  2007 թվականի դեկտեմբերի 21-ի N 659-Ն որոշմամբ, որի հիման վրա կնքվել է նաև համապատասխան պայմանագիր, </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 xml:space="preserve">ՀՀՔԿ-ՀՄԱԱՇՁԲ-21/1 պայմանագիրը՝ ավելանում է 50,082,980 դրամով </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Ավելացումը ներառում է իր մեջ ծավալների ճշգրտումներ, դրանք պայմանավորված են շինմոնտաժային աշխատանքների ընթացքում ներքին և արտաքին ճարտարապետական լուծումների հետ, յուրաքանչյուր տան վրա այդ փոփոխությունը կազմում է շուրջ 4 մլն դրամ, ինչպես նաև անհրաժեշտություն է առաջացել իրականացնել լրացուցիչ հենապատեր 12 և 13 առանձնատների հատվածում։</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lastRenderedPageBreak/>
              <w:t xml:space="preserve"> 2023 թվականին աշխատանքների մի մասի չիրացումները պայմանավորված է այն հանգամանքով, որ այդ աշխատանքներում նախատեսվել են փոփոխություններ, որոնք նախատեսվում է սույն որոշման նախագծով։</w:t>
            </w:r>
          </w:p>
          <w:p w:rsidR="004E6544" w:rsidRPr="004E6544" w:rsidRDefault="004E6544" w:rsidP="004E6544">
            <w:pPr>
              <w:pStyle w:val="ListParagraph"/>
              <w:spacing w:after="0"/>
              <w:ind w:left="556" w:right="214"/>
              <w:rPr>
                <w:rFonts w:ascii="GHEA Grapalat" w:eastAsia="Times New Roman" w:hAnsi="GHEA Grapalat" w:cs="Times New Roman"/>
                <w:i/>
                <w:color w:val="000000"/>
                <w:sz w:val="24"/>
                <w:szCs w:val="24"/>
                <w:lang w:val="hy-AM" w:eastAsia="ru-RU"/>
              </w:rPr>
            </w:pPr>
            <w:r w:rsidRPr="004E6544">
              <w:rPr>
                <w:rFonts w:ascii="GHEA Grapalat" w:eastAsia="Times New Roman" w:hAnsi="GHEA Grapalat" w:cs="Times New Roman"/>
                <w:i/>
                <w:color w:val="000000"/>
                <w:sz w:val="24"/>
                <w:szCs w:val="24"/>
                <w:lang w:val="hy-AM" w:eastAsia="ru-RU"/>
              </w:rPr>
              <w:t>**2023 թվականի սեպտեմբերի 22-ի N1624 որոշման և սույն որոշման նախագծում անդրադարձ է կատարվում օբյեկտում օրվա կարգավորիչ ջրամբարի և  տարածքով անցնող օդային բարձրավոլտ հոսանքագծի տեղափոխման աշխատանքներին, սակայն տարբերությունը կայանում է նրանում, որ առաջինով պլանավորվում էին այդ աշխատանքները, որի համար որոշմամբ միայն երկարաձգվել է ժամկետը, իսկ սույն որոշման նախագծով նախատեսվում են համապատասխան ֆինանսական միջոցներ՝ նախագծանախահաշվային փաստաթղթերի հիման վրա։</w:t>
            </w:r>
          </w:p>
          <w:p w:rsidR="00175B11" w:rsidRPr="00983231" w:rsidRDefault="00175B11" w:rsidP="008C0748">
            <w:pPr>
              <w:pStyle w:val="ListParagraph"/>
              <w:spacing w:after="0"/>
              <w:ind w:left="556" w:right="214"/>
              <w:rPr>
                <w:rFonts w:ascii="GHEA Grapalat" w:eastAsia="Times New Roman" w:hAnsi="GHEA Grapalat" w:cs="Times New Roman"/>
                <w:i/>
                <w:color w:val="000000"/>
                <w:sz w:val="24"/>
                <w:szCs w:val="24"/>
                <w:lang w:val="hy-AM" w:eastAsia="ru-RU"/>
              </w:rPr>
            </w:pPr>
          </w:p>
        </w:tc>
      </w:tr>
      <w:tr w:rsidR="00157FC8" w:rsidRPr="00983231" w:rsidTr="00F96BFC">
        <w:trPr>
          <w:trHeight w:val="323"/>
          <w:tblCellSpacing w:w="0" w:type="dxa"/>
        </w:trPr>
        <w:tc>
          <w:tcPr>
            <w:tcW w:w="7825" w:type="dxa"/>
            <w:vMerge w:val="restart"/>
            <w:shd w:val="clear" w:color="auto" w:fill="D9D9D9" w:themeFill="background1" w:themeFillShade="D9"/>
            <w:hideMark/>
          </w:tcPr>
          <w:p w:rsidR="00157FC8" w:rsidRPr="00983231" w:rsidRDefault="00157FC8" w:rsidP="00F96BFC">
            <w:pPr>
              <w:pStyle w:val="ListParagraph"/>
              <w:numPr>
                <w:ilvl w:val="0"/>
                <w:numId w:val="17"/>
              </w:numPr>
              <w:spacing w:after="0"/>
              <w:ind w:right="214"/>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lastRenderedPageBreak/>
              <w:t xml:space="preserve">ՀՀ </w:t>
            </w:r>
            <w:r w:rsidRPr="00983231">
              <w:rPr>
                <w:rFonts w:ascii="GHEA Grapalat" w:eastAsia="Times New Roman" w:hAnsi="GHEA Grapalat" w:cs="Times New Roman"/>
                <w:color w:val="000000"/>
                <w:sz w:val="24"/>
                <w:szCs w:val="24"/>
                <w:lang w:val="en-US" w:eastAsia="ru-RU"/>
              </w:rPr>
              <w:t xml:space="preserve"> ֆինանսների նախրարություն</w:t>
            </w:r>
          </w:p>
        </w:tc>
        <w:tc>
          <w:tcPr>
            <w:tcW w:w="7290" w:type="dxa"/>
            <w:shd w:val="clear" w:color="auto" w:fill="D9D9D9" w:themeFill="background1" w:themeFillShade="D9"/>
          </w:tcPr>
          <w:p w:rsidR="00157FC8" w:rsidRPr="00983231" w:rsidRDefault="00157FC8" w:rsidP="00157FC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05</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3</w:t>
            </w:r>
            <w:r w:rsidRPr="00983231">
              <w:rPr>
                <w:rFonts w:ascii="GHEA Grapalat" w:eastAsia="Times New Roman" w:hAnsi="GHEA Grapalat" w:cs="Times New Roman"/>
                <w:color w:val="000000"/>
                <w:sz w:val="24"/>
                <w:szCs w:val="24"/>
                <w:lang w:val="hy-AM" w:eastAsia="ru-RU"/>
              </w:rPr>
              <w:t>.2024թ.</w:t>
            </w:r>
          </w:p>
        </w:tc>
      </w:tr>
      <w:tr w:rsidR="00157FC8" w:rsidRPr="00983231" w:rsidTr="00F96BFC">
        <w:trPr>
          <w:trHeight w:val="368"/>
          <w:tblCellSpacing w:w="0" w:type="dxa"/>
        </w:trPr>
        <w:tc>
          <w:tcPr>
            <w:tcW w:w="7825" w:type="dxa"/>
            <w:vMerge/>
            <w:shd w:val="clear" w:color="auto" w:fill="D9D9D9" w:themeFill="background1" w:themeFillShade="D9"/>
            <w:hideMark/>
          </w:tcPr>
          <w:p w:rsidR="00157FC8" w:rsidRPr="00983231" w:rsidRDefault="00157FC8" w:rsidP="00347E93">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290" w:type="dxa"/>
            <w:shd w:val="clear" w:color="auto" w:fill="D9D9D9" w:themeFill="background1" w:themeFillShade="D9"/>
          </w:tcPr>
          <w:p w:rsidR="00157FC8" w:rsidRPr="00983231" w:rsidRDefault="00157FC8" w:rsidP="00347E93">
            <w:pPr>
              <w:spacing w:after="0"/>
              <w:ind w:left="132" w:right="214"/>
              <w:contextualSpacing/>
              <w:jc w:val="center"/>
              <w:rPr>
                <w:rFonts w:ascii="GHEA Grapalat" w:eastAsia="Times New Roman" w:hAnsi="GHEA Grapalat" w:cs="Times New Roman"/>
                <w:color w:val="000000"/>
                <w:sz w:val="24"/>
                <w:szCs w:val="24"/>
                <w:lang w:val="hy-AM" w:eastAsia="ru-RU"/>
              </w:rPr>
            </w:pPr>
            <w:r w:rsidRPr="00157FC8">
              <w:rPr>
                <w:rFonts w:ascii="GHEA Grapalat" w:eastAsia="Times New Roman" w:hAnsi="GHEA Grapalat" w:cs="Times New Roman"/>
                <w:color w:val="000000"/>
                <w:sz w:val="24"/>
                <w:szCs w:val="24"/>
                <w:lang w:val="hy-AM" w:eastAsia="ru-RU"/>
              </w:rPr>
              <w:t>01/9-1/4727-2024</w:t>
            </w:r>
          </w:p>
        </w:tc>
      </w:tr>
      <w:tr w:rsidR="00157FC8" w:rsidRPr="0051541C" w:rsidTr="00F96BFC">
        <w:trPr>
          <w:trHeight w:val="1342"/>
          <w:tblCellSpacing w:w="0" w:type="dxa"/>
        </w:trPr>
        <w:tc>
          <w:tcPr>
            <w:tcW w:w="7825" w:type="dxa"/>
            <w:shd w:val="clear" w:color="auto" w:fill="auto"/>
          </w:tcPr>
          <w:p w:rsidR="00157FC8" w:rsidRPr="00B65815" w:rsidRDefault="00157FC8" w:rsidP="00B65815">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Ուսումնասիրելով 28.02.2024թ-ի N 01/16.1/2953-2024 գրությամբ ներկայացված ՀՀ կառավարության որոշման նախագիծը, որով առաջարկվում է ՀՀ 2024թ-ի պետական բյուջեի «1103» ծրագրի «21001. Քաղաքաշինության բնագավառում պետական ծրագրերի իրականացման ապահովում» միջոցառման շրջանակներում Ստեփանավան համայնքի Աշոտաբերդ թաղամասի կառուցապատման աշխատանքների համար նախատեսված 1,941.3 մլն դրամից շուրջ 108.5 մլն դրամ վերաբաշխել Գորիս համայնքի Շուռնուխ բնակավայրում բնակելի թաղամասի կառուցման աշխատանքների ավարտման համար, միաժամանակ աշխատանքների ավարտման ժամկետ սահմանելով մինչև 2024թ-ի ապրիլի 1-ը, հայտնում ենք հետևյալը.</w:t>
            </w:r>
          </w:p>
          <w:p w:rsidR="00157FC8" w:rsidRPr="00B65815" w:rsidRDefault="00157FC8" w:rsidP="00B65815">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1.</w:t>
            </w:r>
            <w:r w:rsidR="00F26DF2" w:rsidRPr="00B65815">
              <w:rPr>
                <w:rFonts w:ascii="GHEA Grapalat" w:hAnsi="GHEA Grapalat"/>
                <w:sz w:val="24"/>
                <w:szCs w:val="24"/>
                <w:lang w:val="hy-AM"/>
              </w:rPr>
              <w:t xml:space="preserve"> </w:t>
            </w:r>
            <w:r w:rsidRPr="00B65815">
              <w:rPr>
                <w:rFonts w:ascii="GHEA Grapalat" w:hAnsi="GHEA Grapalat"/>
                <w:sz w:val="24"/>
                <w:szCs w:val="24"/>
                <w:lang w:val="hy-AM"/>
              </w:rPr>
              <w:t xml:space="preserve">Նախագծով առաջարկվում է ծրագրի իրականացման </w:t>
            </w:r>
            <w:r w:rsidRPr="00B65815">
              <w:rPr>
                <w:rFonts w:ascii="GHEA Grapalat" w:hAnsi="GHEA Grapalat"/>
                <w:sz w:val="24"/>
                <w:szCs w:val="24"/>
                <w:lang w:val="hy-AM"/>
              </w:rPr>
              <w:lastRenderedPageBreak/>
              <w:t xml:space="preserve">աշխատանքների կատարման (ներառյալ տեխնիկական և հեղինակային հսկողության ծառայությունների ձեռքբերման) համար կնքված պայմանագրերի ընդհանուր 1,214.5 մլն դրամն ավելացնել շուրջ 90.8 մլն դրամով, ընդամենը սահմանելով 1,305.3 մլն դրամ: </w:t>
            </w:r>
          </w:p>
          <w:p w:rsidR="00157FC8" w:rsidRPr="00B65815" w:rsidRDefault="00157FC8" w:rsidP="00B65815">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 xml:space="preserve">Նշված միջոցներից 6.5 մլն դրամը նախատեսվում է բնակելի տների տարածքով անցնող օդային բարձրավոլտ հոսանքագծի տեղափոխման աշխատանքների իրականացման համար: Նախագծին կից առկա է ՀԷՑ-ի կողմից տրված անվտանգության գոտիների վերականգնման տեխնիկական պայմանները, որտեղ նշված է, որ աշխատանքները պետք է իրականացնել համաձայն նախագծի: Սակայն հիմնավորող փաստաթղթերից առկա է միայն նախահաշվային մասը, բացակայում են նախագծային մասը, ինչպես նաև </w:t>
            </w:r>
            <w:r w:rsidRPr="00F96BFC">
              <w:rPr>
                <w:rFonts w:ascii="GHEA Grapalat" w:hAnsi="GHEA Grapalat"/>
                <w:sz w:val="24"/>
                <w:szCs w:val="24"/>
                <w:lang w:val="hy-AM"/>
              </w:rPr>
              <w:t>վերջինիս փորձագիտական դրական եզրակացությունը կամ պատասխանատու կապալառու ընկերության կողմից տրված երաշխավորագիրը:</w:t>
            </w:r>
          </w:p>
          <w:p w:rsidR="00157FC8" w:rsidRPr="00157FC8" w:rsidRDefault="00157FC8" w:rsidP="00B65815">
            <w:pPr>
              <w:widowControl w:val="0"/>
              <w:shd w:val="clear" w:color="auto" w:fill="FFFFFF"/>
              <w:spacing w:after="0"/>
              <w:ind w:left="175" w:right="233"/>
              <w:contextualSpacing/>
              <w:jc w:val="both"/>
              <w:rPr>
                <w:rFonts w:ascii="GHEA Grapalat" w:eastAsia="Times New Roman" w:hAnsi="GHEA Grapalat" w:cs="Times New Roman"/>
                <w:sz w:val="24"/>
                <w:szCs w:val="24"/>
                <w:lang w:val="hy-AM" w:eastAsia="ru-RU"/>
              </w:rPr>
            </w:pPr>
          </w:p>
        </w:tc>
        <w:tc>
          <w:tcPr>
            <w:tcW w:w="7290" w:type="dxa"/>
            <w:shd w:val="clear" w:color="auto" w:fill="auto"/>
          </w:tcPr>
          <w:p w:rsidR="00F96BFC" w:rsidRDefault="00F96BFC" w:rsidP="0051541C">
            <w:pPr>
              <w:spacing w:after="0"/>
              <w:ind w:left="132" w:right="214"/>
              <w:contextualSpacing/>
              <w:jc w:val="center"/>
              <w:rPr>
                <w:rFonts w:ascii="GHEA Grapalat" w:eastAsia="Sylfaen" w:hAnsi="GHEA Grapalat" w:cs="Sylfaen"/>
                <w:szCs w:val="24"/>
                <w:lang w:val="hy-AM"/>
              </w:rPr>
            </w:pPr>
          </w:p>
          <w:p w:rsidR="00F96BFC" w:rsidRDefault="00F96BFC" w:rsidP="0051541C">
            <w:pPr>
              <w:spacing w:after="0"/>
              <w:ind w:left="132" w:right="214"/>
              <w:contextualSpacing/>
              <w:jc w:val="center"/>
              <w:rPr>
                <w:rFonts w:ascii="GHEA Grapalat" w:eastAsia="Sylfaen" w:hAnsi="GHEA Grapalat" w:cs="Sylfaen"/>
                <w:szCs w:val="24"/>
                <w:lang w:val="hy-AM"/>
              </w:rPr>
            </w:pPr>
          </w:p>
          <w:p w:rsidR="00F96BFC" w:rsidRDefault="00F96BFC" w:rsidP="0051541C">
            <w:pPr>
              <w:spacing w:after="0"/>
              <w:ind w:left="132" w:right="214"/>
              <w:contextualSpacing/>
              <w:jc w:val="center"/>
              <w:rPr>
                <w:rFonts w:ascii="GHEA Grapalat" w:eastAsia="Sylfaen" w:hAnsi="GHEA Grapalat" w:cs="Sylfaen"/>
                <w:szCs w:val="24"/>
                <w:lang w:val="hy-AM"/>
              </w:rPr>
            </w:pPr>
          </w:p>
          <w:p w:rsidR="00F96BFC" w:rsidRDefault="00F96BFC" w:rsidP="0051541C">
            <w:pPr>
              <w:spacing w:after="0"/>
              <w:ind w:left="132" w:right="214"/>
              <w:contextualSpacing/>
              <w:jc w:val="center"/>
              <w:rPr>
                <w:rFonts w:ascii="GHEA Grapalat" w:eastAsia="Sylfaen" w:hAnsi="GHEA Grapalat" w:cs="Sylfaen"/>
                <w:szCs w:val="24"/>
                <w:lang w:val="hy-AM"/>
              </w:rPr>
            </w:pPr>
          </w:p>
          <w:p w:rsidR="0051541C" w:rsidRPr="009075AC" w:rsidRDefault="0051541C" w:rsidP="0051541C">
            <w:pPr>
              <w:spacing w:after="0"/>
              <w:ind w:left="132" w:right="214"/>
              <w:contextualSpacing/>
              <w:jc w:val="center"/>
              <w:rPr>
                <w:rFonts w:ascii="GHEA Grapalat" w:eastAsia="Sylfaen" w:hAnsi="GHEA Grapalat" w:cs="Sylfaen"/>
                <w:szCs w:val="24"/>
                <w:lang w:val="hy-AM"/>
              </w:rPr>
            </w:pPr>
            <w:r w:rsidRPr="009075AC">
              <w:rPr>
                <w:rFonts w:ascii="GHEA Grapalat" w:eastAsia="Sylfaen" w:hAnsi="GHEA Grapalat" w:cs="Sylfaen"/>
                <w:szCs w:val="24"/>
                <w:lang w:val="hy-AM"/>
              </w:rPr>
              <w:t>Նախագծային մասի լրակազմը, այդ թվում հիմնավորումները և երաշխավորագիրը ներկայացվում են կից։</w:t>
            </w:r>
          </w:p>
          <w:p w:rsidR="00157FC8" w:rsidRPr="00157FC8" w:rsidRDefault="00157FC8" w:rsidP="00347E93">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B150A7" w:rsidRPr="0051541C" w:rsidTr="00F96BFC">
        <w:trPr>
          <w:trHeight w:val="4940"/>
          <w:tblCellSpacing w:w="0" w:type="dxa"/>
        </w:trPr>
        <w:tc>
          <w:tcPr>
            <w:tcW w:w="7825" w:type="dxa"/>
            <w:shd w:val="clear" w:color="auto" w:fill="auto"/>
          </w:tcPr>
          <w:p w:rsidR="00B150A7" w:rsidRPr="00B65815"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lastRenderedPageBreak/>
              <w:t xml:space="preserve">2. 2024թ-ի բյուջետային գործընթացի շրջանակներում Ստեփանավան համայնքի Աշոտաբերդ թաղամասի կառուցապատման աշխատանքների համար Կոմիտեի կողմից հայտագրվել էր 2,000.0 մլն դրամ, որի դիմաց  ՀՀ 2024թ-ի պետական բյուջեով նախատեսվել է  1,941.3 մլն դրամ: Նախագծով առաջարկվում է նախատեսված միջոցներից վերաբաշխել 90.8 մլն դրամ: </w:t>
            </w:r>
            <w:r w:rsidRPr="00F6106D">
              <w:rPr>
                <w:rFonts w:ascii="GHEA Grapalat" w:hAnsi="GHEA Grapalat"/>
                <w:sz w:val="24"/>
                <w:szCs w:val="24"/>
                <w:lang w:val="hy-AM"/>
              </w:rPr>
              <w:t>Նշվածով պայմանավորված առաջարկում ենք նախագծի տեղեկանք հիմնավորման մեջ անդրադառնալ ընթացիկ տարում Աշոտաբերդ թաղամասի կառուցման աշխատանքների պլանավորված ծավալի վրա վերաբաշխման ազդեցությանը, նույն չափով ֆինանսական միջոցների վերականգնման անհրաժեշտությանը կամ դրա բացակությանը:</w:t>
            </w:r>
          </w:p>
          <w:p w:rsidR="00B150A7" w:rsidRPr="00B65815" w:rsidRDefault="00B150A7" w:rsidP="00F96BFC">
            <w:pPr>
              <w:widowControl w:val="0"/>
              <w:shd w:val="clear" w:color="auto" w:fill="FFFFFF"/>
              <w:spacing w:after="0"/>
              <w:ind w:left="165" w:right="233" w:firstLine="10"/>
              <w:contextualSpacing/>
              <w:jc w:val="both"/>
              <w:rPr>
                <w:rFonts w:ascii="GHEA Grapalat" w:hAnsi="GHEA Grapalat"/>
                <w:sz w:val="24"/>
                <w:szCs w:val="24"/>
                <w:lang w:val="hy-AM"/>
              </w:rPr>
            </w:pPr>
          </w:p>
        </w:tc>
        <w:tc>
          <w:tcPr>
            <w:tcW w:w="7290" w:type="dxa"/>
            <w:shd w:val="clear" w:color="auto" w:fill="auto"/>
          </w:tcPr>
          <w:p w:rsidR="00B150A7" w:rsidRPr="00F6106D" w:rsidRDefault="00577B0B" w:rsidP="00577B0B">
            <w:pPr>
              <w:spacing w:after="0"/>
              <w:ind w:left="132" w:right="214"/>
              <w:contextualSpacing/>
              <w:jc w:val="center"/>
              <w:rPr>
                <w:rFonts w:ascii="GHEA Grapalat" w:eastAsia="Times New Roman" w:hAnsi="GHEA Grapalat" w:cs="Times New Roman"/>
                <w:color w:val="000000"/>
                <w:sz w:val="24"/>
                <w:szCs w:val="24"/>
                <w:lang w:val="hy-AM" w:eastAsia="ru-RU"/>
              </w:rPr>
            </w:pPr>
            <w:r w:rsidRPr="00F6106D">
              <w:rPr>
                <w:rFonts w:ascii="GHEA Grapalat" w:hAnsi="GHEA Grapalat"/>
                <w:sz w:val="24"/>
                <w:szCs w:val="24"/>
                <w:lang w:val="hy-AM"/>
              </w:rPr>
              <w:t xml:space="preserve">Նախագծի տեղեկանք հիմնավորման մեջ  անդրադարձ է կատարվել  Աշոտաբերդ թաղամասի կառուցման աշխատանքների մասով </w:t>
            </w:r>
            <w:r w:rsidRPr="00F6106D">
              <w:rPr>
                <w:rFonts w:ascii="GHEA Grapalat" w:eastAsia="Times New Roman" w:hAnsi="GHEA Grapalat" w:cs="Times New Roman"/>
                <w:color w:val="000000"/>
                <w:sz w:val="24"/>
                <w:szCs w:val="24"/>
                <w:lang w:val="hy-AM" w:eastAsia="ru-RU"/>
              </w:rPr>
              <w:t>ֆ</w:t>
            </w:r>
            <w:r w:rsidR="00910953" w:rsidRPr="00F6106D">
              <w:rPr>
                <w:rFonts w:ascii="GHEA Grapalat" w:eastAsia="Times New Roman" w:hAnsi="GHEA Grapalat" w:cs="Times New Roman"/>
                <w:color w:val="000000"/>
                <w:sz w:val="24"/>
                <w:szCs w:val="24"/>
                <w:lang w:val="hy-AM" w:eastAsia="ru-RU"/>
              </w:rPr>
              <w:t>ինանսական միջոցների վերականգնման անհրաժեշտությ</w:t>
            </w:r>
            <w:r w:rsidRPr="00F6106D">
              <w:rPr>
                <w:rFonts w:ascii="GHEA Grapalat" w:eastAsia="Times New Roman" w:hAnsi="GHEA Grapalat" w:cs="Times New Roman"/>
                <w:color w:val="000000"/>
                <w:sz w:val="24"/>
                <w:szCs w:val="24"/>
                <w:lang w:val="hy-AM" w:eastAsia="ru-RU"/>
              </w:rPr>
              <w:t>ա</w:t>
            </w:r>
            <w:r w:rsidR="00910953" w:rsidRPr="00F6106D">
              <w:rPr>
                <w:rFonts w:ascii="GHEA Grapalat" w:eastAsia="Times New Roman" w:hAnsi="GHEA Grapalat" w:cs="Times New Roman"/>
                <w:color w:val="000000"/>
                <w:sz w:val="24"/>
                <w:szCs w:val="24"/>
                <w:lang w:val="hy-AM" w:eastAsia="ru-RU"/>
              </w:rPr>
              <w:t xml:space="preserve">ն </w:t>
            </w:r>
            <w:r w:rsidRPr="00F6106D">
              <w:rPr>
                <w:rFonts w:ascii="GHEA Grapalat" w:eastAsia="Times New Roman" w:hAnsi="GHEA Grapalat" w:cs="Times New Roman"/>
                <w:color w:val="000000"/>
                <w:sz w:val="24"/>
                <w:szCs w:val="24"/>
                <w:lang w:val="hy-AM" w:eastAsia="ru-RU"/>
              </w:rPr>
              <w:t>վերաբերյալ</w:t>
            </w:r>
            <w:r w:rsidR="00910953" w:rsidRPr="00F6106D">
              <w:rPr>
                <w:rFonts w:ascii="GHEA Grapalat" w:eastAsia="Times New Roman" w:hAnsi="GHEA Grapalat" w:cs="Times New Roman"/>
                <w:color w:val="000000"/>
                <w:sz w:val="24"/>
                <w:szCs w:val="24"/>
                <w:lang w:val="hy-AM" w:eastAsia="ru-RU"/>
              </w:rPr>
              <w:t>։</w:t>
            </w:r>
          </w:p>
        </w:tc>
      </w:tr>
      <w:tr w:rsidR="00B150A7" w:rsidRPr="00F96BFC" w:rsidTr="00F96BFC">
        <w:trPr>
          <w:trHeight w:val="6920"/>
          <w:tblCellSpacing w:w="0" w:type="dxa"/>
        </w:trPr>
        <w:tc>
          <w:tcPr>
            <w:tcW w:w="7825" w:type="dxa"/>
            <w:shd w:val="clear" w:color="auto" w:fill="auto"/>
          </w:tcPr>
          <w:p w:rsidR="00B150A7" w:rsidRPr="00B65815"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lastRenderedPageBreak/>
              <w:t>3. Նախագծի 2-րդ կետով առաջարկվում է թույլատրել Արտ Կոնստրակտ ՍՊԸ-ի հետ 20.04.2021թ. կնքված N ՀՀՔԿ-ՀՄԱԱՇՁԲ-21/1 և 21.07.2021թ. կնքված N ՀՀՔԿ-ՀՄԱԱՇՁԲ-21/2 պայմանագրերում կատարել փոփոխություններ՝ ձեռք բերելով լրացուցիչ աշխատանքներ, ինչպես նաև ավելացվող աշխատանքների համար կատարման ժամկետ սահմանելով մինչև 2024 թվականի ապրիլի 1-ը՝ չկիրառելով ՀՀ կառավարության 04.05.2017թ-ի N 526-Ն որոշման N 1 հավելվածով հաստատված կարգի (այսուհետ՝ կարգ) 56-րդ կետի 2-րդ, 3-րդ և 4-րդ ենթակետերի պահանջները:</w:t>
            </w:r>
          </w:p>
          <w:p w:rsidR="00B150A7" w:rsidRPr="00B65815"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Այս կապակցությամբ հայտնում ենք, որ՝</w:t>
            </w:r>
          </w:p>
          <w:p w:rsidR="00B150A7" w:rsidRPr="00B65815"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 հիմք ընդունելով կարգի 33-րդ կետի 11-րդ և 14-րդ ենթակետերի պահանջները՝ գտնում ենք,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նախատեսված պատասխանատվության միջոցներ,</w:t>
            </w:r>
          </w:p>
          <w:p w:rsidR="00B150A7" w:rsidRPr="00B65815"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 կարգի 56-րդ կետի 3-րդ ենթակետի համաձայն պատվիրատուն ինքնուրույն է կայացնում պայմանագրում փոփոխություններ կատարելու վերաբերյալ որոշում, եթե աշխատանքների փոխարինումն այլ բնութագրեր ունեցող աշխատանքներով գումարային արտահայտությամբ չի գերազանցում պայմանագրի գնի տասնհինգ տոկոսը:</w:t>
            </w:r>
          </w:p>
          <w:p w:rsidR="00B150A7" w:rsidRDefault="00B150A7" w:rsidP="00B150A7">
            <w:pPr>
              <w:widowControl w:val="0"/>
              <w:shd w:val="clear" w:color="auto" w:fill="FFFFFF"/>
              <w:spacing w:after="0"/>
              <w:ind w:left="175" w:right="233"/>
              <w:contextualSpacing/>
              <w:jc w:val="both"/>
              <w:rPr>
                <w:rFonts w:ascii="GHEA Grapalat" w:hAnsi="GHEA Grapalat"/>
                <w:sz w:val="24"/>
                <w:szCs w:val="24"/>
                <w:lang w:val="hy-AM"/>
              </w:rPr>
            </w:pPr>
            <w:r w:rsidRPr="00B65815">
              <w:rPr>
                <w:rFonts w:ascii="GHEA Grapalat" w:hAnsi="GHEA Grapalat"/>
                <w:sz w:val="24"/>
                <w:szCs w:val="24"/>
                <w:lang w:val="hy-AM"/>
              </w:rPr>
              <w:t xml:space="preserve">Ելնելով վերոգրյալից և նկատի ունենալով, որ նախագծում և դրա </w:t>
            </w:r>
            <w:r w:rsidRPr="00B65815">
              <w:rPr>
                <w:rFonts w:ascii="GHEA Grapalat" w:hAnsi="GHEA Grapalat"/>
                <w:sz w:val="24"/>
                <w:szCs w:val="24"/>
                <w:lang w:val="hy-AM"/>
              </w:rPr>
              <w:lastRenderedPageBreak/>
              <w:t>ընդունումը հիմնավորող փաստաթղթով բացահայտված չեն նշված պայմանագրերով նախատեսված աշխատանքներն այլ բնութագրեր ունեցող աշխատանքներով փոխարինելու ծավալի չափի վերաբերյալ տեղեկությունները, առաջարկում ենք խմբագրել նախագծի 2-րդ կետի 5-րդ ենթակետը և հանել կարգի 56-րդ կետի 3-րդ ենթակետին կատարված հղումը, եթե փոփոխությունները գումարային (ներառյալ նախկինում կատարված փոփոխությունները ևս) արտահայտությամբ չեն գերազանցում հիշյալ չափը։ Հակառակ դեպքում նախագծում նշել թե պայմանագրերի գների քանի տոկոսի չափով է նախատեսվում կատարել փոփոխությունը (համադրումը):</w:t>
            </w:r>
          </w:p>
          <w:p w:rsidR="00F96BFC" w:rsidRPr="00B65815" w:rsidRDefault="00F96BFC" w:rsidP="00B150A7">
            <w:pPr>
              <w:widowControl w:val="0"/>
              <w:shd w:val="clear" w:color="auto" w:fill="FFFFFF"/>
              <w:spacing w:after="0"/>
              <w:ind w:left="175" w:right="233"/>
              <w:contextualSpacing/>
              <w:jc w:val="both"/>
              <w:rPr>
                <w:rFonts w:ascii="GHEA Grapalat" w:hAnsi="GHEA Grapalat"/>
                <w:sz w:val="24"/>
                <w:szCs w:val="24"/>
                <w:lang w:val="hy-AM"/>
              </w:rPr>
            </w:pPr>
          </w:p>
        </w:tc>
        <w:tc>
          <w:tcPr>
            <w:tcW w:w="7290" w:type="dxa"/>
            <w:shd w:val="clear" w:color="auto" w:fill="auto"/>
            <w:vAlign w:val="center"/>
          </w:tcPr>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r w:rsidRPr="0051541C">
              <w:rPr>
                <w:rFonts w:ascii="GHEA Grapalat" w:hAnsi="GHEA Grapalat"/>
                <w:sz w:val="24"/>
                <w:szCs w:val="24"/>
                <w:lang w:val="hy-AM"/>
              </w:rPr>
              <w:lastRenderedPageBreak/>
              <w:t xml:space="preserve">ՀՀ Սյունիքի մարզի սահմանամերձ Գորիս համայնքի Շուռնուխ բնակավայրում բնակելի թաղամասի կառուցման նախագծանախահաշվային փաստաթղթերը մշակվել են սեղմ ժամկետում՝ 25 օրացուցային օրում, շինարարական աշխատանքների ընթացքն ապահովելու նպատակով։ Նշված հանգամանով պայմանավորված որոշ մանրամասն լուծումներ չեն նախատեսվել՝ նախատեսելով դրանց անդրադարձ կատարել շինարարական աշխատանքների ընթացքում։ </w:t>
            </w:r>
          </w:p>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r w:rsidRPr="0051541C">
              <w:rPr>
                <w:rFonts w:ascii="GHEA Grapalat" w:hAnsi="GHEA Grapalat"/>
                <w:sz w:val="24"/>
                <w:szCs w:val="24"/>
                <w:lang w:val="hy-AM"/>
              </w:rPr>
              <w:t>Շինարարական աշխատանքների ընթացքում անհրաժեշտություններից ելնելով նախատեսվել են լրացուցիչ աշխատանքներ, ծավալների ճշգրտումներ, ինչպես նաև որոշակի փոփոխություններ  ճարտարապետական լուծումներում և բարեկարգման աշխատանքներում, որոնց իրականացման անհրաժեշտություն</w:t>
            </w:r>
            <w:r w:rsidR="00F96BFC">
              <w:rPr>
                <w:rFonts w:ascii="GHEA Grapalat" w:hAnsi="GHEA Grapalat"/>
                <w:sz w:val="24"/>
                <w:szCs w:val="24"/>
                <w:lang w:val="hy-AM"/>
              </w:rPr>
              <w:t>ն</w:t>
            </w:r>
            <w:r w:rsidRPr="0051541C">
              <w:rPr>
                <w:rFonts w:ascii="GHEA Grapalat" w:hAnsi="GHEA Grapalat"/>
                <w:sz w:val="24"/>
                <w:szCs w:val="24"/>
                <w:lang w:val="hy-AM"/>
              </w:rPr>
              <w:t xml:space="preserve"> առաջացել է շինարարական աշխատանքների ընթացքում։</w:t>
            </w:r>
          </w:p>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r w:rsidRPr="0051541C">
              <w:rPr>
                <w:rFonts w:ascii="GHEA Grapalat" w:hAnsi="GHEA Grapalat"/>
                <w:sz w:val="24"/>
                <w:szCs w:val="24"/>
                <w:lang w:val="hy-AM"/>
              </w:rPr>
              <w:t>Կատարված բոլոր տեսակի փոփոխություններն ու լրացուցիչ աշխատանքներ</w:t>
            </w:r>
            <w:r w:rsidR="00F96BFC">
              <w:rPr>
                <w:rFonts w:ascii="GHEA Grapalat" w:hAnsi="GHEA Grapalat"/>
                <w:sz w:val="24"/>
                <w:szCs w:val="24"/>
                <w:lang w:val="hy-AM"/>
              </w:rPr>
              <w:t>ն</w:t>
            </w:r>
            <w:r w:rsidRPr="0051541C">
              <w:rPr>
                <w:rFonts w:ascii="GHEA Grapalat" w:hAnsi="GHEA Grapalat"/>
                <w:sz w:val="24"/>
                <w:szCs w:val="24"/>
                <w:lang w:val="hy-AM"/>
              </w:rPr>
              <w:t xml:space="preserve"> իրականացվել են առավել բարեկարգ թաղամաս ունենալու համար։</w:t>
            </w:r>
            <w:bookmarkStart w:id="0" w:name="_GoBack"/>
            <w:bookmarkEnd w:id="0"/>
          </w:p>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r w:rsidRPr="0051541C">
              <w:rPr>
                <w:rFonts w:ascii="GHEA Grapalat" w:hAnsi="GHEA Grapalat"/>
                <w:sz w:val="24"/>
                <w:szCs w:val="24"/>
                <w:lang w:val="hy-AM"/>
              </w:rPr>
              <w:t>Լրացուցի</w:t>
            </w:r>
            <w:r w:rsidR="00F96BFC">
              <w:rPr>
                <w:rFonts w:ascii="GHEA Grapalat" w:hAnsi="GHEA Grapalat"/>
                <w:sz w:val="24"/>
                <w:szCs w:val="24"/>
                <w:lang w:val="hy-AM"/>
              </w:rPr>
              <w:t>չ</w:t>
            </w:r>
            <w:r w:rsidRPr="0051541C">
              <w:rPr>
                <w:rFonts w:ascii="GHEA Grapalat" w:hAnsi="GHEA Grapalat"/>
                <w:sz w:val="24"/>
                <w:szCs w:val="24"/>
                <w:lang w:val="hy-AM"/>
              </w:rPr>
              <w:t xml:space="preserve"> կատարված աշխատանքների, փոփոխությունների և ճշգրտումների վերաբերյալ պարզաբանումները ՀՀ քաղաքաշինության</w:t>
            </w:r>
            <w:r w:rsidR="00F96BFC">
              <w:rPr>
                <w:rFonts w:ascii="GHEA Grapalat" w:hAnsi="GHEA Grapalat"/>
                <w:sz w:val="24"/>
                <w:szCs w:val="24"/>
                <w:lang w:val="hy-AM"/>
              </w:rPr>
              <w:t xml:space="preserve"> </w:t>
            </w:r>
            <w:r w:rsidRPr="0051541C">
              <w:rPr>
                <w:rFonts w:ascii="GHEA Grapalat" w:hAnsi="GHEA Grapalat"/>
                <w:sz w:val="24"/>
                <w:szCs w:val="24"/>
                <w:lang w:val="hy-AM"/>
              </w:rPr>
              <w:t>կոմիտեն ներկայացել է ՀՀ ֆինանսների նախարարության 27.02.2024թ. N 01/9-1/4336-2024 գրության պարզաբանման շրջանակներում։</w:t>
            </w:r>
          </w:p>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p>
          <w:p w:rsidR="0051541C" w:rsidRPr="0051541C" w:rsidRDefault="0051541C"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Pr="0051541C" w:rsidRDefault="00F6106D" w:rsidP="0051541C">
            <w:pPr>
              <w:widowControl w:val="0"/>
              <w:shd w:val="clear" w:color="auto" w:fill="FFFFFF"/>
              <w:spacing w:after="0"/>
              <w:ind w:left="175" w:right="233"/>
              <w:contextualSpacing/>
              <w:jc w:val="both"/>
              <w:rPr>
                <w:rFonts w:ascii="GHEA Grapalat" w:hAnsi="GHEA Grapalat"/>
                <w:sz w:val="24"/>
                <w:szCs w:val="24"/>
                <w:lang w:val="hy-AM"/>
              </w:rPr>
            </w:pPr>
          </w:p>
          <w:p w:rsidR="00F6106D" w:rsidRDefault="00F6106D" w:rsidP="0089713D">
            <w:pPr>
              <w:spacing w:after="0"/>
              <w:ind w:left="132" w:right="214"/>
              <w:contextualSpacing/>
              <w:jc w:val="center"/>
              <w:rPr>
                <w:rFonts w:ascii="GHEA Grapalat" w:eastAsia="Times New Roman" w:hAnsi="GHEA Grapalat" w:cs="Times New Roman"/>
                <w:color w:val="000000"/>
                <w:sz w:val="24"/>
                <w:szCs w:val="24"/>
                <w:lang w:val="hy-AM" w:eastAsia="ru-RU"/>
              </w:rPr>
            </w:pPr>
          </w:p>
          <w:p w:rsidR="00F6106D" w:rsidRDefault="00F6106D" w:rsidP="0089713D">
            <w:pPr>
              <w:spacing w:after="0"/>
              <w:ind w:left="132" w:right="214"/>
              <w:contextualSpacing/>
              <w:jc w:val="center"/>
              <w:rPr>
                <w:rFonts w:ascii="GHEA Grapalat" w:eastAsia="Times New Roman" w:hAnsi="GHEA Grapalat" w:cs="Times New Roman"/>
                <w:color w:val="000000"/>
                <w:sz w:val="24"/>
                <w:szCs w:val="24"/>
                <w:lang w:val="hy-AM" w:eastAsia="ru-RU"/>
              </w:rPr>
            </w:pPr>
          </w:p>
          <w:p w:rsidR="00B150A7" w:rsidRPr="00157FC8" w:rsidRDefault="00B150A7" w:rsidP="00F6106D">
            <w:pPr>
              <w:spacing w:after="0"/>
              <w:ind w:right="214"/>
              <w:contextualSpacing/>
              <w:rPr>
                <w:rFonts w:ascii="GHEA Grapalat" w:eastAsia="Times New Roman" w:hAnsi="GHEA Grapalat" w:cs="Times New Roman"/>
                <w:color w:val="000000"/>
                <w:sz w:val="24"/>
                <w:szCs w:val="24"/>
                <w:lang w:val="hy-AM" w:eastAsia="ru-RU"/>
              </w:rPr>
            </w:pPr>
          </w:p>
        </w:tc>
      </w:tr>
    </w:tbl>
    <w:p w:rsidR="00B150A7" w:rsidRPr="007A3ADB" w:rsidRDefault="00B150A7">
      <w:pPr>
        <w:rPr>
          <w:lang w:val="hy-AM"/>
        </w:rPr>
      </w:pPr>
    </w:p>
    <w:sectPr w:rsidR="00B150A7" w:rsidRPr="007A3ADB"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2AD" w:rsidRDefault="002F22AD" w:rsidP="009F26EA">
      <w:pPr>
        <w:spacing w:after="0" w:line="240" w:lineRule="auto"/>
      </w:pPr>
      <w:r>
        <w:separator/>
      </w:r>
    </w:p>
  </w:endnote>
  <w:endnote w:type="continuationSeparator" w:id="0">
    <w:p w:rsidR="002F22AD" w:rsidRDefault="002F22A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2AD" w:rsidRDefault="002F22AD" w:rsidP="009F26EA">
      <w:pPr>
        <w:spacing w:after="0" w:line="240" w:lineRule="auto"/>
      </w:pPr>
      <w:r>
        <w:separator/>
      </w:r>
    </w:p>
  </w:footnote>
  <w:footnote w:type="continuationSeparator" w:id="0">
    <w:p w:rsidR="002F22AD" w:rsidRDefault="002F22A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4" w15:restartNumberingAfterBreak="0">
    <w:nsid w:val="1E1E16A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5"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1"/>
  </w:num>
  <w:num w:numId="3">
    <w:abstractNumId w:val="16"/>
  </w:num>
  <w:num w:numId="4">
    <w:abstractNumId w:val="14"/>
  </w:num>
  <w:num w:numId="5">
    <w:abstractNumId w:val="15"/>
  </w:num>
  <w:num w:numId="6">
    <w:abstractNumId w:val="5"/>
  </w:num>
  <w:num w:numId="7">
    <w:abstractNumId w:val="13"/>
  </w:num>
  <w:num w:numId="8">
    <w:abstractNumId w:val="12"/>
  </w:num>
  <w:num w:numId="9">
    <w:abstractNumId w:val="8"/>
  </w:num>
  <w:num w:numId="10">
    <w:abstractNumId w:val="9"/>
  </w:num>
  <w:num w:numId="11">
    <w:abstractNumId w:val="2"/>
  </w:num>
  <w:num w:numId="12">
    <w:abstractNumId w:val="1"/>
  </w:num>
  <w:num w:numId="13">
    <w:abstractNumId w:val="0"/>
  </w:num>
  <w:num w:numId="14">
    <w:abstractNumId w:val="7"/>
  </w:num>
  <w:num w:numId="15">
    <w:abstractNumId w:val="10"/>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22A49"/>
    <w:rsid w:val="00034DB2"/>
    <w:rsid w:val="00037006"/>
    <w:rsid w:val="00043135"/>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102B3D"/>
    <w:rsid w:val="00103D63"/>
    <w:rsid w:val="001052D7"/>
    <w:rsid w:val="00111320"/>
    <w:rsid w:val="00112C2F"/>
    <w:rsid w:val="001149B7"/>
    <w:rsid w:val="001163C2"/>
    <w:rsid w:val="00116B68"/>
    <w:rsid w:val="001208DA"/>
    <w:rsid w:val="00131CBF"/>
    <w:rsid w:val="001374E5"/>
    <w:rsid w:val="00143498"/>
    <w:rsid w:val="00157FC8"/>
    <w:rsid w:val="0016316B"/>
    <w:rsid w:val="001675D6"/>
    <w:rsid w:val="00170F0C"/>
    <w:rsid w:val="00175B11"/>
    <w:rsid w:val="00194CC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1352C"/>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22AD"/>
    <w:rsid w:val="002F4EF6"/>
    <w:rsid w:val="00300D77"/>
    <w:rsid w:val="00300FD9"/>
    <w:rsid w:val="00305199"/>
    <w:rsid w:val="003131E8"/>
    <w:rsid w:val="00321B8F"/>
    <w:rsid w:val="00322D19"/>
    <w:rsid w:val="00325496"/>
    <w:rsid w:val="00330648"/>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C18D2"/>
    <w:rsid w:val="003C3470"/>
    <w:rsid w:val="003C5E73"/>
    <w:rsid w:val="003D2E0F"/>
    <w:rsid w:val="003D79BF"/>
    <w:rsid w:val="003E2822"/>
    <w:rsid w:val="00404C83"/>
    <w:rsid w:val="00420338"/>
    <w:rsid w:val="00422CC8"/>
    <w:rsid w:val="00437ED2"/>
    <w:rsid w:val="0045226C"/>
    <w:rsid w:val="004605CE"/>
    <w:rsid w:val="0047335D"/>
    <w:rsid w:val="0048183D"/>
    <w:rsid w:val="00482645"/>
    <w:rsid w:val="0048496A"/>
    <w:rsid w:val="004A20BA"/>
    <w:rsid w:val="004A3C0D"/>
    <w:rsid w:val="004A4D0F"/>
    <w:rsid w:val="004A6C04"/>
    <w:rsid w:val="004B1F4B"/>
    <w:rsid w:val="004D4F85"/>
    <w:rsid w:val="004E109B"/>
    <w:rsid w:val="004E6544"/>
    <w:rsid w:val="004F066E"/>
    <w:rsid w:val="004F77E1"/>
    <w:rsid w:val="00502000"/>
    <w:rsid w:val="005102BA"/>
    <w:rsid w:val="005108AA"/>
    <w:rsid w:val="00512110"/>
    <w:rsid w:val="0051541C"/>
    <w:rsid w:val="00520550"/>
    <w:rsid w:val="00522C9D"/>
    <w:rsid w:val="00532780"/>
    <w:rsid w:val="00533298"/>
    <w:rsid w:val="005332CC"/>
    <w:rsid w:val="00537EA7"/>
    <w:rsid w:val="00550E30"/>
    <w:rsid w:val="0055469D"/>
    <w:rsid w:val="00561430"/>
    <w:rsid w:val="00574E58"/>
    <w:rsid w:val="00577B0B"/>
    <w:rsid w:val="00591C88"/>
    <w:rsid w:val="00592CC9"/>
    <w:rsid w:val="005A135D"/>
    <w:rsid w:val="005A1C94"/>
    <w:rsid w:val="005B4DAF"/>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A17"/>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6FC3"/>
    <w:rsid w:val="0074764C"/>
    <w:rsid w:val="007543D7"/>
    <w:rsid w:val="00766C2B"/>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67B88"/>
    <w:rsid w:val="00873135"/>
    <w:rsid w:val="00882FBB"/>
    <w:rsid w:val="00891097"/>
    <w:rsid w:val="00893A22"/>
    <w:rsid w:val="0089713D"/>
    <w:rsid w:val="0089798F"/>
    <w:rsid w:val="008A41BB"/>
    <w:rsid w:val="008A68A2"/>
    <w:rsid w:val="008A7755"/>
    <w:rsid w:val="008B6FCC"/>
    <w:rsid w:val="008B7455"/>
    <w:rsid w:val="008C0748"/>
    <w:rsid w:val="008C393B"/>
    <w:rsid w:val="008D7F19"/>
    <w:rsid w:val="008E3367"/>
    <w:rsid w:val="008F295F"/>
    <w:rsid w:val="00910953"/>
    <w:rsid w:val="00920CF9"/>
    <w:rsid w:val="00924509"/>
    <w:rsid w:val="00944B38"/>
    <w:rsid w:val="0094652E"/>
    <w:rsid w:val="00947733"/>
    <w:rsid w:val="00957CF1"/>
    <w:rsid w:val="009646B5"/>
    <w:rsid w:val="0096588D"/>
    <w:rsid w:val="009823C2"/>
    <w:rsid w:val="00982B7B"/>
    <w:rsid w:val="00983231"/>
    <w:rsid w:val="00987901"/>
    <w:rsid w:val="00991294"/>
    <w:rsid w:val="009A40C5"/>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53F15"/>
    <w:rsid w:val="00A60547"/>
    <w:rsid w:val="00A63C36"/>
    <w:rsid w:val="00A67DA4"/>
    <w:rsid w:val="00A83447"/>
    <w:rsid w:val="00A86320"/>
    <w:rsid w:val="00A93911"/>
    <w:rsid w:val="00A93D61"/>
    <w:rsid w:val="00AA26BC"/>
    <w:rsid w:val="00AA395C"/>
    <w:rsid w:val="00AA417E"/>
    <w:rsid w:val="00AA54BA"/>
    <w:rsid w:val="00AA77CB"/>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0A7"/>
    <w:rsid w:val="00B15425"/>
    <w:rsid w:val="00B20406"/>
    <w:rsid w:val="00B2166B"/>
    <w:rsid w:val="00B304B1"/>
    <w:rsid w:val="00B33CED"/>
    <w:rsid w:val="00B33FAB"/>
    <w:rsid w:val="00B522B5"/>
    <w:rsid w:val="00B548B9"/>
    <w:rsid w:val="00B57540"/>
    <w:rsid w:val="00B64BAC"/>
    <w:rsid w:val="00B65815"/>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B3751"/>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516C"/>
    <w:rsid w:val="00C375B0"/>
    <w:rsid w:val="00C43260"/>
    <w:rsid w:val="00C57344"/>
    <w:rsid w:val="00C70BFF"/>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570B0"/>
    <w:rsid w:val="00D717C1"/>
    <w:rsid w:val="00D814BB"/>
    <w:rsid w:val="00D82DD4"/>
    <w:rsid w:val="00D93C8B"/>
    <w:rsid w:val="00D93D33"/>
    <w:rsid w:val="00D96E80"/>
    <w:rsid w:val="00DA5456"/>
    <w:rsid w:val="00DA6239"/>
    <w:rsid w:val="00DB0BAA"/>
    <w:rsid w:val="00DB498B"/>
    <w:rsid w:val="00DB5E2E"/>
    <w:rsid w:val="00DB6521"/>
    <w:rsid w:val="00DC4FF5"/>
    <w:rsid w:val="00DC7F2D"/>
    <w:rsid w:val="00DE31E1"/>
    <w:rsid w:val="00DE412C"/>
    <w:rsid w:val="00DE4793"/>
    <w:rsid w:val="00DE7A35"/>
    <w:rsid w:val="00DF521D"/>
    <w:rsid w:val="00DF66BD"/>
    <w:rsid w:val="00E05E79"/>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92F8C"/>
    <w:rsid w:val="00EA5A45"/>
    <w:rsid w:val="00EA62F1"/>
    <w:rsid w:val="00EB0E32"/>
    <w:rsid w:val="00EB6B38"/>
    <w:rsid w:val="00EC25D1"/>
    <w:rsid w:val="00EC3272"/>
    <w:rsid w:val="00ED2E2E"/>
    <w:rsid w:val="00ED7D83"/>
    <w:rsid w:val="00EE304A"/>
    <w:rsid w:val="00F024FD"/>
    <w:rsid w:val="00F045D4"/>
    <w:rsid w:val="00F076C6"/>
    <w:rsid w:val="00F159AC"/>
    <w:rsid w:val="00F217C3"/>
    <w:rsid w:val="00F26DF2"/>
    <w:rsid w:val="00F3465A"/>
    <w:rsid w:val="00F36ED5"/>
    <w:rsid w:val="00F425CB"/>
    <w:rsid w:val="00F52020"/>
    <w:rsid w:val="00F56CC5"/>
    <w:rsid w:val="00F6074C"/>
    <w:rsid w:val="00F6106D"/>
    <w:rsid w:val="00F6667F"/>
    <w:rsid w:val="00F75DD5"/>
    <w:rsid w:val="00F945F1"/>
    <w:rsid w:val="00F954EC"/>
    <w:rsid w:val="00F96479"/>
    <w:rsid w:val="00F96BFC"/>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B330D"/>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674AE7-67E9-4EAD-8820-3D2A17FE3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https://mul2.gov.am/tasks/941102/oneclick/14_ampopatert.docx?token=25c53191e112882b3a35a95d184b5f8c</cp:keywords>
  <cp:lastModifiedBy>Meri Arshaluysyan</cp:lastModifiedBy>
  <cp:revision>39</cp:revision>
  <cp:lastPrinted>2024-02-27T13:57:00Z</cp:lastPrinted>
  <dcterms:created xsi:type="dcterms:W3CDTF">2024-03-01T08:26:00Z</dcterms:created>
  <dcterms:modified xsi:type="dcterms:W3CDTF">2024-03-05T14:06:00Z</dcterms:modified>
</cp:coreProperties>
</file>