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0BC41" w14:textId="0685CA86" w:rsidR="00191CB0" w:rsidRPr="00934428" w:rsidRDefault="00191CB0" w:rsidP="00765D83">
      <w:pPr>
        <w:ind w:firstLine="720"/>
        <w:jc w:val="center"/>
        <w:rPr>
          <w:rFonts w:ascii="GHEA Grapalat" w:eastAsia="GHEA Grapalat" w:hAnsi="GHEA Grapalat" w:cs="GHEA Grapalat"/>
          <w:sz w:val="24"/>
          <w:szCs w:val="24"/>
          <w:lang w:val="hy-AM"/>
        </w:rPr>
      </w:pPr>
      <w:r w:rsidRPr="00934428">
        <w:rPr>
          <w:rFonts w:ascii="GHEA Grapalat" w:eastAsia="GHEA Grapalat" w:hAnsi="GHEA Grapalat" w:cs="GHEA Grapalat"/>
          <w:b/>
          <w:sz w:val="24"/>
          <w:szCs w:val="24"/>
          <w:lang w:val="hy-AM"/>
        </w:rPr>
        <w:t>ՀԻՄՆԱՎՈՐՈՒՄ</w:t>
      </w:r>
    </w:p>
    <w:p w14:paraId="6E649C1A" w14:textId="51C143B3" w:rsidR="0005656F" w:rsidRPr="00EA3239" w:rsidRDefault="007A63E3" w:rsidP="00765D83">
      <w:pPr>
        <w:pStyle w:val="NormalWeb"/>
        <w:shd w:val="clear" w:color="auto" w:fill="FFFFFF"/>
        <w:spacing w:before="0" w:beforeAutospacing="0" w:after="0" w:afterAutospacing="0" w:line="276" w:lineRule="auto"/>
        <w:ind w:firstLine="720"/>
        <w:jc w:val="center"/>
        <w:rPr>
          <w:rStyle w:val="Strong"/>
          <w:rFonts w:ascii="GHEA Grapalat" w:hAnsi="GHEA Grapalat" w:cs="GHEA Grapalat"/>
          <w:color w:val="000000"/>
          <w:lang w:val="hy-AM"/>
        </w:rPr>
      </w:pPr>
      <w:r w:rsidRPr="00EA3239">
        <w:rPr>
          <w:rStyle w:val="Strong"/>
          <w:rFonts w:ascii="GHEA Grapalat" w:hAnsi="GHEA Grapalat" w:cs="GHEA Grapalat"/>
          <w:color w:val="000000"/>
          <w:lang w:val="hy-AM"/>
        </w:rPr>
        <w:t xml:space="preserve"> </w:t>
      </w:r>
      <w:r w:rsidR="0005656F" w:rsidRPr="00EA3239">
        <w:rPr>
          <w:rStyle w:val="Strong"/>
          <w:rFonts w:ascii="GHEA Grapalat" w:hAnsi="GHEA Grapalat" w:cs="GHEA Grapalat"/>
          <w:color w:val="000000"/>
          <w:lang w:val="hy-AM"/>
        </w:rPr>
        <w:t>«</w:t>
      </w:r>
      <w:r w:rsidR="00EA3239" w:rsidRPr="00EA3239">
        <w:rPr>
          <w:rStyle w:val="Strong"/>
          <w:rFonts w:ascii="GHEA Grapalat" w:hAnsi="GHEA Grapalat" w:cs="GHEA Grapalat"/>
          <w:color w:val="000000"/>
          <w:lang w:val="hy-AM"/>
        </w:rPr>
        <w:t>ՀԱՅԱՍՏԱՆԻ ՀԱՆՐԱՊԵՏՈՒԹՅԱՆ ԿԱՌԱՎԱՐՈՒԹՅԱՆ 2023 ԹՎԱԿԱՆԻ ԴԵԿՏԵՄԲԵՐԻ 28-Ի ԹԻՎ 2326-Ն ՈՐՈՇՄԱՆ ՄԵՋ ՓՈՓՈԽՈՒԹՅՈՒՆ ԿԱՏԱՐԵԼՈՒ ՄԱՍԻՆ</w:t>
      </w:r>
      <w:r w:rsidR="0005656F" w:rsidRPr="00EA3239">
        <w:rPr>
          <w:rStyle w:val="Strong"/>
          <w:rFonts w:ascii="GHEA Grapalat" w:hAnsi="GHEA Grapalat" w:cs="GHEA Grapalat"/>
          <w:color w:val="000000"/>
          <w:lang w:val="hy-AM"/>
        </w:rPr>
        <w:t>» Հ</w:t>
      </w:r>
      <w:r w:rsidR="0005656F" w:rsidRPr="007A63E3">
        <w:rPr>
          <w:rStyle w:val="Strong"/>
          <w:rFonts w:ascii="GHEA Grapalat" w:hAnsi="GHEA Grapalat" w:cs="GHEA Grapalat"/>
          <w:color w:val="000000"/>
          <w:lang w:val="hy-AM"/>
        </w:rPr>
        <w:t xml:space="preserve">ԱՅԱՍՏԱՆԻ ՀԱՆՐԱՊԵՏՈՒԹՅԱՆ ԿԱՌԱՎԱՐՈՒԹՅԱՆ </w:t>
      </w:r>
      <w:r w:rsidR="00D9172D" w:rsidRPr="007A63E3">
        <w:rPr>
          <w:rStyle w:val="Strong"/>
          <w:rFonts w:ascii="GHEA Grapalat" w:hAnsi="GHEA Grapalat" w:cs="GHEA Grapalat"/>
          <w:color w:val="000000"/>
          <w:lang w:val="hy-AM"/>
        </w:rPr>
        <w:t xml:space="preserve">ՈՐՈՇՄԱՆ ՆԱԽԱԳԾԻ </w:t>
      </w:r>
      <w:r w:rsidR="00D9172D">
        <w:rPr>
          <w:rStyle w:val="Strong"/>
          <w:rFonts w:ascii="GHEA Grapalat" w:hAnsi="GHEA Grapalat" w:cs="GHEA Grapalat"/>
          <w:color w:val="000000"/>
          <w:lang w:val="hy-AM"/>
        </w:rPr>
        <w:t xml:space="preserve">(ԱՅՍՈՒՀԵՏ՝ ՆԱԽԱԳԻԾ) </w:t>
      </w:r>
      <w:r w:rsidR="00D9172D" w:rsidRPr="00EA3239">
        <w:rPr>
          <w:rStyle w:val="Strong"/>
          <w:rFonts w:ascii="GHEA Grapalat" w:hAnsi="GHEA Grapalat" w:cs="GHEA Grapalat"/>
          <w:color w:val="000000"/>
          <w:lang w:val="hy-AM"/>
        </w:rPr>
        <w:t>ԸՆԴՈՒՆՄԱՆ</w:t>
      </w:r>
    </w:p>
    <w:p w14:paraId="2CA04FA8" w14:textId="77777777" w:rsidR="0005656F" w:rsidRPr="0005656F" w:rsidRDefault="0005656F" w:rsidP="00765D83">
      <w:pPr>
        <w:spacing w:after="0"/>
        <w:ind w:firstLine="720"/>
        <w:jc w:val="center"/>
        <w:rPr>
          <w:rFonts w:ascii="GHEA Grapalat" w:hAnsi="GHEA Grapalat"/>
          <w:b/>
          <w:sz w:val="24"/>
          <w:szCs w:val="24"/>
          <w:lang w:val="hy-AM"/>
        </w:rPr>
      </w:pPr>
    </w:p>
    <w:p w14:paraId="600D75A6" w14:textId="3874B812" w:rsidR="00C128C0" w:rsidRDefault="00C128C0" w:rsidP="00765D83">
      <w:pPr>
        <w:pStyle w:val="ListParagraph"/>
        <w:numPr>
          <w:ilvl w:val="0"/>
          <w:numId w:val="9"/>
        </w:numPr>
        <w:shd w:val="clear" w:color="auto" w:fill="FFFFFF"/>
        <w:spacing w:after="0"/>
        <w:ind w:left="0" w:firstLine="720"/>
        <w:jc w:val="both"/>
        <w:rPr>
          <w:rFonts w:ascii="GHEA Grapalat" w:hAnsi="GHEA Grapalat"/>
          <w:b/>
          <w:bCs/>
          <w:spacing w:val="-6"/>
          <w:sz w:val="24"/>
          <w:szCs w:val="24"/>
          <w:lang w:val="hy-AM"/>
        </w:rPr>
      </w:pPr>
      <w:r w:rsidRPr="00C128C0">
        <w:rPr>
          <w:rFonts w:ascii="GHEA Grapalat" w:hAnsi="GHEA Grapalat"/>
          <w:b/>
          <w:bCs/>
          <w:spacing w:val="-6"/>
          <w:sz w:val="24"/>
          <w:szCs w:val="24"/>
          <w:lang w:val="hy-AM"/>
        </w:rPr>
        <w:t xml:space="preserve">Կարգավորման ենթակա </w:t>
      </w:r>
      <w:r w:rsidR="00DB5EE0">
        <w:rPr>
          <w:rFonts w:ascii="GHEA Grapalat" w:hAnsi="GHEA Grapalat"/>
          <w:b/>
          <w:bCs/>
          <w:spacing w:val="-6"/>
          <w:sz w:val="24"/>
          <w:szCs w:val="24"/>
          <w:lang w:val="hy-AM"/>
        </w:rPr>
        <w:t>ոլորտի կամ խնդրի սահմանումը.</w:t>
      </w:r>
    </w:p>
    <w:p w14:paraId="63CF7B7D" w14:textId="584BA37E" w:rsidR="00AF2474" w:rsidRDefault="00816671" w:rsidP="00765D83">
      <w:pPr>
        <w:pStyle w:val="ListParagraph"/>
        <w:shd w:val="clear" w:color="auto" w:fill="FFFFFF"/>
        <w:tabs>
          <w:tab w:val="left" w:pos="1080"/>
        </w:tabs>
        <w:spacing w:after="0"/>
        <w:ind w:left="0" w:firstLine="720"/>
        <w:jc w:val="both"/>
        <w:rPr>
          <w:rFonts w:ascii="GHEA Grapalat" w:hAnsi="GHEA Grapalat"/>
          <w:bCs/>
          <w:spacing w:val="-6"/>
          <w:sz w:val="24"/>
          <w:szCs w:val="24"/>
          <w:lang w:val="hy-AM"/>
        </w:rPr>
      </w:pPr>
      <w:r>
        <w:rPr>
          <w:rFonts w:ascii="GHEA Grapalat" w:hAnsi="GHEA Grapalat"/>
          <w:bCs/>
          <w:spacing w:val="-6"/>
          <w:sz w:val="24"/>
          <w:szCs w:val="24"/>
          <w:lang w:val="hy-AM"/>
        </w:rPr>
        <w:t>ՀՀ</w:t>
      </w:r>
      <w:r w:rsidR="00EA3239" w:rsidRPr="00EA3239">
        <w:rPr>
          <w:rFonts w:ascii="GHEA Grapalat" w:hAnsi="GHEA Grapalat"/>
          <w:bCs/>
          <w:spacing w:val="-6"/>
          <w:sz w:val="24"/>
          <w:szCs w:val="24"/>
          <w:lang w:val="hy-AM"/>
        </w:rPr>
        <w:t xml:space="preserve"> կառավարության 2023 թվականի դեկտեմբերի 28-ի «Լեռնային Ղարաբաղի կառավարության և նրա ստեղծած հիմնադրամների, առանձին իրավաբանական և ֆիզիկական անձանց նկատմամբ Հայաստանի Հանրապետության ֆինանսական կազմակերպությունների դրամական պահանջների (գույքային իրավունքների) զիջման դիմաց պետական գանձապետական պարտատոմսերի թողարկման, տեղաբաշխման, շրջանառության, հետգնման, մարման առանձնահատկությունները, առանձին իրավաբանական և ֆիզիկական անձանց պարտավորությունների ընտրանքի չափանիշները, ֆինանսական կազմակերպությունների կողմից դրամական պահանջների (գույքային իրավունքների) փոխանցման, փոխանցված դրամական պահանջների (գույքային իրավունքների) վերաբերյալ տեղեկատվության հրապարակման կարգը սահմանելու մասին» թիվ 2326-Ն որոշման</w:t>
      </w:r>
      <w:r w:rsidR="00EA3239">
        <w:rPr>
          <w:rFonts w:ascii="GHEA Grapalat" w:hAnsi="GHEA Grapalat"/>
          <w:bCs/>
          <w:spacing w:val="-6"/>
          <w:sz w:val="24"/>
          <w:szCs w:val="24"/>
          <w:lang w:val="hy-AM"/>
        </w:rPr>
        <w:t xml:space="preserve"> </w:t>
      </w:r>
      <w:r w:rsidR="00EA3239" w:rsidRPr="00BE7779">
        <w:rPr>
          <w:rFonts w:ascii="GHEA Grapalat" w:hAnsi="GHEA Grapalat"/>
          <w:bCs/>
          <w:spacing w:val="-6"/>
          <w:sz w:val="24"/>
          <w:szCs w:val="24"/>
          <w:lang w:val="hy-AM"/>
        </w:rPr>
        <w:t>N 2 հավելվածի</w:t>
      </w:r>
      <w:r w:rsidR="00EA3239">
        <w:rPr>
          <w:rFonts w:ascii="GHEA Grapalat" w:hAnsi="GHEA Grapalat"/>
          <w:bCs/>
          <w:spacing w:val="-6"/>
          <w:sz w:val="24"/>
          <w:szCs w:val="24"/>
          <w:lang w:val="hy-AM"/>
        </w:rPr>
        <w:t xml:space="preserve"> </w:t>
      </w:r>
      <w:r w:rsidR="00AF2474" w:rsidRPr="00BE7779">
        <w:rPr>
          <w:rFonts w:ascii="GHEA Grapalat" w:hAnsi="GHEA Grapalat"/>
          <w:bCs/>
          <w:spacing w:val="-6"/>
          <w:sz w:val="24"/>
          <w:szCs w:val="24"/>
          <w:lang w:val="hy-AM"/>
        </w:rPr>
        <w:t>2-րդ կետի համաձայն՝ «Հայաստանի Հանրապետության 2023 թվականի պետական բյուջեի մասին» օրենքի 9-րդ հոդվածի 23-րդ մասի հիմքով ֆինանսական կազմակերպությունների կողմից Հայաստանի Հանրապետության կառավարությանը փոխանցման ենթակա են ֆինանսական կազմակերպություններում ձևավորված և 2023 թվականի սեպտեմբերի 19-ի դրությամբ վերջիններիս ֆինանսական հաշվետվություններում առկա հետևյալ պարտավորությունների և դրանց գծով հաշվարկված տոկոսների գծով դրամական պահանջները (գույքային իրավունքները).</w:t>
      </w:r>
    </w:p>
    <w:p w14:paraId="29C14394" w14:textId="77777777" w:rsidR="00AF2474" w:rsidRPr="00BE7779" w:rsidRDefault="00AF2474" w:rsidP="00765D83">
      <w:pPr>
        <w:spacing w:after="0"/>
        <w:ind w:left="-360" w:right="-168" w:firstLine="720"/>
        <w:jc w:val="both"/>
        <w:rPr>
          <w:rFonts w:ascii="GHEA Grapalat" w:hAnsi="GHEA Grapalat"/>
          <w:bCs/>
          <w:spacing w:val="-6"/>
          <w:sz w:val="24"/>
          <w:szCs w:val="24"/>
          <w:lang w:val="hy-AM"/>
        </w:rPr>
      </w:pPr>
      <w:r>
        <w:rPr>
          <w:rFonts w:ascii="GHEA Grapalat" w:hAnsi="GHEA Grapalat"/>
          <w:bCs/>
          <w:spacing w:val="-6"/>
          <w:sz w:val="24"/>
          <w:szCs w:val="24"/>
          <w:lang w:val="hy-AM"/>
        </w:rPr>
        <w:t>(...)</w:t>
      </w:r>
    </w:p>
    <w:tbl>
      <w:tblPr>
        <w:tblW w:w="107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892"/>
        <w:gridCol w:w="9900"/>
      </w:tblGrid>
      <w:tr w:rsidR="00AF2474" w:rsidRPr="00890283" w14:paraId="65EB34A0" w14:textId="77777777" w:rsidTr="00AF2474">
        <w:trPr>
          <w:tblCellSpacing w:w="0" w:type="dxa"/>
          <w:jc w:val="center"/>
        </w:trPr>
        <w:tc>
          <w:tcPr>
            <w:tcW w:w="892" w:type="dxa"/>
            <w:tcBorders>
              <w:top w:val="outset" w:sz="6" w:space="0" w:color="auto"/>
              <w:left w:val="outset" w:sz="6" w:space="0" w:color="auto"/>
              <w:bottom w:val="outset" w:sz="6" w:space="0" w:color="auto"/>
              <w:right w:val="outset" w:sz="6" w:space="0" w:color="auto"/>
            </w:tcBorders>
            <w:shd w:val="clear" w:color="auto" w:fill="FFFFFF"/>
            <w:hideMark/>
          </w:tcPr>
          <w:p w14:paraId="764A3E15" w14:textId="77777777" w:rsidR="00AF2474" w:rsidRPr="00890283" w:rsidRDefault="00AF2474" w:rsidP="00765D83">
            <w:pPr>
              <w:spacing w:after="0"/>
              <w:ind w:right="-168"/>
              <w:jc w:val="center"/>
              <w:rPr>
                <w:rFonts w:ascii="GHEA Grapalat" w:eastAsia="Times New Roman" w:hAnsi="GHEA Grapalat" w:cs="Times New Roman"/>
                <w:color w:val="000000"/>
                <w:sz w:val="20"/>
                <w:szCs w:val="20"/>
              </w:rPr>
            </w:pPr>
            <w:r w:rsidRPr="00B334FB">
              <w:rPr>
                <w:rFonts w:ascii="GHEA Grapalat" w:eastAsia="Times New Roman" w:hAnsi="GHEA Grapalat" w:cs="Times New Roman"/>
                <w:b/>
                <w:bCs/>
                <w:color w:val="000000"/>
                <w:sz w:val="20"/>
                <w:szCs w:val="20"/>
              </w:rPr>
              <w:t>6</w:t>
            </w:r>
          </w:p>
        </w:tc>
        <w:tc>
          <w:tcPr>
            <w:tcW w:w="9900" w:type="dxa"/>
            <w:tcBorders>
              <w:top w:val="outset" w:sz="6" w:space="0" w:color="auto"/>
              <w:left w:val="outset" w:sz="6" w:space="0" w:color="auto"/>
              <w:bottom w:val="outset" w:sz="6" w:space="0" w:color="auto"/>
              <w:right w:val="outset" w:sz="6" w:space="0" w:color="auto"/>
            </w:tcBorders>
            <w:shd w:val="clear" w:color="auto" w:fill="FFFFFF"/>
            <w:hideMark/>
          </w:tcPr>
          <w:p w14:paraId="193CAA1C" w14:textId="77777777" w:rsidR="00AF2474" w:rsidRPr="00890283" w:rsidRDefault="00AF2474" w:rsidP="00765D83">
            <w:pPr>
              <w:spacing w:after="0"/>
              <w:ind w:right="-168"/>
              <w:rPr>
                <w:rFonts w:ascii="GHEA Grapalat" w:eastAsia="Times New Roman" w:hAnsi="GHEA Grapalat" w:cs="Times New Roman"/>
                <w:color w:val="000000"/>
                <w:sz w:val="20"/>
                <w:szCs w:val="20"/>
              </w:rPr>
            </w:pPr>
            <w:r w:rsidRPr="00B334FB">
              <w:rPr>
                <w:rFonts w:ascii="GHEA Grapalat" w:eastAsia="Times New Roman" w:hAnsi="GHEA Grapalat" w:cs="Times New Roman"/>
                <w:b/>
                <w:bCs/>
                <w:color w:val="000000"/>
                <w:sz w:val="20"/>
                <w:szCs w:val="20"/>
              </w:rPr>
              <w:t>Իրավաբանական անձանց վարկեր</w:t>
            </w:r>
          </w:p>
          <w:p w14:paraId="4756BF06" w14:textId="77777777" w:rsidR="00AF2474" w:rsidRPr="00890283" w:rsidRDefault="00AF2474" w:rsidP="00765D83">
            <w:pPr>
              <w:spacing w:after="0"/>
              <w:ind w:right="-168"/>
              <w:rPr>
                <w:rFonts w:ascii="GHEA Grapalat" w:eastAsia="Times New Roman" w:hAnsi="GHEA Grapalat" w:cs="Times New Roman"/>
                <w:color w:val="000000"/>
                <w:sz w:val="20"/>
                <w:szCs w:val="20"/>
              </w:rPr>
            </w:pPr>
            <w:r w:rsidRPr="00890283">
              <w:rPr>
                <w:rFonts w:ascii="GHEA Grapalat" w:eastAsia="Times New Roman" w:hAnsi="GHEA Grapalat" w:cs="Times New Roman"/>
                <w:color w:val="000000"/>
                <w:sz w:val="20"/>
                <w:szCs w:val="20"/>
              </w:rPr>
              <w:t>Այդ թվում՝</w:t>
            </w:r>
          </w:p>
        </w:tc>
      </w:tr>
      <w:tr w:rsidR="00AF2474" w:rsidRPr="00890283" w14:paraId="61289C7E" w14:textId="77777777" w:rsidTr="00AF2474">
        <w:trPr>
          <w:tblCellSpacing w:w="0" w:type="dxa"/>
          <w:jc w:val="center"/>
        </w:trPr>
        <w:tc>
          <w:tcPr>
            <w:tcW w:w="892" w:type="dxa"/>
            <w:tcBorders>
              <w:top w:val="outset" w:sz="6" w:space="0" w:color="auto"/>
              <w:left w:val="outset" w:sz="6" w:space="0" w:color="auto"/>
              <w:bottom w:val="outset" w:sz="6" w:space="0" w:color="auto"/>
              <w:right w:val="outset" w:sz="6" w:space="0" w:color="auto"/>
            </w:tcBorders>
            <w:shd w:val="clear" w:color="auto" w:fill="FFFFFF"/>
            <w:hideMark/>
          </w:tcPr>
          <w:p w14:paraId="0B4ECA1A" w14:textId="77777777" w:rsidR="00AF2474" w:rsidRPr="00890283" w:rsidRDefault="00AF2474" w:rsidP="00765D83">
            <w:pPr>
              <w:spacing w:after="0"/>
              <w:ind w:right="-168"/>
              <w:jc w:val="center"/>
              <w:rPr>
                <w:rFonts w:ascii="GHEA Grapalat" w:eastAsia="Times New Roman" w:hAnsi="GHEA Grapalat" w:cs="Times New Roman"/>
                <w:color w:val="000000"/>
                <w:sz w:val="20"/>
                <w:szCs w:val="20"/>
              </w:rPr>
            </w:pPr>
            <w:r w:rsidRPr="00890283">
              <w:rPr>
                <w:rFonts w:ascii="GHEA Grapalat" w:eastAsia="Times New Roman" w:hAnsi="GHEA Grapalat" w:cs="Times New Roman"/>
                <w:color w:val="000000"/>
                <w:sz w:val="20"/>
                <w:szCs w:val="20"/>
              </w:rPr>
              <w:t>6.1</w:t>
            </w:r>
          </w:p>
          <w:p w14:paraId="68ABF11A" w14:textId="77777777" w:rsidR="00AF2474" w:rsidRPr="00890283" w:rsidRDefault="00AF2474" w:rsidP="00765D83">
            <w:pPr>
              <w:spacing w:after="0"/>
              <w:ind w:right="-168"/>
              <w:jc w:val="center"/>
              <w:rPr>
                <w:rFonts w:ascii="GHEA Grapalat" w:eastAsia="Times New Roman" w:hAnsi="GHEA Grapalat" w:cs="Times New Roman"/>
                <w:color w:val="000000"/>
                <w:sz w:val="20"/>
                <w:szCs w:val="20"/>
              </w:rPr>
            </w:pPr>
            <w:r w:rsidRPr="00890283">
              <w:rPr>
                <w:rFonts w:eastAsia="Times New Roman" w:cs="Calibri"/>
                <w:color w:val="000000"/>
                <w:sz w:val="20"/>
                <w:szCs w:val="20"/>
              </w:rPr>
              <w:t> </w:t>
            </w:r>
          </w:p>
        </w:tc>
        <w:tc>
          <w:tcPr>
            <w:tcW w:w="9900" w:type="dxa"/>
            <w:tcBorders>
              <w:top w:val="outset" w:sz="6" w:space="0" w:color="auto"/>
              <w:left w:val="outset" w:sz="6" w:space="0" w:color="auto"/>
              <w:bottom w:val="outset" w:sz="6" w:space="0" w:color="auto"/>
              <w:right w:val="outset" w:sz="6" w:space="0" w:color="auto"/>
            </w:tcBorders>
            <w:shd w:val="clear" w:color="auto" w:fill="FFFFFF"/>
            <w:hideMark/>
          </w:tcPr>
          <w:p w14:paraId="274D725A" w14:textId="77777777" w:rsidR="00AF2474" w:rsidRPr="00890283" w:rsidRDefault="00AF2474" w:rsidP="00765D83">
            <w:pPr>
              <w:spacing w:after="0"/>
              <w:ind w:right="-168"/>
              <w:rPr>
                <w:rFonts w:ascii="GHEA Grapalat" w:eastAsia="Times New Roman" w:hAnsi="GHEA Grapalat" w:cs="Times New Roman"/>
                <w:color w:val="000000"/>
                <w:sz w:val="20"/>
                <w:szCs w:val="20"/>
              </w:rPr>
            </w:pPr>
            <w:r w:rsidRPr="00890283">
              <w:rPr>
                <w:rFonts w:ascii="GHEA Grapalat" w:eastAsia="Times New Roman" w:hAnsi="GHEA Grapalat" w:cs="Times New Roman"/>
                <w:color w:val="000000"/>
                <w:sz w:val="20"/>
                <w:szCs w:val="20"/>
              </w:rPr>
              <w:t>Լեռնային Ղարաբաղում գրանցված իրավաբանական անձանց Լեռնային Ղարաբաղի տարածքում գործունեություն ծավալելու նպատակով տրամադրված վարկեր, որոնք կամ որոնց մի մասն ապահովված են Լեռնային Ղարաբաղում առկա գույքով՝ զտված տվյալ վարկերի ապահովվածություն հանդիսացող՝ Հայաստանի Հանրապետությունում գտնվող անշարժ գույքի, այլ հիմնական միջոցների և դրամական միջոցների արժեքի չափով</w:t>
            </w:r>
          </w:p>
        </w:tc>
      </w:tr>
      <w:tr w:rsidR="00AF2474" w:rsidRPr="00890283" w14:paraId="7CEC54BE" w14:textId="77777777" w:rsidTr="00AF2474">
        <w:trPr>
          <w:tblCellSpacing w:w="0" w:type="dxa"/>
          <w:jc w:val="center"/>
        </w:trPr>
        <w:tc>
          <w:tcPr>
            <w:tcW w:w="892" w:type="dxa"/>
            <w:tcBorders>
              <w:top w:val="outset" w:sz="6" w:space="0" w:color="auto"/>
              <w:left w:val="outset" w:sz="6" w:space="0" w:color="auto"/>
              <w:bottom w:val="outset" w:sz="6" w:space="0" w:color="auto"/>
              <w:right w:val="outset" w:sz="6" w:space="0" w:color="auto"/>
            </w:tcBorders>
            <w:shd w:val="clear" w:color="auto" w:fill="FFFFFF"/>
            <w:hideMark/>
          </w:tcPr>
          <w:p w14:paraId="6E0877A5" w14:textId="77777777" w:rsidR="00AF2474" w:rsidRPr="00890283" w:rsidRDefault="00AF2474" w:rsidP="00765D83">
            <w:pPr>
              <w:spacing w:after="0"/>
              <w:ind w:right="-168"/>
              <w:jc w:val="center"/>
              <w:rPr>
                <w:rFonts w:ascii="GHEA Grapalat" w:eastAsia="Times New Roman" w:hAnsi="GHEA Grapalat" w:cs="Times New Roman"/>
                <w:color w:val="000000"/>
                <w:sz w:val="20"/>
                <w:szCs w:val="20"/>
              </w:rPr>
            </w:pPr>
            <w:r w:rsidRPr="00890283">
              <w:rPr>
                <w:rFonts w:ascii="GHEA Grapalat" w:eastAsia="Times New Roman" w:hAnsi="GHEA Grapalat" w:cs="Times New Roman"/>
                <w:color w:val="000000"/>
                <w:sz w:val="20"/>
                <w:szCs w:val="20"/>
              </w:rPr>
              <w:t>6.2</w:t>
            </w:r>
          </w:p>
        </w:tc>
        <w:tc>
          <w:tcPr>
            <w:tcW w:w="9900" w:type="dxa"/>
            <w:tcBorders>
              <w:top w:val="outset" w:sz="6" w:space="0" w:color="auto"/>
              <w:left w:val="outset" w:sz="6" w:space="0" w:color="auto"/>
              <w:bottom w:val="outset" w:sz="6" w:space="0" w:color="auto"/>
              <w:right w:val="outset" w:sz="6" w:space="0" w:color="auto"/>
            </w:tcBorders>
            <w:shd w:val="clear" w:color="auto" w:fill="FFFFFF"/>
            <w:hideMark/>
          </w:tcPr>
          <w:p w14:paraId="55E2E808" w14:textId="77777777" w:rsidR="00AF2474" w:rsidRPr="00890283" w:rsidRDefault="00AF2474" w:rsidP="00765D83">
            <w:pPr>
              <w:spacing w:after="0"/>
              <w:ind w:right="-168"/>
              <w:rPr>
                <w:rFonts w:ascii="GHEA Grapalat" w:eastAsia="Times New Roman" w:hAnsi="GHEA Grapalat" w:cs="Times New Roman"/>
                <w:color w:val="000000"/>
                <w:sz w:val="20"/>
                <w:szCs w:val="20"/>
              </w:rPr>
            </w:pPr>
            <w:r w:rsidRPr="00890283">
              <w:rPr>
                <w:rFonts w:ascii="GHEA Grapalat" w:eastAsia="Times New Roman" w:hAnsi="GHEA Grapalat" w:cs="Times New Roman"/>
                <w:color w:val="000000"/>
                <w:sz w:val="20"/>
                <w:szCs w:val="20"/>
              </w:rPr>
              <w:t>6.1 կետի չափանիշներին բավարարող և 2023 թվականի նոյեմբերի 8-ի դրությամբ անհուսալի վարկեր՝ բացառությամբ 2020 թվականի սեպտեմբերի 30-ի դրությամբ անհուսալի վարկերի</w:t>
            </w:r>
          </w:p>
        </w:tc>
      </w:tr>
    </w:tbl>
    <w:p w14:paraId="5ECE3164" w14:textId="3E654384" w:rsidR="00EA3239" w:rsidRDefault="00AF2474" w:rsidP="00765D83">
      <w:pPr>
        <w:pStyle w:val="ListParagraph"/>
        <w:shd w:val="clear" w:color="auto" w:fill="FFFFFF"/>
        <w:tabs>
          <w:tab w:val="left" w:pos="1080"/>
        </w:tabs>
        <w:spacing w:after="0"/>
        <w:ind w:left="0" w:firstLine="720"/>
        <w:jc w:val="both"/>
        <w:rPr>
          <w:rFonts w:ascii="GHEA Grapalat" w:hAnsi="GHEA Grapalat"/>
          <w:bCs/>
          <w:spacing w:val="-6"/>
          <w:sz w:val="24"/>
          <w:szCs w:val="24"/>
          <w:lang w:val="hy-AM"/>
        </w:rPr>
      </w:pPr>
      <w:r>
        <w:rPr>
          <w:rFonts w:ascii="GHEA Grapalat" w:hAnsi="GHEA Grapalat"/>
          <w:bCs/>
          <w:spacing w:val="-6"/>
          <w:sz w:val="24"/>
          <w:szCs w:val="24"/>
          <w:lang w:val="hy-AM"/>
        </w:rPr>
        <w:t xml:space="preserve">Նույն </w:t>
      </w:r>
      <w:r w:rsidRPr="00EA3239">
        <w:rPr>
          <w:rFonts w:ascii="GHEA Grapalat" w:hAnsi="GHEA Grapalat"/>
          <w:bCs/>
          <w:spacing w:val="-6"/>
          <w:sz w:val="24"/>
          <w:szCs w:val="24"/>
          <w:lang w:val="hy-AM"/>
        </w:rPr>
        <w:t>որոշման</w:t>
      </w:r>
      <w:r>
        <w:rPr>
          <w:rFonts w:ascii="GHEA Grapalat" w:hAnsi="GHEA Grapalat"/>
          <w:bCs/>
          <w:spacing w:val="-6"/>
          <w:sz w:val="24"/>
          <w:szCs w:val="24"/>
          <w:lang w:val="hy-AM"/>
        </w:rPr>
        <w:t xml:space="preserve"> </w:t>
      </w:r>
      <w:r w:rsidRPr="00BE7779">
        <w:rPr>
          <w:rFonts w:ascii="GHEA Grapalat" w:hAnsi="GHEA Grapalat"/>
          <w:bCs/>
          <w:spacing w:val="-6"/>
          <w:sz w:val="24"/>
          <w:szCs w:val="24"/>
          <w:lang w:val="hy-AM"/>
        </w:rPr>
        <w:t>N 2 հավելվածի</w:t>
      </w:r>
      <w:r>
        <w:rPr>
          <w:rFonts w:ascii="GHEA Grapalat" w:hAnsi="GHEA Grapalat"/>
          <w:bCs/>
          <w:spacing w:val="-6"/>
          <w:sz w:val="24"/>
          <w:szCs w:val="24"/>
          <w:lang w:val="hy-AM"/>
        </w:rPr>
        <w:t xml:space="preserve"> </w:t>
      </w:r>
      <w:r w:rsidR="00EA3239">
        <w:rPr>
          <w:rFonts w:ascii="GHEA Grapalat" w:hAnsi="GHEA Grapalat"/>
          <w:bCs/>
          <w:spacing w:val="-6"/>
          <w:sz w:val="24"/>
          <w:szCs w:val="24"/>
          <w:lang w:val="hy-AM"/>
        </w:rPr>
        <w:t>3-րդ կետի համաձայն՝ դ</w:t>
      </w:r>
      <w:r w:rsidR="00EA3239" w:rsidRPr="00496715">
        <w:rPr>
          <w:rFonts w:ascii="GHEA Grapalat" w:hAnsi="GHEA Grapalat"/>
          <w:bCs/>
          <w:spacing w:val="-6"/>
          <w:sz w:val="24"/>
          <w:szCs w:val="24"/>
          <w:lang w:val="hy-AM"/>
        </w:rPr>
        <w:t xml:space="preserve">րամական պահանջները (գույքային իրավունքները) փոխանցվում են Հայաստանի Հանրապետության ֆինանսների նախարարության և համապատասխան ֆինանսական կազմակերպության միջև ՀՀ քաղաքացիական օրենսգրքի 25-րդ գլխով սահմանված կարգով հասարակ գրավոր ձևով (որպես վարկերի խմբային փոխանցման գործարք՝ հիմք ՀՀ քաղաքացիական օրենսգրքի 299-րդ հոդվածի 4-րդ կետ) կնքված գործարքի հիման </w:t>
      </w:r>
      <w:r w:rsidR="00EA3239" w:rsidRPr="00496715">
        <w:rPr>
          <w:rFonts w:ascii="GHEA Grapalat" w:hAnsi="GHEA Grapalat"/>
          <w:bCs/>
          <w:spacing w:val="-6"/>
          <w:sz w:val="24"/>
          <w:szCs w:val="24"/>
          <w:lang w:val="hy-AM"/>
        </w:rPr>
        <w:lastRenderedPageBreak/>
        <w:t xml:space="preserve">վրա: Ընդ որում, </w:t>
      </w:r>
      <w:r w:rsidR="00EA3239">
        <w:rPr>
          <w:rFonts w:ascii="GHEA Grapalat" w:hAnsi="GHEA Grapalat"/>
          <w:bCs/>
          <w:spacing w:val="-6"/>
          <w:sz w:val="24"/>
          <w:szCs w:val="24"/>
          <w:lang w:val="hy-AM"/>
        </w:rPr>
        <w:t>ն</w:t>
      </w:r>
      <w:r w:rsidR="00EA3239" w:rsidRPr="00496715">
        <w:rPr>
          <w:rFonts w:ascii="GHEA Grapalat" w:hAnsi="GHEA Grapalat"/>
          <w:bCs/>
          <w:spacing w:val="-6"/>
          <w:sz w:val="24"/>
          <w:szCs w:val="24"/>
          <w:lang w:val="hy-AM"/>
        </w:rPr>
        <w:t xml:space="preserve">ույն հավելվածի 2-րդ կետում ներկայացված աղյուսակի 1-5.6 տողերում ներկայացված պարտավորություններով դրամական պահանջների (գույքային իրավունքների) փոխանցման գործարքները կնքվում են </w:t>
      </w:r>
      <w:r w:rsidR="00EA3239">
        <w:rPr>
          <w:rFonts w:ascii="GHEA Grapalat" w:hAnsi="GHEA Grapalat"/>
          <w:bCs/>
          <w:spacing w:val="-6"/>
          <w:sz w:val="24"/>
          <w:szCs w:val="24"/>
          <w:lang w:val="hy-AM"/>
        </w:rPr>
        <w:t>ն</w:t>
      </w:r>
      <w:r w:rsidR="00EA3239" w:rsidRPr="00496715">
        <w:rPr>
          <w:rFonts w:ascii="GHEA Grapalat" w:hAnsi="GHEA Grapalat"/>
          <w:bCs/>
          <w:spacing w:val="-6"/>
          <w:sz w:val="24"/>
          <w:szCs w:val="24"/>
          <w:lang w:val="hy-AM"/>
        </w:rPr>
        <w:t xml:space="preserve">ույն որոշումն ուժի մեջ մտնելուց հետո հնգօրյա ժամկետում, </w:t>
      </w:r>
      <w:r w:rsidR="00EA3239" w:rsidRPr="0001746C">
        <w:rPr>
          <w:rFonts w:ascii="GHEA Grapalat" w:hAnsi="GHEA Grapalat"/>
          <w:bCs/>
          <w:spacing w:val="-6"/>
          <w:sz w:val="24"/>
          <w:szCs w:val="24"/>
          <w:lang w:val="hy-AM"/>
        </w:rPr>
        <w:t xml:space="preserve">իսկ </w:t>
      </w:r>
      <w:r w:rsidR="00EA3239" w:rsidRPr="00D9172D">
        <w:rPr>
          <w:rFonts w:ascii="GHEA Grapalat" w:hAnsi="GHEA Grapalat"/>
          <w:b/>
          <w:bCs/>
          <w:i/>
          <w:spacing w:val="-6"/>
          <w:sz w:val="24"/>
          <w:szCs w:val="24"/>
          <w:lang w:val="hy-AM"/>
        </w:rPr>
        <w:t>6-6.2 տողերում ներկայացված պարտավորություններով գործարքները կնքվում են մինչև 2024 թվականի հունվարի 31-ը ՀՀ կառավարության կողմից այդ պարտավորությունների դիտարկման արդյունքներով: Դիտարկման գործընթացն իրականացվում է ՀՀ վարչապետի հանձնարարությամբ իրավասու պետական մարմնի (մարմինների) կողմից ՀՀ կենտրոնական բանկի հետ համատեղ (համաձայնությամբ)</w:t>
      </w:r>
      <w:r w:rsidR="00EA3239" w:rsidRPr="0001746C">
        <w:rPr>
          <w:rFonts w:ascii="GHEA Grapalat" w:hAnsi="GHEA Grapalat"/>
          <w:bCs/>
          <w:spacing w:val="-6"/>
          <w:sz w:val="24"/>
          <w:szCs w:val="24"/>
          <w:lang w:val="hy-AM"/>
        </w:rPr>
        <w:t>:</w:t>
      </w:r>
    </w:p>
    <w:p w14:paraId="31CD4E3C" w14:textId="77777777" w:rsidR="00AF2474" w:rsidRPr="0001746C" w:rsidRDefault="00AF2474" w:rsidP="00765D83">
      <w:pPr>
        <w:pStyle w:val="ListParagraph"/>
        <w:shd w:val="clear" w:color="auto" w:fill="FFFFFF"/>
        <w:tabs>
          <w:tab w:val="left" w:pos="1080"/>
        </w:tabs>
        <w:spacing w:after="0"/>
        <w:ind w:left="0" w:firstLine="720"/>
        <w:jc w:val="both"/>
        <w:rPr>
          <w:rFonts w:ascii="GHEA Grapalat" w:hAnsi="GHEA Grapalat"/>
          <w:bCs/>
          <w:spacing w:val="-6"/>
          <w:sz w:val="24"/>
          <w:szCs w:val="24"/>
          <w:lang w:val="hy-AM"/>
        </w:rPr>
      </w:pPr>
    </w:p>
    <w:p w14:paraId="456A44E8" w14:textId="2609BE2D" w:rsidR="00DB5EE0" w:rsidRDefault="00DB5EE0" w:rsidP="00765D83">
      <w:pPr>
        <w:pStyle w:val="ListParagraph"/>
        <w:numPr>
          <w:ilvl w:val="0"/>
          <w:numId w:val="9"/>
        </w:numPr>
        <w:shd w:val="clear" w:color="auto" w:fill="FFFFFF"/>
        <w:spacing w:after="0"/>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Ըն</w:t>
      </w:r>
      <w:r w:rsidRPr="00DB5EE0">
        <w:rPr>
          <w:rFonts w:ascii="GHEA Grapalat" w:hAnsi="GHEA Grapalat"/>
          <w:b/>
          <w:bCs/>
          <w:spacing w:val="-6"/>
          <w:sz w:val="24"/>
          <w:szCs w:val="24"/>
          <w:lang w:val="hy-AM"/>
        </w:rPr>
        <w:t xml:space="preserve">թացիկ իրավիճակը և իրավական </w:t>
      </w:r>
      <w:r>
        <w:rPr>
          <w:rFonts w:ascii="GHEA Grapalat" w:hAnsi="GHEA Grapalat"/>
          <w:b/>
          <w:bCs/>
          <w:spacing w:val="-6"/>
          <w:sz w:val="24"/>
          <w:szCs w:val="24"/>
          <w:lang w:val="hy-AM"/>
        </w:rPr>
        <w:t>ակտ</w:t>
      </w:r>
      <w:r w:rsidRPr="00DB5EE0">
        <w:rPr>
          <w:rFonts w:ascii="GHEA Grapalat" w:hAnsi="GHEA Grapalat"/>
          <w:b/>
          <w:bCs/>
          <w:spacing w:val="-6"/>
          <w:sz w:val="24"/>
          <w:szCs w:val="24"/>
          <w:lang w:val="hy-AM"/>
        </w:rPr>
        <w:t>ի ընդունման անհրաժեշտությունը</w:t>
      </w:r>
      <w:r>
        <w:rPr>
          <w:rFonts w:ascii="GHEA Grapalat" w:hAnsi="GHEA Grapalat"/>
          <w:b/>
          <w:bCs/>
          <w:spacing w:val="-6"/>
          <w:sz w:val="24"/>
          <w:szCs w:val="24"/>
          <w:lang w:val="hy-AM"/>
        </w:rPr>
        <w:t>.</w:t>
      </w:r>
    </w:p>
    <w:p w14:paraId="7E900C65" w14:textId="2E722C19" w:rsidR="008C7D59" w:rsidRPr="008C7D59" w:rsidRDefault="008C7D59" w:rsidP="00765D83">
      <w:pPr>
        <w:pStyle w:val="ListParagraph"/>
        <w:shd w:val="clear" w:color="auto" w:fill="FFFFFF"/>
        <w:tabs>
          <w:tab w:val="left" w:pos="1080"/>
        </w:tabs>
        <w:spacing w:after="0"/>
        <w:ind w:left="0" w:firstLine="720"/>
        <w:jc w:val="both"/>
        <w:rPr>
          <w:rFonts w:ascii="GHEA Grapalat" w:hAnsi="GHEA Grapalat"/>
          <w:bCs/>
          <w:spacing w:val="-6"/>
          <w:sz w:val="24"/>
          <w:szCs w:val="24"/>
          <w:lang w:val="hy-AM"/>
        </w:rPr>
      </w:pPr>
      <w:r>
        <w:rPr>
          <w:rFonts w:ascii="GHEA Grapalat" w:hAnsi="GHEA Grapalat"/>
          <w:bCs/>
          <w:spacing w:val="-6"/>
          <w:sz w:val="24"/>
          <w:szCs w:val="24"/>
          <w:lang w:val="hy-AM"/>
        </w:rPr>
        <w:t xml:space="preserve">ՀՀ կառավարության 2024 թվականի փետրվարի 1-ի </w:t>
      </w:r>
      <w:r w:rsidRPr="00BE7779">
        <w:rPr>
          <w:rFonts w:ascii="GHEA Grapalat" w:hAnsi="GHEA Grapalat"/>
          <w:bCs/>
          <w:spacing w:val="-6"/>
          <w:sz w:val="24"/>
          <w:szCs w:val="24"/>
          <w:lang w:val="hy-AM"/>
        </w:rPr>
        <w:t>«</w:t>
      </w:r>
      <w:r>
        <w:rPr>
          <w:rFonts w:ascii="GHEA Grapalat" w:hAnsi="GHEA Grapalat"/>
          <w:bCs/>
          <w:spacing w:val="-6"/>
          <w:sz w:val="24"/>
          <w:szCs w:val="24"/>
          <w:lang w:val="hy-AM"/>
        </w:rPr>
        <w:t>Հ</w:t>
      </w:r>
      <w:r w:rsidRPr="008C7D59">
        <w:rPr>
          <w:rFonts w:ascii="GHEA Grapalat" w:hAnsi="GHEA Grapalat"/>
          <w:bCs/>
          <w:spacing w:val="-6"/>
          <w:sz w:val="24"/>
          <w:szCs w:val="24"/>
          <w:lang w:val="hy-AM"/>
        </w:rPr>
        <w:t xml:space="preserve">այաստանի </w:t>
      </w:r>
      <w:r>
        <w:rPr>
          <w:rFonts w:ascii="GHEA Grapalat" w:hAnsi="GHEA Grapalat"/>
          <w:bCs/>
          <w:spacing w:val="-6"/>
          <w:sz w:val="24"/>
          <w:szCs w:val="24"/>
          <w:lang w:val="hy-AM"/>
        </w:rPr>
        <w:t>Հ</w:t>
      </w:r>
      <w:r w:rsidRPr="008C7D59">
        <w:rPr>
          <w:rFonts w:ascii="GHEA Grapalat" w:hAnsi="GHEA Grapalat"/>
          <w:bCs/>
          <w:spacing w:val="-6"/>
          <w:sz w:val="24"/>
          <w:szCs w:val="24"/>
          <w:lang w:val="hy-AM"/>
        </w:rPr>
        <w:t>անրապետության կառավարության 2023 թվականի դեկտեմբերի 28-ի N 2326-Ն որոշման մեջ փոփոխություն կատարելու մասին</w:t>
      </w:r>
      <w:r w:rsidRPr="00BE7779">
        <w:rPr>
          <w:rFonts w:ascii="GHEA Grapalat" w:hAnsi="GHEA Grapalat"/>
          <w:bCs/>
          <w:spacing w:val="-6"/>
          <w:sz w:val="24"/>
          <w:szCs w:val="24"/>
          <w:lang w:val="hy-AM"/>
        </w:rPr>
        <w:t>»</w:t>
      </w:r>
      <w:r>
        <w:rPr>
          <w:rFonts w:ascii="GHEA Grapalat" w:hAnsi="GHEA Grapalat"/>
          <w:bCs/>
          <w:spacing w:val="-6"/>
          <w:sz w:val="24"/>
          <w:szCs w:val="24"/>
          <w:lang w:val="hy-AM"/>
        </w:rPr>
        <w:t xml:space="preserve"> թիվ </w:t>
      </w:r>
      <w:r w:rsidRPr="008C7D59">
        <w:rPr>
          <w:rFonts w:ascii="GHEA Grapalat" w:hAnsi="GHEA Grapalat"/>
          <w:bCs/>
          <w:spacing w:val="-6"/>
          <w:sz w:val="24"/>
          <w:szCs w:val="24"/>
          <w:lang w:val="hy-AM"/>
        </w:rPr>
        <w:t>138-Ն որոշմամբ</w:t>
      </w:r>
      <w:r>
        <w:rPr>
          <w:rFonts w:ascii="GHEA Grapalat" w:hAnsi="GHEA Grapalat"/>
          <w:bCs/>
          <w:spacing w:val="-6"/>
          <w:sz w:val="24"/>
          <w:szCs w:val="24"/>
          <w:lang w:val="hy-AM"/>
        </w:rPr>
        <w:t xml:space="preserve"> </w:t>
      </w:r>
      <w:r w:rsidRPr="00EA3239">
        <w:rPr>
          <w:rFonts w:ascii="GHEA Grapalat" w:hAnsi="GHEA Grapalat"/>
          <w:bCs/>
          <w:spacing w:val="-6"/>
          <w:sz w:val="24"/>
          <w:szCs w:val="24"/>
          <w:lang w:val="hy-AM"/>
        </w:rPr>
        <w:t xml:space="preserve">ՀՀ կառավարության 2023 թվականի դեկտեմբերի 28-ի թիվ 2326-Ն որոշման </w:t>
      </w:r>
      <w:r w:rsidRPr="00BE7779">
        <w:rPr>
          <w:rFonts w:ascii="GHEA Grapalat" w:hAnsi="GHEA Grapalat"/>
          <w:bCs/>
          <w:spacing w:val="-6"/>
          <w:sz w:val="24"/>
          <w:szCs w:val="24"/>
          <w:lang w:val="hy-AM"/>
        </w:rPr>
        <w:t>N 2 հավելվածի</w:t>
      </w:r>
      <w:r>
        <w:rPr>
          <w:rFonts w:ascii="GHEA Grapalat" w:hAnsi="GHEA Grapalat"/>
          <w:bCs/>
          <w:spacing w:val="-6"/>
          <w:sz w:val="24"/>
          <w:szCs w:val="24"/>
          <w:lang w:val="hy-AM"/>
        </w:rPr>
        <w:t xml:space="preserve"> 3-րդ </w:t>
      </w:r>
      <w:r w:rsidRPr="00EA3239">
        <w:rPr>
          <w:rFonts w:ascii="GHEA Grapalat" w:hAnsi="GHEA Grapalat"/>
          <w:bCs/>
          <w:spacing w:val="-6"/>
          <w:sz w:val="24"/>
          <w:szCs w:val="24"/>
          <w:lang w:val="hy-AM"/>
        </w:rPr>
        <w:t>կետով</w:t>
      </w:r>
      <w:r>
        <w:rPr>
          <w:rFonts w:ascii="GHEA Grapalat" w:hAnsi="GHEA Grapalat"/>
          <w:bCs/>
          <w:spacing w:val="-6"/>
          <w:sz w:val="24"/>
          <w:szCs w:val="24"/>
          <w:lang w:val="hy-AM"/>
        </w:rPr>
        <w:t xml:space="preserve"> սահմանված դիտարկման գործընթացի իրականացման ժամկետը երկարաձգվել է մինչև</w:t>
      </w:r>
      <w:r w:rsidRPr="008C7D59">
        <w:rPr>
          <w:rFonts w:ascii="GHEA Grapalat" w:hAnsi="GHEA Grapalat"/>
          <w:bCs/>
          <w:spacing w:val="-6"/>
          <w:sz w:val="24"/>
          <w:szCs w:val="24"/>
          <w:lang w:val="hy-AM"/>
        </w:rPr>
        <w:t xml:space="preserve"> </w:t>
      </w:r>
      <w:r>
        <w:rPr>
          <w:rFonts w:ascii="GHEA Grapalat" w:hAnsi="GHEA Grapalat"/>
          <w:bCs/>
          <w:spacing w:val="-6"/>
          <w:sz w:val="24"/>
          <w:szCs w:val="24"/>
          <w:lang w:val="hy-AM"/>
        </w:rPr>
        <w:t xml:space="preserve">2024 թվականի </w:t>
      </w:r>
      <w:r w:rsidRPr="008C7D59">
        <w:rPr>
          <w:rFonts w:ascii="GHEA Grapalat" w:hAnsi="GHEA Grapalat"/>
          <w:bCs/>
          <w:spacing w:val="-6"/>
          <w:sz w:val="24"/>
          <w:szCs w:val="24"/>
          <w:lang w:val="hy-AM"/>
        </w:rPr>
        <w:t>մարտի 15-ը:</w:t>
      </w:r>
    </w:p>
    <w:p w14:paraId="1A9EDA8E" w14:textId="0F644BB2" w:rsidR="00147B0B" w:rsidRDefault="00147B0B" w:rsidP="00765D83">
      <w:pPr>
        <w:pStyle w:val="ListParagraph"/>
        <w:shd w:val="clear" w:color="auto" w:fill="FFFFFF"/>
        <w:tabs>
          <w:tab w:val="left" w:pos="1080"/>
        </w:tabs>
        <w:spacing w:after="0"/>
        <w:ind w:left="0" w:firstLine="720"/>
        <w:jc w:val="both"/>
        <w:rPr>
          <w:rFonts w:ascii="GHEA Grapalat" w:hAnsi="GHEA Grapalat"/>
          <w:bCs/>
          <w:spacing w:val="-6"/>
          <w:sz w:val="24"/>
          <w:szCs w:val="24"/>
          <w:lang w:val="hy-AM"/>
        </w:rPr>
      </w:pPr>
      <w:r w:rsidRPr="00147B0B">
        <w:rPr>
          <w:rFonts w:ascii="GHEA Grapalat" w:hAnsi="GHEA Grapalat"/>
          <w:bCs/>
          <w:spacing w:val="-6"/>
          <w:sz w:val="24"/>
          <w:szCs w:val="24"/>
          <w:lang w:val="hy-AM"/>
        </w:rPr>
        <w:t>Ըստ ՀՀ կառավարության 2023 թվականի դեկտեմբերի 28-ի թիվ 2326-Ն որոշման N 2 հավելվածի 3-րդ կետով սահմանված դիտարկման գործընթացն իրականացնող իրավասու մարմնի դիտարկման՝ աշխատանքների մեծածավալ լինելու հանգամանքով պայմանավորված մինչև 2024 թվականի մարտի 15-ը հնարավոր չէ ապահովել դիտարկման իրականացումը:</w:t>
      </w:r>
    </w:p>
    <w:p w14:paraId="0D3DBA57" w14:textId="2AE9E51F" w:rsidR="00C23759" w:rsidRDefault="00D9172D" w:rsidP="00C23759">
      <w:pPr>
        <w:pStyle w:val="ListParagraph"/>
        <w:shd w:val="clear" w:color="auto" w:fill="FFFFFF"/>
        <w:tabs>
          <w:tab w:val="left" w:pos="1080"/>
        </w:tabs>
        <w:spacing w:after="0"/>
        <w:ind w:left="0" w:firstLine="720"/>
        <w:jc w:val="both"/>
        <w:rPr>
          <w:rFonts w:ascii="GHEA Grapalat" w:hAnsi="GHEA Grapalat"/>
          <w:bCs/>
          <w:spacing w:val="-6"/>
          <w:sz w:val="24"/>
          <w:szCs w:val="24"/>
          <w:lang w:val="hy-AM"/>
        </w:rPr>
      </w:pPr>
      <w:r>
        <w:rPr>
          <w:rFonts w:ascii="GHEA Grapalat" w:hAnsi="GHEA Grapalat"/>
          <w:bCs/>
          <w:spacing w:val="-6"/>
          <w:sz w:val="24"/>
          <w:szCs w:val="24"/>
          <w:lang w:val="hy-AM"/>
        </w:rPr>
        <w:t xml:space="preserve">Հաշվի առնելով այն հանգամանքը, որ </w:t>
      </w:r>
      <w:r w:rsidR="008C7D59">
        <w:rPr>
          <w:rFonts w:ascii="GHEA Grapalat" w:hAnsi="GHEA Grapalat"/>
          <w:bCs/>
          <w:spacing w:val="-6"/>
          <w:sz w:val="24"/>
          <w:szCs w:val="24"/>
          <w:lang w:val="hy-AM"/>
        </w:rPr>
        <w:t xml:space="preserve">կրկին </w:t>
      </w:r>
      <w:r>
        <w:rPr>
          <w:rFonts w:ascii="GHEA Grapalat" w:hAnsi="GHEA Grapalat"/>
          <w:bCs/>
          <w:spacing w:val="-6"/>
          <w:sz w:val="24"/>
          <w:szCs w:val="24"/>
          <w:lang w:val="hy-AM"/>
        </w:rPr>
        <w:t xml:space="preserve">հնարավոր չի </w:t>
      </w:r>
      <w:r w:rsidR="004F2B5D">
        <w:rPr>
          <w:rFonts w:ascii="GHEA Grapalat" w:hAnsi="GHEA Grapalat"/>
          <w:bCs/>
          <w:spacing w:val="-6"/>
          <w:sz w:val="24"/>
          <w:szCs w:val="24"/>
          <w:lang w:val="hy-AM"/>
        </w:rPr>
        <w:t xml:space="preserve">լինի ապահովել </w:t>
      </w:r>
      <w:r w:rsidR="004F2B5D" w:rsidRPr="00EA3239">
        <w:rPr>
          <w:rFonts w:ascii="GHEA Grapalat" w:hAnsi="GHEA Grapalat"/>
          <w:bCs/>
          <w:spacing w:val="-6"/>
          <w:sz w:val="24"/>
          <w:szCs w:val="24"/>
          <w:lang w:val="hy-AM"/>
        </w:rPr>
        <w:t xml:space="preserve">ՀՀ կառավարության 2023 թվականի դեկտեմբերի 28-ի թիվ 2326-Ն որոշման </w:t>
      </w:r>
      <w:r w:rsidR="004F2B5D" w:rsidRPr="00BE7779">
        <w:rPr>
          <w:rFonts w:ascii="GHEA Grapalat" w:hAnsi="GHEA Grapalat"/>
          <w:bCs/>
          <w:spacing w:val="-6"/>
          <w:sz w:val="24"/>
          <w:szCs w:val="24"/>
          <w:lang w:val="hy-AM"/>
        </w:rPr>
        <w:t>N 2 հավելվածի</w:t>
      </w:r>
      <w:r w:rsidR="004F2B5D">
        <w:rPr>
          <w:rFonts w:ascii="GHEA Grapalat" w:hAnsi="GHEA Grapalat"/>
          <w:bCs/>
          <w:spacing w:val="-6"/>
          <w:sz w:val="24"/>
          <w:szCs w:val="24"/>
          <w:lang w:val="hy-AM"/>
        </w:rPr>
        <w:t xml:space="preserve"> 3-րդ կետի պահանջը</w:t>
      </w:r>
      <w:r>
        <w:rPr>
          <w:rFonts w:ascii="GHEA Grapalat" w:hAnsi="GHEA Grapalat"/>
          <w:bCs/>
          <w:spacing w:val="-6"/>
          <w:sz w:val="24"/>
          <w:szCs w:val="24"/>
          <w:lang w:val="hy-AM"/>
        </w:rPr>
        <w:t xml:space="preserve">, Նախագծով առաջարկվում է </w:t>
      </w:r>
      <w:bookmarkStart w:id="0" w:name="_GoBack"/>
      <w:bookmarkEnd w:id="0"/>
      <w:r w:rsidR="00C23759">
        <w:rPr>
          <w:rFonts w:ascii="GHEA Grapalat" w:hAnsi="GHEA Grapalat"/>
          <w:bCs/>
          <w:spacing w:val="-6"/>
          <w:sz w:val="24"/>
          <w:szCs w:val="24"/>
          <w:lang w:val="hy-AM"/>
        </w:rPr>
        <w:t xml:space="preserve">փոփոխել </w:t>
      </w:r>
      <w:r w:rsidR="00C23759" w:rsidRPr="00EA3239">
        <w:rPr>
          <w:rFonts w:ascii="GHEA Grapalat" w:hAnsi="GHEA Grapalat"/>
          <w:bCs/>
          <w:spacing w:val="-6"/>
          <w:sz w:val="24"/>
          <w:szCs w:val="24"/>
          <w:lang w:val="hy-AM"/>
        </w:rPr>
        <w:t xml:space="preserve">ՀՀ կառավարության 2023 թվականի դեկտեմբերի 28-ի թիվ 2326-Ն որոշման </w:t>
      </w:r>
      <w:r w:rsidR="00C23759" w:rsidRPr="00BE7779">
        <w:rPr>
          <w:rFonts w:ascii="GHEA Grapalat" w:hAnsi="GHEA Grapalat"/>
          <w:bCs/>
          <w:spacing w:val="-6"/>
          <w:sz w:val="24"/>
          <w:szCs w:val="24"/>
          <w:lang w:val="hy-AM"/>
        </w:rPr>
        <w:t>N 2 հավելվածի</w:t>
      </w:r>
      <w:r w:rsidR="00C23759">
        <w:rPr>
          <w:rFonts w:ascii="GHEA Grapalat" w:hAnsi="GHEA Grapalat"/>
          <w:bCs/>
          <w:spacing w:val="-6"/>
          <w:sz w:val="24"/>
          <w:szCs w:val="24"/>
          <w:lang w:val="hy-AM"/>
        </w:rPr>
        <w:t xml:space="preserve"> 3-րդ </w:t>
      </w:r>
      <w:r w:rsidR="00C23759" w:rsidRPr="00EA3239">
        <w:rPr>
          <w:rFonts w:ascii="GHEA Grapalat" w:hAnsi="GHEA Grapalat"/>
          <w:bCs/>
          <w:spacing w:val="-6"/>
          <w:sz w:val="24"/>
          <w:szCs w:val="24"/>
          <w:lang w:val="hy-AM"/>
        </w:rPr>
        <w:t>կետով</w:t>
      </w:r>
      <w:r w:rsidR="00C23759">
        <w:rPr>
          <w:rFonts w:ascii="GHEA Grapalat" w:hAnsi="GHEA Grapalat"/>
          <w:bCs/>
          <w:spacing w:val="-6"/>
          <w:sz w:val="24"/>
          <w:szCs w:val="24"/>
          <w:lang w:val="hy-AM"/>
        </w:rPr>
        <w:t xml:space="preserve"> սահմանված դիտարկման գործընթացի իրականացման ժամկետը:</w:t>
      </w:r>
    </w:p>
    <w:p w14:paraId="62B466A9" w14:textId="77777777" w:rsidR="00C23759" w:rsidRPr="00765D83" w:rsidRDefault="00C23759" w:rsidP="00765D83">
      <w:pPr>
        <w:pStyle w:val="ListParagraph"/>
        <w:shd w:val="clear" w:color="auto" w:fill="FFFFFF"/>
        <w:tabs>
          <w:tab w:val="left" w:pos="1080"/>
        </w:tabs>
        <w:spacing w:after="0"/>
        <w:ind w:left="0" w:firstLine="720"/>
        <w:jc w:val="both"/>
        <w:rPr>
          <w:rFonts w:ascii="GHEA Grapalat" w:hAnsi="GHEA Grapalat"/>
          <w:bCs/>
          <w:spacing w:val="-6"/>
          <w:sz w:val="24"/>
          <w:szCs w:val="24"/>
          <w:lang w:val="hy-AM"/>
        </w:rPr>
      </w:pPr>
    </w:p>
    <w:p w14:paraId="7907FF77" w14:textId="699AE74D" w:rsidR="00C128C0" w:rsidRPr="00C128C0" w:rsidRDefault="00F83217" w:rsidP="00765D83">
      <w:pPr>
        <w:pStyle w:val="ListParagraph"/>
        <w:numPr>
          <w:ilvl w:val="0"/>
          <w:numId w:val="9"/>
        </w:numPr>
        <w:shd w:val="clear" w:color="auto" w:fill="FFFFFF"/>
        <w:spacing w:after="0"/>
        <w:jc w:val="both"/>
        <w:rPr>
          <w:rFonts w:ascii="GHEA Grapalat" w:hAnsi="GHEA Grapalat"/>
          <w:b/>
          <w:bCs/>
          <w:spacing w:val="-6"/>
          <w:sz w:val="24"/>
          <w:szCs w:val="24"/>
          <w:lang w:val="hy-AM"/>
        </w:rPr>
      </w:pPr>
      <w:r>
        <w:rPr>
          <w:rFonts w:ascii="GHEA Grapalat" w:hAnsi="GHEA Grapalat"/>
          <w:b/>
          <w:bCs/>
          <w:spacing w:val="-6"/>
          <w:sz w:val="24"/>
          <w:szCs w:val="24"/>
          <w:lang w:val="hy-AM"/>
        </w:rPr>
        <w:t>Կարգավորման</w:t>
      </w:r>
      <w:r w:rsidR="00C128C0" w:rsidRPr="00C128C0">
        <w:rPr>
          <w:rFonts w:ascii="GHEA Grapalat" w:hAnsi="GHEA Grapalat"/>
          <w:b/>
          <w:bCs/>
          <w:spacing w:val="-6"/>
          <w:sz w:val="24"/>
          <w:szCs w:val="24"/>
          <w:lang w:val="hy-AM"/>
        </w:rPr>
        <w:t xml:space="preserve"> նպատակը և ակնկալվող արդյունքը</w:t>
      </w:r>
      <w:r>
        <w:rPr>
          <w:rFonts w:ascii="GHEA Grapalat" w:hAnsi="GHEA Grapalat"/>
          <w:b/>
          <w:bCs/>
          <w:spacing w:val="-6"/>
          <w:sz w:val="24"/>
          <w:szCs w:val="24"/>
          <w:lang w:val="hy-AM"/>
        </w:rPr>
        <w:t>.</w:t>
      </w:r>
    </w:p>
    <w:p w14:paraId="31CE0908" w14:textId="4C09E5AF" w:rsidR="00A07641" w:rsidRDefault="00D9172D" w:rsidP="00765D83">
      <w:pPr>
        <w:shd w:val="clear" w:color="auto" w:fill="FFFFFF"/>
        <w:spacing w:after="0"/>
        <w:ind w:firstLine="720"/>
        <w:jc w:val="both"/>
        <w:rPr>
          <w:rFonts w:ascii="GHEA Grapalat" w:hAnsi="GHEA Grapalat"/>
          <w:bCs/>
          <w:spacing w:val="-6"/>
          <w:sz w:val="24"/>
          <w:szCs w:val="24"/>
          <w:lang w:val="hy-AM"/>
        </w:rPr>
      </w:pPr>
      <w:r>
        <w:rPr>
          <w:rFonts w:ascii="GHEA Grapalat" w:hAnsi="GHEA Grapalat"/>
          <w:bCs/>
          <w:spacing w:val="-6"/>
          <w:sz w:val="24"/>
          <w:szCs w:val="24"/>
          <w:lang w:val="hy-AM"/>
        </w:rPr>
        <w:t xml:space="preserve">Նախագծով առաջարկվում է փոփոխել </w:t>
      </w:r>
      <w:r w:rsidRPr="00EA3239">
        <w:rPr>
          <w:rFonts w:ascii="GHEA Grapalat" w:hAnsi="GHEA Grapalat"/>
          <w:bCs/>
          <w:spacing w:val="-6"/>
          <w:sz w:val="24"/>
          <w:szCs w:val="24"/>
          <w:lang w:val="hy-AM"/>
        </w:rPr>
        <w:t xml:space="preserve">ՀՀ կառավարության 2023 թվականի դեկտեմբերի 28-ի թիվ 2326-Ն որոշման </w:t>
      </w:r>
      <w:r w:rsidRPr="00BE7779">
        <w:rPr>
          <w:rFonts w:ascii="GHEA Grapalat" w:hAnsi="GHEA Grapalat"/>
          <w:bCs/>
          <w:spacing w:val="-6"/>
          <w:sz w:val="24"/>
          <w:szCs w:val="24"/>
          <w:lang w:val="hy-AM"/>
        </w:rPr>
        <w:t>N 2 հավելվածի</w:t>
      </w:r>
      <w:r>
        <w:rPr>
          <w:rFonts w:ascii="GHEA Grapalat" w:hAnsi="GHEA Grapalat"/>
          <w:bCs/>
          <w:spacing w:val="-6"/>
          <w:sz w:val="24"/>
          <w:szCs w:val="24"/>
          <w:lang w:val="hy-AM"/>
        </w:rPr>
        <w:t xml:space="preserve"> 3-րդ </w:t>
      </w:r>
      <w:r w:rsidRPr="00EA3239">
        <w:rPr>
          <w:rFonts w:ascii="GHEA Grapalat" w:hAnsi="GHEA Grapalat"/>
          <w:bCs/>
          <w:spacing w:val="-6"/>
          <w:sz w:val="24"/>
          <w:szCs w:val="24"/>
          <w:lang w:val="hy-AM"/>
        </w:rPr>
        <w:t>կետով</w:t>
      </w:r>
      <w:r>
        <w:rPr>
          <w:rFonts w:ascii="GHEA Grapalat" w:hAnsi="GHEA Grapalat"/>
          <w:bCs/>
          <w:spacing w:val="-6"/>
          <w:sz w:val="24"/>
          <w:szCs w:val="24"/>
          <w:lang w:val="hy-AM"/>
        </w:rPr>
        <w:t xml:space="preserve"> </w:t>
      </w:r>
      <w:r w:rsidR="00765D83">
        <w:rPr>
          <w:rFonts w:ascii="GHEA Grapalat" w:hAnsi="GHEA Grapalat"/>
          <w:bCs/>
          <w:spacing w:val="-6"/>
          <w:sz w:val="24"/>
          <w:szCs w:val="24"/>
          <w:lang w:val="hy-AM"/>
        </w:rPr>
        <w:t>սահմանված</w:t>
      </w:r>
      <w:r>
        <w:rPr>
          <w:rFonts w:ascii="GHEA Grapalat" w:hAnsi="GHEA Grapalat"/>
          <w:bCs/>
          <w:spacing w:val="-6"/>
          <w:sz w:val="24"/>
          <w:szCs w:val="24"/>
          <w:lang w:val="hy-AM"/>
        </w:rPr>
        <w:t xml:space="preserve"> դիտարկման գործընթացի իրականացման ժամկետը</w:t>
      </w:r>
      <w:r w:rsidR="00BD4C04">
        <w:rPr>
          <w:rFonts w:ascii="GHEA Grapalat" w:hAnsi="GHEA Grapalat"/>
          <w:bCs/>
          <w:spacing w:val="-6"/>
          <w:sz w:val="24"/>
          <w:szCs w:val="24"/>
          <w:lang w:val="hy-AM"/>
        </w:rPr>
        <w:t>, ինչի արդյունքում հնարավոր կլինի ապահովել այդ գործընթացի իրականացումը:</w:t>
      </w:r>
    </w:p>
    <w:p w14:paraId="5123EB3E" w14:textId="77777777" w:rsidR="00BD4C04" w:rsidRPr="00A07641" w:rsidRDefault="00BD4C04" w:rsidP="00765D83">
      <w:pPr>
        <w:shd w:val="clear" w:color="auto" w:fill="FFFFFF"/>
        <w:spacing w:after="0"/>
        <w:ind w:firstLine="720"/>
        <w:jc w:val="both"/>
        <w:rPr>
          <w:rFonts w:ascii="GHEA Grapalat" w:hAnsi="GHEA Grapalat"/>
          <w:bCs/>
          <w:spacing w:val="-6"/>
          <w:sz w:val="24"/>
          <w:szCs w:val="24"/>
          <w:lang w:val="hy-AM"/>
        </w:rPr>
      </w:pPr>
    </w:p>
    <w:p w14:paraId="15205DC9" w14:textId="08CA84D4" w:rsidR="00C128C0" w:rsidRDefault="00F83217" w:rsidP="00765D83">
      <w:pPr>
        <w:pStyle w:val="ListParagraph"/>
        <w:numPr>
          <w:ilvl w:val="0"/>
          <w:numId w:val="9"/>
        </w:numPr>
        <w:shd w:val="clear" w:color="auto" w:fill="FFFFFF"/>
        <w:spacing w:after="0"/>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Իրավական ակտի նախագիծը մշակող պատասխանատու մարմինը, ինչպես նաև, անհրաժեշտության դեպքում, նախաձեռնողի, հեղինակների և</w:t>
      </w:r>
      <w:r w:rsidR="00C128C0" w:rsidRPr="00C128C0">
        <w:rPr>
          <w:rFonts w:ascii="GHEA Grapalat" w:hAnsi="GHEA Grapalat"/>
          <w:b/>
          <w:bCs/>
          <w:spacing w:val="-6"/>
          <w:sz w:val="24"/>
          <w:szCs w:val="24"/>
          <w:lang w:val="hy-AM"/>
        </w:rPr>
        <w:t xml:space="preserve"> մշակման</w:t>
      </w:r>
      <w:r>
        <w:rPr>
          <w:rFonts w:ascii="GHEA Grapalat" w:hAnsi="GHEA Grapalat"/>
          <w:b/>
          <w:bCs/>
          <w:spacing w:val="-6"/>
          <w:sz w:val="24"/>
          <w:szCs w:val="24"/>
          <w:lang w:val="hy-AM"/>
        </w:rPr>
        <w:t>ը մասնակցող անձանց մասին տեղեկություններ.</w:t>
      </w:r>
    </w:p>
    <w:p w14:paraId="5C5665E5" w14:textId="317B25A9" w:rsidR="0091210C" w:rsidRPr="0091210C" w:rsidRDefault="0091210C" w:rsidP="00765D83">
      <w:pPr>
        <w:shd w:val="clear" w:color="auto" w:fill="FFFFFF"/>
        <w:spacing w:after="0"/>
        <w:ind w:left="720"/>
        <w:jc w:val="both"/>
        <w:rPr>
          <w:rFonts w:ascii="GHEA Grapalat" w:hAnsi="GHEA Grapalat"/>
          <w:bCs/>
          <w:spacing w:val="-6"/>
          <w:sz w:val="24"/>
          <w:szCs w:val="24"/>
          <w:lang w:val="hy-AM"/>
        </w:rPr>
      </w:pPr>
      <w:r w:rsidRPr="0091210C">
        <w:rPr>
          <w:rFonts w:ascii="GHEA Grapalat" w:hAnsi="GHEA Grapalat"/>
          <w:bCs/>
          <w:spacing w:val="-6"/>
          <w:sz w:val="24"/>
          <w:szCs w:val="24"/>
          <w:lang w:val="hy-AM"/>
        </w:rPr>
        <w:t>Նախագիծը մշակվել է ՀՀ ֆինանսների նախարարության կողմից:</w:t>
      </w:r>
    </w:p>
    <w:p w14:paraId="08941F34" w14:textId="79107E0F" w:rsidR="00C128C0" w:rsidRPr="00C128C0" w:rsidRDefault="00C128C0" w:rsidP="00765D83">
      <w:pPr>
        <w:shd w:val="clear" w:color="auto" w:fill="FFFFFF"/>
        <w:spacing w:after="0"/>
        <w:ind w:firstLine="720"/>
        <w:jc w:val="both"/>
        <w:rPr>
          <w:rFonts w:ascii="GHEA Grapalat" w:hAnsi="GHEA Grapalat"/>
          <w:bCs/>
          <w:spacing w:val="-6"/>
          <w:sz w:val="24"/>
          <w:szCs w:val="24"/>
          <w:lang w:val="hy-AM"/>
        </w:rPr>
      </w:pPr>
    </w:p>
    <w:p w14:paraId="7AC8BF78" w14:textId="7D73ED4A" w:rsidR="00C128C0" w:rsidRDefault="00F83217" w:rsidP="00765D83">
      <w:pPr>
        <w:pStyle w:val="ListParagraph"/>
        <w:numPr>
          <w:ilvl w:val="0"/>
          <w:numId w:val="9"/>
        </w:numPr>
        <w:shd w:val="clear" w:color="auto" w:fill="FFFFFF"/>
        <w:spacing w:after="0"/>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lastRenderedPageBreak/>
        <w:t xml:space="preserve">Նախագծի </w:t>
      </w:r>
      <w:r w:rsidR="00C128C0" w:rsidRPr="00C128C0">
        <w:rPr>
          <w:rFonts w:ascii="GHEA Grapalat" w:hAnsi="GHEA Grapalat"/>
          <w:b/>
          <w:bCs/>
          <w:spacing w:val="-6"/>
          <w:sz w:val="24"/>
          <w:szCs w:val="24"/>
          <w:lang w:val="hy-AM"/>
        </w:rPr>
        <w:t xml:space="preserve">ընդունման կապակցությամբ պետական </w:t>
      </w:r>
      <w:r>
        <w:rPr>
          <w:rFonts w:ascii="GHEA Grapalat" w:hAnsi="GHEA Grapalat"/>
          <w:b/>
          <w:bCs/>
          <w:spacing w:val="-6"/>
          <w:sz w:val="24"/>
          <w:szCs w:val="24"/>
          <w:lang w:val="hy-AM"/>
        </w:rPr>
        <w:t>բյուջեում կամ տեղական ինքնակառավարման մարմինների բյուջեներում ծախսերի և եկամուտների էական ավելացումների կամ նվազեցումների մասին.</w:t>
      </w:r>
    </w:p>
    <w:p w14:paraId="68034882" w14:textId="74B9F998" w:rsidR="0091210C" w:rsidRPr="0091210C" w:rsidRDefault="0091210C" w:rsidP="00765D83">
      <w:pPr>
        <w:shd w:val="clear" w:color="auto" w:fill="FFFFFF"/>
        <w:spacing w:after="0"/>
        <w:ind w:firstLine="720"/>
        <w:jc w:val="both"/>
        <w:rPr>
          <w:rFonts w:ascii="GHEA Grapalat" w:hAnsi="GHEA Grapalat"/>
          <w:bCs/>
          <w:spacing w:val="-6"/>
          <w:sz w:val="24"/>
          <w:szCs w:val="24"/>
          <w:lang w:val="hy-AM"/>
        </w:rPr>
      </w:pPr>
      <w:r>
        <w:rPr>
          <w:rFonts w:ascii="GHEA Grapalat" w:hAnsi="GHEA Grapalat"/>
          <w:bCs/>
          <w:spacing w:val="-6"/>
          <w:sz w:val="24"/>
          <w:szCs w:val="24"/>
          <w:lang w:val="hy-AM"/>
        </w:rPr>
        <w:t>Ն</w:t>
      </w:r>
      <w:r w:rsidRPr="0091210C">
        <w:rPr>
          <w:rFonts w:ascii="GHEA Grapalat" w:hAnsi="GHEA Grapalat"/>
          <w:bCs/>
          <w:spacing w:val="-6"/>
          <w:sz w:val="24"/>
          <w:szCs w:val="24"/>
          <w:lang w:val="hy-AM"/>
        </w:rPr>
        <w:t xml:space="preserve">ախագծի ընդունման կապակցությամբ պետական բյուջեում կամ տեղական ինքնակառավարման մարմինների բյուջեներում ծախսերի և եկամուտների էական </w:t>
      </w:r>
      <w:r>
        <w:rPr>
          <w:rFonts w:ascii="GHEA Grapalat" w:hAnsi="GHEA Grapalat"/>
          <w:bCs/>
          <w:spacing w:val="-6"/>
          <w:sz w:val="24"/>
          <w:szCs w:val="24"/>
          <w:lang w:val="hy-AM"/>
        </w:rPr>
        <w:t>ավելացում</w:t>
      </w:r>
      <w:r w:rsidRPr="0091210C">
        <w:rPr>
          <w:rFonts w:ascii="GHEA Grapalat" w:hAnsi="GHEA Grapalat"/>
          <w:bCs/>
          <w:spacing w:val="-6"/>
          <w:sz w:val="24"/>
          <w:szCs w:val="24"/>
          <w:lang w:val="hy-AM"/>
        </w:rPr>
        <w:t xml:space="preserve"> կամ </w:t>
      </w:r>
      <w:r>
        <w:rPr>
          <w:rFonts w:ascii="GHEA Grapalat" w:hAnsi="GHEA Grapalat"/>
          <w:bCs/>
          <w:spacing w:val="-6"/>
          <w:sz w:val="24"/>
          <w:szCs w:val="24"/>
          <w:lang w:val="hy-AM"/>
        </w:rPr>
        <w:t>նվազեցում</w:t>
      </w:r>
      <w:r w:rsidRPr="0091210C">
        <w:rPr>
          <w:rFonts w:ascii="GHEA Grapalat" w:hAnsi="GHEA Grapalat"/>
          <w:bCs/>
          <w:spacing w:val="-6"/>
          <w:sz w:val="24"/>
          <w:szCs w:val="24"/>
          <w:lang w:val="hy-AM"/>
        </w:rPr>
        <w:t xml:space="preserve"> չի նախատեսվում</w:t>
      </w:r>
      <w:r>
        <w:rPr>
          <w:rFonts w:ascii="GHEA Grapalat" w:hAnsi="GHEA Grapalat"/>
          <w:bCs/>
          <w:spacing w:val="-6"/>
          <w:sz w:val="24"/>
          <w:szCs w:val="24"/>
          <w:lang w:val="hy-AM"/>
        </w:rPr>
        <w:t>:</w:t>
      </w:r>
    </w:p>
    <w:p w14:paraId="1621C472" w14:textId="6E94B52F" w:rsidR="00C128C0" w:rsidRDefault="00C128C0" w:rsidP="00765D83">
      <w:pPr>
        <w:shd w:val="clear" w:color="auto" w:fill="FFFFFF"/>
        <w:spacing w:after="0"/>
        <w:ind w:firstLine="720"/>
        <w:jc w:val="both"/>
        <w:rPr>
          <w:rFonts w:ascii="GHEA Grapalat" w:hAnsi="GHEA Grapalat"/>
          <w:b/>
          <w:bCs/>
          <w:spacing w:val="-6"/>
          <w:sz w:val="24"/>
          <w:szCs w:val="24"/>
          <w:lang w:val="hy-AM"/>
        </w:rPr>
      </w:pPr>
    </w:p>
    <w:p w14:paraId="0F5F5468" w14:textId="1DA9457D" w:rsidR="00F83217" w:rsidRDefault="00F83217" w:rsidP="00765D83">
      <w:pPr>
        <w:pStyle w:val="ListParagraph"/>
        <w:numPr>
          <w:ilvl w:val="0"/>
          <w:numId w:val="9"/>
        </w:numPr>
        <w:shd w:val="clear" w:color="auto" w:fill="FFFFFF"/>
        <w:spacing w:after="0"/>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 xml:space="preserve">Նախագծի </w:t>
      </w:r>
      <w:r w:rsidRPr="00C128C0">
        <w:rPr>
          <w:rFonts w:ascii="GHEA Grapalat" w:hAnsi="GHEA Grapalat"/>
          <w:b/>
          <w:bCs/>
          <w:spacing w:val="-6"/>
          <w:sz w:val="24"/>
          <w:szCs w:val="24"/>
          <w:lang w:val="hy-AM"/>
        </w:rPr>
        <w:t xml:space="preserve">ընդունման կապակցությամբ </w:t>
      </w:r>
      <w:r>
        <w:rPr>
          <w:rFonts w:ascii="GHEA Grapalat" w:hAnsi="GHEA Grapalat"/>
          <w:b/>
          <w:bCs/>
          <w:spacing w:val="-6"/>
          <w:sz w:val="24"/>
          <w:szCs w:val="24"/>
          <w:lang w:val="hy-AM"/>
        </w:rPr>
        <w:t>այլ իրավական ակտերի ընդունման անհրաժեշտության մասին.</w:t>
      </w:r>
    </w:p>
    <w:p w14:paraId="01DB9D43" w14:textId="67A46C68" w:rsidR="0091210C" w:rsidRPr="0091210C" w:rsidRDefault="0091210C" w:rsidP="00765D83">
      <w:pPr>
        <w:shd w:val="clear" w:color="auto" w:fill="FFFFFF"/>
        <w:spacing w:after="0"/>
        <w:ind w:firstLine="720"/>
        <w:jc w:val="both"/>
        <w:rPr>
          <w:rFonts w:ascii="GHEA Grapalat" w:hAnsi="GHEA Grapalat"/>
          <w:b/>
          <w:bCs/>
          <w:spacing w:val="-6"/>
          <w:sz w:val="24"/>
          <w:szCs w:val="24"/>
          <w:lang w:val="hy-AM"/>
        </w:rPr>
      </w:pPr>
      <w:r w:rsidRPr="0091210C">
        <w:rPr>
          <w:rFonts w:ascii="GHEA Grapalat" w:hAnsi="GHEA Grapalat"/>
          <w:bCs/>
          <w:spacing w:val="-6"/>
          <w:sz w:val="24"/>
          <w:szCs w:val="24"/>
          <w:lang w:val="hy-AM"/>
        </w:rPr>
        <w:t>Նախագծի ընդունման կապակցությամբ</w:t>
      </w:r>
      <w:r>
        <w:rPr>
          <w:rFonts w:ascii="GHEA Grapalat" w:hAnsi="GHEA Grapalat"/>
          <w:bCs/>
          <w:spacing w:val="-6"/>
          <w:sz w:val="24"/>
          <w:szCs w:val="24"/>
          <w:lang w:val="hy-AM"/>
        </w:rPr>
        <w:t xml:space="preserve"> այլ իրավական ակտերի ընդունման անհրաժեշտություն չկա:</w:t>
      </w:r>
    </w:p>
    <w:p w14:paraId="59F7B81F" w14:textId="77777777" w:rsidR="00F83217" w:rsidRPr="00C128C0" w:rsidRDefault="00F83217" w:rsidP="00765D83">
      <w:pPr>
        <w:shd w:val="clear" w:color="auto" w:fill="FFFFFF"/>
        <w:spacing w:after="0"/>
        <w:ind w:firstLine="720"/>
        <w:jc w:val="both"/>
        <w:rPr>
          <w:rFonts w:ascii="GHEA Grapalat" w:hAnsi="GHEA Grapalat"/>
          <w:b/>
          <w:bCs/>
          <w:spacing w:val="-6"/>
          <w:sz w:val="24"/>
          <w:szCs w:val="24"/>
          <w:lang w:val="hy-AM"/>
        </w:rPr>
      </w:pPr>
    </w:p>
    <w:p w14:paraId="1D4DD63C" w14:textId="77777777" w:rsidR="00BB417A" w:rsidRDefault="00C128C0" w:rsidP="00765D83">
      <w:pPr>
        <w:pStyle w:val="ListParagraph"/>
        <w:numPr>
          <w:ilvl w:val="0"/>
          <w:numId w:val="9"/>
        </w:numPr>
        <w:shd w:val="clear" w:color="auto" w:fill="FFFFFF"/>
        <w:spacing w:after="0"/>
        <w:ind w:left="0" w:firstLine="720"/>
        <w:jc w:val="both"/>
        <w:rPr>
          <w:rFonts w:ascii="GHEA Grapalat" w:hAnsi="GHEA Grapalat"/>
          <w:b/>
          <w:bCs/>
          <w:spacing w:val="-6"/>
          <w:sz w:val="24"/>
          <w:szCs w:val="24"/>
          <w:lang w:val="hy-AM"/>
        </w:rPr>
      </w:pPr>
      <w:r w:rsidRPr="00C128C0">
        <w:rPr>
          <w:rFonts w:ascii="GHEA Grapalat" w:hAnsi="GHEA Grapalat"/>
          <w:b/>
          <w:bCs/>
          <w:spacing w:val="-6"/>
          <w:sz w:val="24"/>
          <w:szCs w:val="24"/>
          <w:lang w:val="hy-AM"/>
        </w:rPr>
        <w:t>Կապը ռազմավարական փաստաթղթերի հետ</w:t>
      </w:r>
    </w:p>
    <w:p w14:paraId="0552DF2C" w14:textId="37C8E2C5" w:rsidR="00C128C0" w:rsidRPr="00C128C0" w:rsidRDefault="00410919" w:rsidP="00765D83">
      <w:pPr>
        <w:pStyle w:val="ListParagraph"/>
        <w:shd w:val="clear" w:color="auto" w:fill="FFFFFF"/>
        <w:spacing w:after="0"/>
        <w:ind w:left="0" w:firstLine="720"/>
        <w:jc w:val="both"/>
        <w:rPr>
          <w:rFonts w:ascii="GHEA Grapalat" w:hAnsi="GHEA Grapalat"/>
          <w:bCs/>
          <w:spacing w:val="-6"/>
          <w:sz w:val="24"/>
          <w:szCs w:val="24"/>
          <w:lang w:val="hy-AM"/>
        </w:rPr>
      </w:pPr>
      <w:r>
        <w:rPr>
          <w:rFonts w:ascii="GHEA Grapalat" w:hAnsi="GHEA Grapalat"/>
          <w:bCs/>
          <w:spacing w:val="-6"/>
          <w:sz w:val="24"/>
          <w:szCs w:val="24"/>
          <w:lang w:val="hy-AM"/>
        </w:rPr>
        <w:t>Նախագծ</w:t>
      </w:r>
      <w:r w:rsidR="00BB417A" w:rsidRPr="00BB417A">
        <w:rPr>
          <w:rFonts w:ascii="GHEA Grapalat" w:hAnsi="GHEA Grapalat"/>
          <w:bCs/>
          <w:spacing w:val="-6"/>
          <w:sz w:val="24"/>
          <w:szCs w:val="24"/>
          <w:lang w:val="hy-AM"/>
        </w:rPr>
        <w:t xml:space="preserve">ի ընդունումը </w:t>
      </w:r>
      <w:r w:rsidR="00BD4C04">
        <w:rPr>
          <w:rFonts w:ascii="GHEA Grapalat" w:hAnsi="GHEA Grapalat"/>
          <w:bCs/>
          <w:spacing w:val="-6"/>
          <w:sz w:val="24"/>
          <w:szCs w:val="24"/>
          <w:lang w:val="hy-AM"/>
        </w:rPr>
        <w:t xml:space="preserve">չի </w:t>
      </w:r>
      <w:r w:rsidR="00BB417A" w:rsidRPr="00BB417A">
        <w:rPr>
          <w:rFonts w:ascii="GHEA Grapalat" w:hAnsi="GHEA Grapalat"/>
          <w:bCs/>
          <w:spacing w:val="-6"/>
          <w:sz w:val="24"/>
          <w:szCs w:val="24"/>
          <w:lang w:val="hy-AM"/>
        </w:rPr>
        <w:t xml:space="preserve">բխում </w:t>
      </w:r>
      <w:r w:rsidR="00BD4C04">
        <w:rPr>
          <w:rFonts w:ascii="GHEA Grapalat" w:hAnsi="GHEA Grapalat"/>
          <w:bCs/>
          <w:spacing w:val="-6"/>
          <w:sz w:val="24"/>
          <w:szCs w:val="24"/>
          <w:lang w:val="hy-AM"/>
        </w:rPr>
        <w:t>որևէ ռազմավարական փաստաթղթից</w:t>
      </w:r>
      <w:r w:rsidR="00BB417A" w:rsidRPr="00BB417A">
        <w:rPr>
          <w:rFonts w:ascii="GHEA Grapalat" w:hAnsi="GHEA Grapalat"/>
          <w:bCs/>
          <w:spacing w:val="-6"/>
          <w:sz w:val="24"/>
          <w:szCs w:val="24"/>
          <w:lang w:val="hy-AM"/>
        </w:rPr>
        <w:t>:</w:t>
      </w:r>
    </w:p>
    <w:p w14:paraId="08C10DAC" w14:textId="77777777" w:rsidR="00C128C0" w:rsidRPr="00C128C0" w:rsidRDefault="00C128C0" w:rsidP="00765D83">
      <w:pPr>
        <w:shd w:val="clear" w:color="auto" w:fill="FFFFFF"/>
        <w:spacing w:after="0"/>
        <w:ind w:firstLine="720"/>
        <w:jc w:val="both"/>
        <w:rPr>
          <w:rFonts w:ascii="GHEA Grapalat" w:hAnsi="GHEA Grapalat"/>
          <w:bCs/>
          <w:spacing w:val="-6"/>
          <w:sz w:val="24"/>
          <w:szCs w:val="24"/>
          <w:lang w:val="hy-AM"/>
        </w:rPr>
      </w:pPr>
    </w:p>
    <w:sectPr w:rsidR="00C128C0" w:rsidRPr="00C128C0" w:rsidSect="003341A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F0B23"/>
    <w:multiLevelType w:val="hybridMultilevel"/>
    <w:tmpl w:val="E8E666DC"/>
    <w:lvl w:ilvl="0" w:tplc="9998E73E">
      <w:start w:val="5"/>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BE33D3"/>
    <w:multiLevelType w:val="hybridMultilevel"/>
    <w:tmpl w:val="9202D646"/>
    <w:lvl w:ilvl="0" w:tplc="8EE6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B926E78"/>
    <w:multiLevelType w:val="hybridMultilevel"/>
    <w:tmpl w:val="C930DE04"/>
    <w:lvl w:ilvl="0" w:tplc="D6EE1890">
      <w:start w:val="1"/>
      <w:numFmt w:val="decimal"/>
      <w:lvlText w:val="%1)"/>
      <w:lvlJc w:val="left"/>
      <w:pPr>
        <w:ind w:left="1080" w:hanging="360"/>
      </w:pPr>
      <w:rPr>
        <w:rFonts w:ascii="GHEA Grapalat" w:hAnsi="GHEA Grapalat"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341C70"/>
    <w:multiLevelType w:val="hybridMultilevel"/>
    <w:tmpl w:val="4358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370887"/>
    <w:multiLevelType w:val="hybridMultilevel"/>
    <w:tmpl w:val="96861544"/>
    <w:lvl w:ilvl="0" w:tplc="16285C82">
      <w:start w:val="1"/>
      <w:numFmt w:val="bullet"/>
      <w:lvlText w:val="•"/>
      <w:lvlJc w:val="left"/>
      <w:pPr>
        <w:tabs>
          <w:tab w:val="num" w:pos="720"/>
        </w:tabs>
        <w:ind w:left="720" w:hanging="360"/>
      </w:pPr>
      <w:rPr>
        <w:rFonts w:ascii="Times New Roman" w:hAnsi="Times New Roman" w:hint="default"/>
      </w:rPr>
    </w:lvl>
    <w:lvl w:ilvl="1" w:tplc="3B6E7582" w:tentative="1">
      <w:start w:val="1"/>
      <w:numFmt w:val="bullet"/>
      <w:lvlText w:val="•"/>
      <w:lvlJc w:val="left"/>
      <w:pPr>
        <w:tabs>
          <w:tab w:val="num" w:pos="1440"/>
        </w:tabs>
        <w:ind w:left="1440" w:hanging="360"/>
      </w:pPr>
      <w:rPr>
        <w:rFonts w:ascii="Times New Roman" w:hAnsi="Times New Roman" w:hint="default"/>
      </w:rPr>
    </w:lvl>
    <w:lvl w:ilvl="2" w:tplc="5EB0E8A6" w:tentative="1">
      <w:start w:val="1"/>
      <w:numFmt w:val="bullet"/>
      <w:lvlText w:val="•"/>
      <w:lvlJc w:val="left"/>
      <w:pPr>
        <w:tabs>
          <w:tab w:val="num" w:pos="2160"/>
        </w:tabs>
        <w:ind w:left="2160" w:hanging="360"/>
      </w:pPr>
      <w:rPr>
        <w:rFonts w:ascii="Times New Roman" w:hAnsi="Times New Roman" w:hint="default"/>
      </w:rPr>
    </w:lvl>
    <w:lvl w:ilvl="3" w:tplc="C0D2B878" w:tentative="1">
      <w:start w:val="1"/>
      <w:numFmt w:val="bullet"/>
      <w:lvlText w:val="•"/>
      <w:lvlJc w:val="left"/>
      <w:pPr>
        <w:tabs>
          <w:tab w:val="num" w:pos="2880"/>
        </w:tabs>
        <w:ind w:left="2880" w:hanging="360"/>
      </w:pPr>
      <w:rPr>
        <w:rFonts w:ascii="Times New Roman" w:hAnsi="Times New Roman" w:hint="default"/>
      </w:rPr>
    </w:lvl>
    <w:lvl w:ilvl="4" w:tplc="6670642A" w:tentative="1">
      <w:start w:val="1"/>
      <w:numFmt w:val="bullet"/>
      <w:lvlText w:val="•"/>
      <w:lvlJc w:val="left"/>
      <w:pPr>
        <w:tabs>
          <w:tab w:val="num" w:pos="3600"/>
        </w:tabs>
        <w:ind w:left="3600" w:hanging="360"/>
      </w:pPr>
      <w:rPr>
        <w:rFonts w:ascii="Times New Roman" w:hAnsi="Times New Roman" w:hint="default"/>
      </w:rPr>
    </w:lvl>
    <w:lvl w:ilvl="5" w:tplc="FA52C4F0" w:tentative="1">
      <w:start w:val="1"/>
      <w:numFmt w:val="bullet"/>
      <w:lvlText w:val="•"/>
      <w:lvlJc w:val="left"/>
      <w:pPr>
        <w:tabs>
          <w:tab w:val="num" w:pos="4320"/>
        </w:tabs>
        <w:ind w:left="4320" w:hanging="360"/>
      </w:pPr>
      <w:rPr>
        <w:rFonts w:ascii="Times New Roman" w:hAnsi="Times New Roman" w:hint="default"/>
      </w:rPr>
    </w:lvl>
    <w:lvl w:ilvl="6" w:tplc="BE904416" w:tentative="1">
      <w:start w:val="1"/>
      <w:numFmt w:val="bullet"/>
      <w:lvlText w:val="•"/>
      <w:lvlJc w:val="left"/>
      <w:pPr>
        <w:tabs>
          <w:tab w:val="num" w:pos="5040"/>
        </w:tabs>
        <w:ind w:left="5040" w:hanging="360"/>
      </w:pPr>
      <w:rPr>
        <w:rFonts w:ascii="Times New Roman" w:hAnsi="Times New Roman" w:hint="default"/>
      </w:rPr>
    </w:lvl>
    <w:lvl w:ilvl="7" w:tplc="7780FA1A" w:tentative="1">
      <w:start w:val="1"/>
      <w:numFmt w:val="bullet"/>
      <w:lvlText w:val="•"/>
      <w:lvlJc w:val="left"/>
      <w:pPr>
        <w:tabs>
          <w:tab w:val="num" w:pos="5760"/>
        </w:tabs>
        <w:ind w:left="5760" w:hanging="360"/>
      </w:pPr>
      <w:rPr>
        <w:rFonts w:ascii="Times New Roman" w:hAnsi="Times New Roman" w:hint="default"/>
      </w:rPr>
    </w:lvl>
    <w:lvl w:ilvl="8" w:tplc="772EC5F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04477DA"/>
    <w:multiLevelType w:val="multilevel"/>
    <w:tmpl w:val="7420744A"/>
    <w:lvl w:ilvl="0">
      <w:start w:val="1"/>
      <w:numFmt w:val="decimal"/>
      <w:lvlText w:val="%1."/>
      <w:lvlJc w:val="left"/>
      <w:pPr>
        <w:ind w:left="720" w:hanging="360"/>
      </w:pPr>
      <w:rPr>
        <w:rFonts w:ascii="GHEA Grapalat" w:eastAsia="GHEA Grapalat" w:hAnsi="GHEA Grapalat" w:cs="GHEA Grapalat"/>
        <w:i/>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7732F8E"/>
    <w:multiLevelType w:val="multilevel"/>
    <w:tmpl w:val="0F50D06C"/>
    <w:lvl w:ilvl="0">
      <w:start w:val="1"/>
      <w:numFmt w:val="bullet"/>
      <w:lvlText w:val=""/>
      <w:lvlJc w:val="left"/>
      <w:pPr>
        <w:ind w:left="810" w:hanging="360"/>
      </w:pPr>
      <w:rPr>
        <w:rFonts w:ascii="Wingdings" w:hAnsi="Wingdings" w:hint="default"/>
      </w:rPr>
    </w:lvl>
    <w:lvl w:ilvl="1">
      <w:start w:val="1"/>
      <w:numFmt w:val="decimal"/>
      <w:isLgl/>
      <w:lvlText w:val="%1.%2."/>
      <w:lvlJc w:val="left"/>
      <w:pPr>
        <w:ind w:left="1997" w:hanging="720"/>
      </w:pPr>
      <w:rPr>
        <w:rFonts w:cs="Times New Roman" w:hint="default"/>
      </w:rPr>
    </w:lvl>
    <w:lvl w:ilvl="2">
      <w:start w:val="1"/>
      <w:numFmt w:val="decimal"/>
      <w:isLgl/>
      <w:lvlText w:val="%1.%2.%3."/>
      <w:lvlJc w:val="left"/>
      <w:pPr>
        <w:ind w:left="1890" w:hanging="720"/>
      </w:pPr>
      <w:rPr>
        <w:rFonts w:cs="Times New Roman" w:hint="default"/>
      </w:rPr>
    </w:lvl>
    <w:lvl w:ilvl="3">
      <w:start w:val="1"/>
      <w:numFmt w:val="decimal"/>
      <w:isLgl/>
      <w:lvlText w:val="%1.%2.%3.%4."/>
      <w:lvlJc w:val="left"/>
      <w:pPr>
        <w:ind w:left="2610" w:hanging="1080"/>
      </w:pPr>
      <w:rPr>
        <w:rFonts w:cs="Times New Roman" w:hint="default"/>
      </w:rPr>
    </w:lvl>
    <w:lvl w:ilvl="4">
      <w:start w:val="1"/>
      <w:numFmt w:val="decimal"/>
      <w:isLgl/>
      <w:lvlText w:val="%1.%2.%3.%4.%5."/>
      <w:lvlJc w:val="left"/>
      <w:pPr>
        <w:ind w:left="2970" w:hanging="1080"/>
      </w:pPr>
      <w:rPr>
        <w:rFonts w:cs="Times New Roman" w:hint="default"/>
      </w:rPr>
    </w:lvl>
    <w:lvl w:ilvl="5">
      <w:start w:val="1"/>
      <w:numFmt w:val="decimal"/>
      <w:isLgl/>
      <w:lvlText w:val="%1.%2.%3.%4.%5.%6."/>
      <w:lvlJc w:val="left"/>
      <w:pPr>
        <w:ind w:left="3690" w:hanging="1440"/>
      </w:pPr>
      <w:rPr>
        <w:rFonts w:cs="Times New Roman" w:hint="default"/>
      </w:rPr>
    </w:lvl>
    <w:lvl w:ilvl="6">
      <w:start w:val="1"/>
      <w:numFmt w:val="decimal"/>
      <w:isLgl/>
      <w:lvlText w:val="%1.%2.%3.%4.%5.%6.%7."/>
      <w:lvlJc w:val="left"/>
      <w:pPr>
        <w:ind w:left="4410" w:hanging="1800"/>
      </w:pPr>
      <w:rPr>
        <w:rFonts w:cs="Times New Roman" w:hint="default"/>
      </w:rPr>
    </w:lvl>
    <w:lvl w:ilvl="7">
      <w:start w:val="1"/>
      <w:numFmt w:val="decimal"/>
      <w:isLgl/>
      <w:lvlText w:val="%1.%2.%3.%4.%5.%6.%7.%8."/>
      <w:lvlJc w:val="left"/>
      <w:pPr>
        <w:ind w:left="4770" w:hanging="1800"/>
      </w:pPr>
      <w:rPr>
        <w:rFonts w:cs="Times New Roman" w:hint="default"/>
      </w:rPr>
    </w:lvl>
    <w:lvl w:ilvl="8">
      <w:start w:val="1"/>
      <w:numFmt w:val="decimal"/>
      <w:isLgl/>
      <w:lvlText w:val="%1.%2.%3.%4.%5.%6.%7.%8.%9."/>
      <w:lvlJc w:val="left"/>
      <w:pPr>
        <w:ind w:left="5490" w:hanging="2160"/>
      </w:pPr>
      <w:rPr>
        <w:rFonts w:cs="Times New Roman" w:hint="default"/>
      </w:rPr>
    </w:lvl>
  </w:abstractNum>
  <w:abstractNum w:abstractNumId="10" w15:restartNumberingAfterBreak="0">
    <w:nsid w:val="3770750A"/>
    <w:multiLevelType w:val="hybridMultilevel"/>
    <w:tmpl w:val="A7B2DE32"/>
    <w:lvl w:ilvl="0" w:tplc="AC3ABB2E">
      <w:start w:val="1"/>
      <w:numFmt w:val="bullet"/>
      <w:lvlText w:val="•"/>
      <w:lvlJc w:val="left"/>
      <w:pPr>
        <w:tabs>
          <w:tab w:val="num" w:pos="720"/>
        </w:tabs>
        <w:ind w:left="720" w:hanging="360"/>
      </w:pPr>
      <w:rPr>
        <w:rFonts w:ascii="Times New Roman" w:hAnsi="Times New Roman" w:hint="default"/>
      </w:rPr>
    </w:lvl>
    <w:lvl w:ilvl="1" w:tplc="70BEA8C6" w:tentative="1">
      <w:start w:val="1"/>
      <w:numFmt w:val="bullet"/>
      <w:lvlText w:val="•"/>
      <w:lvlJc w:val="left"/>
      <w:pPr>
        <w:tabs>
          <w:tab w:val="num" w:pos="1440"/>
        </w:tabs>
        <w:ind w:left="1440" w:hanging="360"/>
      </w:pPr>
      <w:rPr>
        <w:rFonts w:ascii="Times New Roman" w:hAnsi="Times New Roman" w:hint="default"/>
      </w:rPr>
    </w:lvl>
    <w:lvl w:ilvl="2" w:tplc="643820CC" w:tentative="1">
      <w:start w:val="1"/>
      <w:numFmt w:val="bullet"/>
      <w:lvlText w:val="•"/>
      <w:lvlJc w:val="left"/>
      <w:pPr>
        <w:tabs>
          <w:tab w:val="num" w:pos="2160"/>
        </w:tabs>
        <w:ind w:left="2160" w:hanging="360"/>
      </w:pPr>
      <w:rPr>
        <w:rFonts w:ascii="Times New Roman" w:hAnsi="Times New Roman" w:hint="default"/>
      </w:rPr>
    </w:lvl>
    <w:lvl w:ilvl="3" w:tplc="7E560B7A" w:tentative="1">
      <w:start w:val="1"/>
      <w:numFmt w:val="bullet"/>
      <w:lvlText w:val="•"/>
      <w:lvlJc w:val="left"/>
      <w:pPr>
        <w:tabs>
          <w:tab w:val="num" w:pos="2880"/>
        </w:tabs>
        <w:ind w:left="2880" w:hanging="360"/>
      </w:pPr>
      <w:rPr>
        <w:rFonts w:ascii="Times New Roman" w:hAnsi="Times New Roman" w:hint="default"/>
      </w:rPr>
    </w:lvl>
    <w:lvl w:ilvl="4" w:tplc="B5227F9C" w:tentative="1">
      <w:start w:val="1"/>
      <w:numFmt w:val="bullet"/>
      <w:lvlText w:val="•"/>
      <w:lvlJc w:val="left"/>
      <w:pPr>
        <w:tabs>
          <w:tab w:val="num" w:pos="3600"/>
        </w:tabs>
        <w:ind w:left="3600" w:hanging="360"/>
      </w:pPr>
      <w:rPr>
        <w:rFonts w:ascii="Times New Roman" w:hAnsi="Times New Roman" w:hint="default"/>
      </w:rPr>
    </w:lvl>
    <w:lvl w:ilvl="5" w:tplc="FE3614F2" w:tentative="1">
      <w:start w:val="1"/>
      <w:numFmt w:val="bullet"/>
      <w:lvlText w:val="•"/>
      <w:lvlJc w:val="left"/>
      <w:pPr>
        <w:tabs>
          <w:tab w:val="num" w:pos="4320"/>
        </w:tabs>
        <w:ind w:left="4320" w:hanging="360"/>
      </w:pPr>
      <w:rPr>
        <w:rFonts w:ascii="Times New Roman" w:hAnsi="Times New Roman" w:hint="default"/>
      </w:rPr>
    </w:lvl>
    <w:lvl w:ilvl="6" w:tplc="ECF2B234" w:tentative="1">
      <w:start w:val="1"/>
      <w:numFmt w:val="bullet"/>
      <w:lvlText w:val="•"/>
      <w:lvlJc w:val="left"/>
      <w:pPr>
        <w:tabs>
          <w:tab w:val="num" w:pos="5040"/>
        </w:tabs>
        <w:ind w:left="5040" w:hanging="360"/>
      </w:pPr>
      <w:rPr>
        <w:rFonts w:ascii="Times New Roman" w:hAnsi="Times New Roman" w:hint="default"/>
      </w:rPr>
    </w:lvl>
    <w:lvl w:ilvl="7" w:tplc="F8E0444C" w:tentative="1">
      <w:start w:val="1"/>
      <w:numFmt w:val="bullet"/>
      <w:lvlText w:val="•"/>
      <w:lvlJc w:val="left"/>
      <w:pPr>
        <w:tabs>
          <w:tab w:val="num" w:pos="5760"/>
        </w:tabs>
        <w:ind w:left="5760" w:hanging="360"/>
      </w:pPr>
      <w:rPr>
        <w:rFonts w:ascii="Times New Roman" w:hAnsi="Times New Roman" w:hint="default"/>
      </w:rPr>
    </w:lvl>
    <w:lvl w:ilvl="8" w:tplc="92900BA6"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A521E4B"/>
    <w:multiLevelType w:val="hybridMultilevel"/>
    <w:tmpl w:val="91285298"/>
    <w:lvl w:ilvl="0" w:tplc="0809000D">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2" w15:restartNumberingAfterBreak="0">
    <w:nsid w:val="51A84E99"/>
    <w:multiLevelType w:val="hybridMultilevel"/>
    <w:tmpl w:val="6DA61CFC"/>
    <w:lvl w:ilvl="0" w:tplc="027CA0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3466616"/>
    <w:multiLevelType w:val="multilevel"/>
    <w:tmpl w:val="21343D4A"/>
    <w:lvl w:ilvl="0">
      <w:start w:val="1"/>
      <w:numFmt w:val="decimal"/>
      <w:lvlText w:val="%1."/>
      <w:lvlJc w:val="left"/>
      <w:pPr>
        <w:ind w:left="1080" w:hanging="360"/>
      </w:pPr>
    </w:lvl>
    <w:lvl w:ilvl="1">
      <w:start w:val="1"/>
      <w:numFmt w:val="decimal"/>
      <w:isLgl/>
      <w:lvlText w:val="%1.%2."/>
      <w:lvlJc w:val="left"/>
      <w:pPr>
        <w:ind w:left="2160" w:hanging="720"/>
      </w:pPr>
    </w:lvl>
    <w:lvl w:ilvl="2">
      <w:start w:val="1"/>
      <w:numFmt w:val="decimal"/>
      <w:isLgl/>
      <w:lvlText w:val="%1.%2.%3."/>
      <w:lvlJc w:val="left"/>
      <w:pPr>
        <w:ind w:left="2160" w:hanging="720"/>
      </w:pPr>
    </w:lvl>
    <w:lvl w:ilvl="3">
      <w:start w:val="1"/>
      <w:numFmt w:val="decimal"/>
      <w:isLgl/>
      <w:lvlText w:val="%1.%2.%3.%4."/>
      <w:lvlJc w:val="left"/>
      <w:pPr>
        <w:ind w:left="2520" w:hanging="1080"/>
      </w:pPr>
    </w:lvl>
    <w:lvl w:ilvl="4">
      <w:start w:val="1"/>
      <w:numFmt w:val="decimal"/>
      <w:isLgl/>
      <w:lvlText w:val="%1.%2.%3.%4.%5."/>
      <w:lvlJc w:val="left"/>
      <w:pPr>
        <w:ind w:left="2520" w:hanging="1080"/>
      </w:pPr>
    </w:lvl>
    <w:lvl w:ilvl="5">
      <w:start w:val="1"/>
      <w:numFmt w:val="decimal"/>
      <w:isLgl/>
      <w:lvlText w:val="%1.%2.%3.%4.%5.%6."/>
      <w:lvlJc w:val="left"/>
      <w:pPr>
        <w:ind w:left="2880" w:hanging="1440"/>
      </w:pPr>
    </w:lvl>
    <w:lvl w:ilvl="6">
      <w:start w:val="1"/>
      <w:numFmt w:val="decimal"/>
      <w:isLgl/>
      <w:lvlText w:val="%1.%2.%3.%4.%5.%6.%7."/>
      <w:lvlJc w:val="left"/>
      <w:pPr>
        <w:ind w:left="3240" w:hanging="1800"/>
      </w:pPr>
    </w:lvl>
    <w:lvl w:ilvl="7">
      <w:start w:val="1"/>
      <w:numFmt w:val="decimal"/>
      <w:isLgl/>
      <w:lvlText w:val="%1.%2.%3.%4.%5.%6.%7.%8."/>
      <w:lvlJc w:val="left"/>
      <w:pPr>
        <w:ind w:left="3240" w:hanging="1800"/>
      </w:pPr>
    </w:lvl>
    <w:lvl w:ilvl="8">
      <w:start w:val="1"/>
      <w:numFmt w:val="decimal"/>
      <w:isLgl/>
      <w:lvlText w:val="%1.%2.%3.%4.%5.%6.%7.%8.%9."/>
      <w:lvlJc w:val="left"/>
      <w:pPr>
        <w:ind w:left="3600" w:hanging="2160"/>
      </w:pPr>
    </w:lvl>
  </w:abstractNum>
  <w:num w:numId="1">
    <w:abstractNumId w:val="11"/>
  </w:num>
  <w:num w:numId="2">
    <w:abstractNumId w:val="9"/>
  </w:num>
  <w:num w:numId="3">
    <w:abstractNumId w:val="4"/>
  </w:num>
  <w:num w:numId="4">
    <w:abstractNumId w:val="6"/>
  </w:num>
  <w:num w:numId="5">
    <w:abstractNumId w:val="10"/>
  </w:num>
  <w:num w:numId="6">
    <w:abstractNumId w:val="7"/>
  </w:num>
  <w:num w:numId="7">
    <w:abstractNumId w:val="3"/>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8"/>
  </w:num>
  <w:num w:numId="11">
    <w:abstractNumId w:val="2"/>
  </w:num>
  <w:num w:numId="12">
    <w:abstractNumId w:val="5"/>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D02"/>
    <w:rsid w:val="0005656F"/>
    <w:rsid w:val="0008561E"/>
    <w:rsid w:val="000C4044"/>
    <w:rsid w:val="00106D02"/>
    <w:rsid w:val="00147B0B"/>
    <w:rsid w:val="00154AFB"/>
    <w:rsid w:val="0015646D"/>
    <w:rsid w:val="00161D6C"/>
    <w:rsid w:val="00177B78"/>
    <w:rsid w:val="00191CB0"/>
    <w:rsid w:val="0021459F"/>
    <w:rsid w:val="002209CE"/>
    <w:rsid w:val="00221401"/>
    <w:rsid w:val="0023295A"/>
    <w:rsid w:val="00274D6C"/>
    <w:rsid w:val="00280153"/>
    <w:rsid w:val="002A3921"/>
    <w:rsid w:val="002A4123"/>
    <w:rsid w:val="002D14EF"/>
    <w:rsid w:val="002D2183"/>
    <w:rsid w:val="003341AC"/>
    <w:rsid w:val="00386BE0"/>
    <w:rsid w:val="003964CF"/>
    <w:rsid w:val="003A0847"/>
    <w:rsid w:val="003B0F69"/>
    <w:rsid w:val="003C0152"/>
    <w:rsid w:val="003C3759"/>
    <w:rsid w:val="003D28CC"/>
    <w:rsid w:val="00410919"/>
    <w:rsid w:val="00481000"/>
    <w:rsid w:val="004F2B5D"/>
    <w:rsid w:val="004F4413"/>
    <w:rsid w:val="0050144F"/>
    <w:rsid w:val="00565BD0"/>
    <w:rsid w:val="00567884"/>
    <w:rsid w:val="00616722"/>
    <w:rsid w:val="00636AF9"/>
    <w:rsid w:val="00677437"/>
    <w:rsid w:val="006A3C87"/>
    <w:rsid w:val="006C32CF"/>
    <w:rsid w:val="006D7FFC"/>
    <w:rsid w:val="006E7FB8"/>
    <w:rsid w:val="0074567B"/>
    <w:rsid w:val="00756290"/>
    <w:rsid w:val="00765D83"/>
    <w:rsid w:val="00773E7B"/>
    <w:rsid w:val="007A63E3"/>
    <w:rsid w:val="007C628F"/>
    <w:rsid w:val="00816671"/>
    <w:rsid w:val="00822125"/>
    <w:rsid w:val="0082414C"/>
    <w:rsid w:val="008357B5"/>
    <w:rsid w:val="008665FE"/>
    <w:rsid w:val="008729BD"/>
    <w:rsid w:val="008C7D59"/>
    <w:rsid w:val="0091210C"/>
    <w:rsid w:val="00914861"/>
    <w:rsid w:val="00934BA3"/>
    <w:rsid w:val="00976A9A"/>
    <w:rsid w:val="009F2CD3"/>
    <w:rsid w:val="00A07641"/>
    <w:rsid w:val="00A70D77"/>
    <w:rsid w:val="00A93D8E"/>
    <w:rsid w:val="00AC1A5A"/>
    <w:rsid w:val="00AF2474"/>
    <w:rsid w:val="00B832D0"/>
    <w:rsid w:val="00BB417A"/>
    <w:rsid w:val="00BD4C04"/>
    <w:rsid w:val="00BD6F1F"/>
    <w:rsid w:val="00C128C0"/>
    <w:rsid w:val="00C21C6E"/>
    <w:rsid w:val="00C23759"/>
    <w:rsid w:val="00C45946"/>
    <w:rsid w:val="00C5704C"/>
    <w:rsid w:val="00C61AD5"/>
    <w:rsid w:val="00CA4B69"/>
    <w:rsid w:val="00D71B8C"/>
    <w:rsid w:val="00D9172D"/>
    <w:rsid w:val="00DB5EE0"/>
    <w:rsid w:val="00EA3239"/>
    <w:rsid w:val="00ED1EAE"/>
    <w:rsid w:val="00F25A70"/>
    <w:rsid w:val="00F321FA"/>
    <w:rsid w:val="00F33ED0"/>
    <w:rsid w:val="00F60EDC"/>
    <w:rsid w:val="00F74867"/>
    <w:rsid w:val="00F752CF"/>
    <w:rsid w:val="00F83217"/>
    <w:rsid w:val="00FA374E"/>
    <w:rsid w:val="00FF59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204F"/>
  <w15:docId w15:val="{A3E33A35-75FC-40B5-84A0-75B937B44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F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4D6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4D6C"/>
    <w:rPr>
      <w:rFonts w:ascii="Times New Roman" w:hAnsi="Times New Roman" w:cs="Times New Roman"/>
      <w:sz w:val="18"/>
      <w:szCs w:val="18"/>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74D6C"/>
    <w:pPr>
      <w:ind w:left="720"/>
      <w:contextualSpacing/>
    </w:pPr>
  </w:style>
  <w:style w:type="character" w:styleId="Strong">
    <w:name w:val="Strong"/>
    <w:basedOn w:val="DefaultParagraphFont"/>
    <w:uiPriority w:val="22"/>
    <w:qFormat/>
    <w:rsid w:val="00280153"/>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128C0"/>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3B0F6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99"/>
    <w:qFormat/>
    <w:rsid w:val="003B0F6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914861"/>
    <w:rPr>
      <w:rFonts w:ascii="Times New Roman" w:eastAsia="Times New Roman" w:hAnsi="Times New Roman" w:cs="Times New Roman"/>
      <w:sz w:val="24"/>
      <w:szCs w:val="24"/>
    </w:rPr>
  </w:style>
  <w:style w:type="paragraph" w:customStyle="1" w:styleId="mechtex">
    <w:name w:val="mechtex"/>
    <w:basedOn w:val="Normal"/>
    <w:link w:val="mechtexChar"/>
    <w:uiPriority w:val="99"/>
    <w:rsid w:val="00914861"/>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914861"/>
    <w:rPr>
      <w:rFonts w:ascii="Arial Armenian" w:eastAsia="Times New Roman" w:hAnsi="Arial Armenian" w:cs="Arial Armeni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26596">
      <w:bodyDiv w:val="1"/>
      <w:marLeft w:val="0"/>
      <w:marRight w:val="0"/>
      <w:marTop w:val="0"/>
      <w:marBottom w:val="0"/>
      <w:divBdr>
        <w:top w:val="none" w:sz="0" w:space="0" w:color="auto"/>
        <w:left w:val="none" w:sz="0" w:space="0" w:color="auto"/>
        <w:bottom w:val="none" w:sz="0" w:space="0" w:color="auto"/>
        <w:right w:val="none" w:sz="0" w:space="0" w:color="auto"/>
      </w:divBdr>
    </w:div>
    <w:div w:id="141847400">
      <w:bodyDiv w:val="1"/>
      <w:marLeft w:val="0"/>
      <w:marRight w:val="0"/>
      <w:marTop w:val="0"/>
      <w:marBottom w:val="0"/>
      <w:divBdr>
        <w:top w:val="none" w:sz="0" w:space="0" w:color="auto"/>
        <w:left w:val="none" w:sz="0" w:space="0" w:color="auto"/>
        <w:bottom w:val="none" w:sz="0" w:space="0" w:color="auto"/>
        <w:right w:val="none" w:sz="0" w:space="0" w:color="auto"/>
      </w:divBdr>
    </w:div>
    <w:div w:id="1043755021">
      <w:bodyDiv w:val="1"/>
      <w:marLeft w:val="0"/>
      <w:marRight w:val="0"/>
      <w:marTop w:val="0"/>
      <w:marBottom w:val="0"/>
      <w:divBdr>
        <w:top w:val="none" w:sz="0" w:space="0" w:color="auto"/>
        <w:left w:val="none" w:sz="0" w:space="0" w:color="auto"/>
        <w:bottom w:val="none" w:sz="0" w:space="0" w:color="auto"/>
        <w:right w:val="none" w:sz="0" w:space="0" w:color="auto"/>
      </w:divBdr>
      <w:divsChild>
        <w:div w:id="724068764">
          <w:marLeft w:val="547"/>
          <w:marRight w:val="0"/>
          <w:marTop w:val="0"/>
          <w:marBottom w:val="0"/>
          <w:divBdr>
            <w:top w:val="none" w:sz="0" w:space="0" w:color="auto"/>
            <w:left w:val="none" w:sz="0" w:space="0" w:color="auto"/>
            <w:bottom w:val="none" w:sz="0" w:space="0" w:color="auto"/>
            <w:right w:val="none" w:sz="0" w:space="0" w:color="auto"/>
          </w:divBdr>
        </w:div>
      </w:divsChild>
    </w:div>
    <w:div w:id="1076634696">
      <w:bodyDiv w:val="1"/>
      <w:marLeft w:val="0"/>
      <w:marRight w:val="0"/>
      <w:marTop w:val="0"/>
      <w:marBottom w:val="0"/>
      <w:divBdr>
        <w:top w:val="none" w:sz="0" w:space="0" w:color="auto"/>
        <w:left w:val="none" w:sz="0" w:space="0" w:color="auto"/>
        <w:bottom w:val="none" w:sz="0" w:space="0" w:color="auto"/>
        <w:right w:val="none" w:sz="0" w:space="0" w:color="auto"/>
      </w:divBdr>
    </w:div>
    <w:div w:id="1398671925">
      <w:bodyDiv w:val="1"/>
      <w:marLeft w:val="0"/>
      <w:marRight w:val="0"/>
      <w:marTop w:val="0"/>
      <w:marBottom w:val="0"/>
      <w:divBdr>
        <w:top w:val="none" w:sz="0" w:space="0" w:color="auto"/>
        <w:left w:val="none" w:sz="0" w:space="0" w:color="auto"/>
        <w:bottom w:val="none" w:sz="0" w:space="0" w:color="auto"/>
        <w:right w:val="none" w:sz="0" w:space="0" w:color="auto"/>
      </w:divBdr>
      <w:divsChild>
        <w:div w:id="634718314">
          <w:marLeft w:val="547"/>
          <w:marRight w:val="0"/>
          <w:marTop w:val="0"/>
          <w:marBottom w:val="0"/>
          <w:divBdr>
            <w:top w:val="none" w:sz="0" w:space="0" w:color="auto"/>
            <w:left w:val="none" w:sz="0" w:space="0" w:color="auto"/>
            <w:bottom w:val="none" w:sz="0" w:space="0" w:color="auto"/>
            <w:right w:val="none" w:sz="0" w:space="0" w:color="auto"/>
          </w:divBdr>
        </w:div>
      </w:divsChild>
    </w:div>
    <w:div w:id="1412511267">
      <w:bodyDiv w:val="1"/>
      <w:marLeft w:val="0"/>
      <w:marRight w:val="0"/>
      <w:marTop w:val="0"/>
      <w:marBottom w:val="0"/>
      <w:divBdr>
        <w:top w:val="none" w:sz="0" w:space="0" w:color="auto"/>
        <w:left w:val="none" w:sz="0" w:space="0" w:color="auto"/>
        <w:bottom w:val="none" w:sz="0" w:space="0" w:color="auto"/>
        <w:right w:val="none" w:sz="0" w:space="0" w:color="auto"/>
      </w:divBdr>
    </w:div>
    <w:div w:id="1469664976">
      <w:bodyDiv w:val="1"/>
      <w:marLeft w:val="0"/>
      <w:marRight w:val="0"/>
      <w:marTop w:val="0"/>
      <w:marBottom w:val="0"/>
      <w:divBdr>
        <w:top w:val="none" w:sz="0" w:space="0" w:color="auto"/>
        <w:left w:val="none" w:sz="0" w:space="0" w:color="auto"/>
        <w:bottom w:val="none" w:sz="0" w:space="0" w:color="auto"/>
        <w:right w:val="none" w:sz="0" w:space="0" w:color="auto"/>
      </w:divBdr>
    </w:div>
    <w:div w:id="1520118388">
      <w:bodyDiv w:val="1"/>
      <w:marLeft w:val="0"/>
      <w:marRight w:val="0"/>
      <w:marTop w:val="0"/>
      <w:marBottom w:val="0"/>
      <w:divBdr>
        <w:top w:val="none" w:sz="0" w:space="0" w:color="auto"/>
        <w:left w:val="none" w:sz="0" w:space="0" w:color="auto"/>
        <w:bottom w:val="none" w:sz="0" w:space="0" w:color="auto"/>
        <w:right w:val="none" w:sz="0" w:space="0" w:color="auto"/>
      </w:divBdr>
    </w:div>
    <w:div w:id="1612471476">
      <w:bodyDiv w:val="1"/>
      <w:marLeft w:val="0"/>
      <w:marRight w:val="0"/>
      <w:marTop w:val="0"/>
      <w:marBottom w:val="0"/>
      <w:divBdr>
        <w:top w:val="none" w:sz="0" w:space="0" w:color="auto"/>
        <w:left w:val="none" w:sz="0" w:space="0" w:color="auto"/>
        <w:bottom w:val="none" w:sz="0" w:space="0" w:color="auto"/>
        <w:right w:val="none" w:sz="0" w:space="0" w:color="auto"/>
      </w:divBdr>
    </w:div>
    <w:div w:id="2053378231">
      <w:bodyDiv w:val="1"/>
      <w:marLeft w:val="0"/>
      <w:marRight w:val="0"/>
      <w:marTop w:val="0"/>
      <w:marBottom w:val="0"/>
      <w:divBdr>
        <w:top w:val="none" w:sz="0" w:space="0" w:color="auto"/>
        <w:left w:val="none" w:sz="0" w:space="0" w:color="auto"/>
        <w:bottom w:val="none" w:sz="0" w:space="0" w:color="auto"/>
        <w:right w:val="none" w:sz="0" w:space="0" w:color="auto"/>
      </w:divBdr>
      <w:divsChild>
        <w:div w:id="263733939">
          <w:marLeft w:val="547"/>
          <w:marRight w:val="0"/>
          <w:marTop w:val="0"/>
          <w:marBottom w:val="0"/>
          <w:divBdr>
            <w:top w:val="none" w:sz="0" w:space="0" w:color="auto"/>
            <w:left w:val="none" w:sz="0" w:space="0" w:color="auto"/>
            <w:bottom w:val="none" w:sz="0" w:space="0" w:color="auto"/>
            <w:right w:val="none" w:sz="0" w:space="0" w:color="auto"/>
          </w:divBdr>
        </w:div>
      </w:divsChild>
    </w:div>
    <w:div w:id="209488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B7A89-B730-428F-B00E-D54D383E1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774</Words>
  <Characters>4418</Characters>
  <Application>Microsoft Office Word</Application>
  <DocSecurity>0</DocSecurity>
  <Lines>36</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Norashen3user</dc:creator>
  <cp:keywords>https://mul2-minfin.gov.am/tasks/789252/oneclick/2Himnavorum.docx?token=a662371556b924767751a11822aeaa33</cp:keywords>
  <cp:lastModifiedBy>Ժենյա Նազարյան</cp:lastModifiedBy>
  <cp:revision>5</cp:revision>
  <cp:lastPrinted>2024-01-26T06:02:00Z</cp:lastPrinted>
  <dcterms:created xsi:type="dcterms:W3CDTF">2024-03-22T07:57:00Z</dcterms:created>
  <dcterms:modified xsi:type="dcterms:W3CDTF">2024-04-02T06:49:00Z</dcterms:modified>
</cp:coreProperties>
</file>