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8AFFF" w14:textId="77777777" w:rsidR="00FF5B94" w:rsidRPr="006A7563" w:rsidRDefault="00FF5B94" w:rsidP="002C2B07">
      <w:pPr>
        <w:pStyle w:val="headingtitleStyle"/>
        <w:spacing w:line="360" w:lineRule="auto"/>
        <w:rPr>
          <w:sz w:val="24"/>
          <w:szCs w:val="24"/>
        </w:rPr>
      </w:pPr>
      <w:bookmarkStart w:id="0" w:name="_Toc1"/>
      <w:r w:rsidRPr="006A7563">
        <w:rPr>
          <w:sz w:val="24"/>
          <w:szCs w:val="24"/>
        </w:rPr>
        <w:t>Ամփոփաթերթ</w:t>
      </w:r>
      <w:bookmarkEnd w:id="0"/>
    </w:p>
    <w:p w14:paraId="34E473F9" w14:textId="77777777" w:rsidR="00FF5B94" w:rsidRPr="006A7563" w:rsidRDefault="00FF5B94" w:rsidP="002C2B07">
      <w:pPr>
        <w:pStyle w:val="headingtitleStyle"/>
        <w:spacing w:line="360" w:lineRule="auto"/>
        <w:rPr>
          <w:sz w:val="24"/>
          <w:szCs w:val="24"/>
        </w:rPr>
      </w:pPr>
      <w:bookmarkStart w:id="1" w:name="_Toc2"/>
      <w:r w:rsidRPr="006A7563">
        <w:rPr>
          <w:sz w:val="24"/>
          <w:szCs w:val="24"/>
        </w:rPr>
        <w:t>«Ոստիկանության մասին» օրենքում լրացում կատարելու մասին» օրենքի և հարակից իրավական ակտերի նախագծերի վերաբերյալ</w:t>
      </w:r>
      <w:bookmarkEnd w:id="1"/>
    </w:p>
    <w:p w14:paraId="3B41E2FC" w14:textId="77777777" w:rsidR="00FF5B94" w:rsidRPr="006A7563" w:rsidRDefault="00FF5B94" w:rsidP="002C2B07">
      <w:pPr>
        <w:spacing w:line="360" w:lineRule="auto"/>
        <w:rPr>
          <w:sz w:val="24"/>
          <w:szCs w:val="24"/>
        </w:rPr>
      </w:pPr>
    </w:p>
    <w:p w14:paraId="48EB1C6E" w14:textId="77777777" w:rsidR="00FF5B94" w:rsidRPr="006A7563" w:rsidRDefault="00FF5B94" w:rsidP="002C2B07">
      <w:pPr>
        <w:spacing w:line="360" w:lineRule="auto"/>
        <w:rPr>
          <w:sz w:val="24"/>
          <w:szCs w:val="24"/>
        </w:rPr>
      </w:pPr>
    </w:p>
    <w:tbl>
      <w:tblPr>
        <w:tblW w:w="15893" w:type="dxa"/>
        <w:tblInd w:w="-841" w:type="dxa"/>
        <w:tblCellMar>
          <w:left w:w="10" w:type="dxa"/>
          <w:right w:w="10" w:type="dxa"/>
        </w:tblCellMar>
        <w:tblLook w:val="0000" w:firstRow="0" w:lastRow="0" w:firstColumn="0" w:lastColumn="0" w:noHBand="0" w:noVBand="0"/>
      </w:tblPr>
      <w:tblGrid>
        <w:gridCol w:w="466"/>
        <w:gridCol w:w="2189"/>
        <w:gridCol w:w="6843"/>
        <w:gridCol w:w="3556"/>
        <w:gridCol w:w="2839"/>
      </w:tblGrid>
      <w:tr w:rsidR="00FF5B94" w:rsidRPr="006A7563" w14:paraId="23698BC4" w14:textId="77777777" w:rsidTr="00EC053F">
        <w:tc>
          <w:tcPr>
            <w:tcW w:w="4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7EAE7B5A"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հ/</w:t>
            </w:r>
          </w:p>
          <w:p w14:paraId="06BF3245"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հ</w:t>
            </w:r>
          </w:p>
        </w:tc>
        <w:tc>
          <w:tcPr>
            <w:tcW w:w="218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6FF83D3B"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Առարկության, առաջարկության հեղինակը, ստացման ամսաթիվը</w:t>
            </w:r>
          </w:p>
        </w:tc>
        <w:tc>
          <w:tcPr>
            <w:tcW w:w="6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2151FB2B"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Առարկության, առաջարկության բովանդակությունը</w:t>
            </w:r>
          </w:p>
        </w:tc>
        <w:tc>
          <w:tcPr>
            <w:tcW w:w="355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611D687A"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Եզրակացություն</w:t>
            </w:r>
          </w:p>
        </w:tc>
        <w:tc>
          <w:tcPr>
            <w:tcW w:w="283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403DF194"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Կատարված փոփոխությունը</w:t>
            </w:r>
          </w:p>
        </w:tc>
      </w:tr>
      <w:tr w:rsidR="00FF5B94" w:rsidRPr="006A7563" w14:paraId="66D6E928" w14:textId="77777777" w:rsidTr="00EC053F">
        <w:tc>
          <w:tcPr>
            <w:tcW w:w="466" w:type="dxa"/>
            <w:tcBorders>
              <w:top w:val="single" w:sz="1" w:space="0" w:color="000000"/>
              <w:left w:val="single" w:sz="1" w:space="0" w:color="000000"/>
              <w:bottom w:val="single" w:sz="1" w:space="0" w:color="000000"/>
              <w:right w:val="single" w:sz="1" w:space="0" w:color="000000"/>
            </w:tcBorders>
            <w:vAlign w:val="center"/>
          </w:tcPr>
          <w:p w14:paraId="23239F3E" w14:textId="77777777" w:rsidR="00FF5B94" w:rsidRPr="006A7563" w:rsidRDefault="00FF5B94" w:rsidP="002C2B07">
            <w:pPr>
              <w:spacing w:line="360" w:lineRule="auto"/>
              <w:jc w:val="center"/>
              <w:rPr>
                <w:sz w:val="24"/>
                <w:szCs w:val="24"/>
              </w:rPr>
            </w:pPr>
          </w:p>
        </w:tc>
        <w:tc>
          <w:tcPr>
            <w:tcW w:w="2189" w:type="dxa"/>
            <w:tcBorders>
              <w:top w:val="single" w:sz="1" w:space="0" w:color="000000"/>
              <w:left w:val="single" w:sz="1" w:space="0" w:color="000000"/>
              <w:bottom w:val="single" w:sz="1" w:space="0" w:color="000000"/>
              <w:right w:val="single" w:sz="1" w:space="0" w:color="000000"/>
            </w:tcBorders>
            <w:vAlign w:val="center"/>
          </w:tcPr>
          <w:p w14:paraId="28A0DA7A"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1</w:t>
            </w:r>
          </w:p>
        </w:tc>
        <w:tc>
          <w:tcPr>
            <w:tcW w:w="6843" w:type="dxa"/>
            <w:tcBorders>
              <w:top w:val="single" w:sz="1" w:space="0" w:color="000000"/>
              <w:left w:val="single" w:sz="1" w:space="0" w:color="000000"/>
              <w:bottom w:val="single" w:sz="1" w:space="0" w:color="000000"/>
              <w:right w:val="single" w:sz="1" w:space="0" w:color="000000"/>
            </w:tcBorders>
            <w:vAlign w:val="center"/>
          </w:tcPr>
          <w:p w14:paraId="3DEA42B4"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2</w:t>
            </w:r>
          </w:p>
        </w:tc>
        <w:tc>
          <w:tcPr>
            <w:tcW w:w="3556" w:type="dxa"/>
            <w:tcBorders>
              <w:top w:val="single" w:sz="1" w:space="0" w:color="000000"/>
              <w:left w:val="single" w:sz="1" w:space="0" w:color="000000"/>
              <w:bottom w:val="single" w:sz="1" w:space="0" w:color="000000"/>
              <w:right w:val="single" w:sz="1" w:space="0" w:color="000000"/>
            </w:tcBorders>
            <w:vAlign w:val="center"/>
          </w:tcPr>
          <w:p w14:paraId="5F0DB8B3"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3</w:t>
            </w:r>
          </w:p>
        </w:tc>
        <w:tc>
          <w:tcPr>
            <w:tcW w:w="2839" w:type="dxa"/>
            <w:tcBorders>
              <w:top w:val="single" w:sz="1" w:space="0" w:color="000000"/>
              <w:left w:val="single" w:sz="1" w:space="0" w:color="000000"/>
              <w:bottom w:val="single" w:sz="1" w:space="0" w:color="000000"/>
              <w:right w:val="single" w:sz="1" w:space="0" w:color="000000"/>
            </w:tcBorders>
            <w:vAlign w:val="center"/>
          </w:tcPr>
          <w:p w14:paraId="2C73858B"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4</w:t>
            </w:r>
          </w:p>
        </w:tc>
      </w:tr>
      <w:tr w:rsidR="00FF5B94" w:rsidRPr="006A7563" w14:paraId="3785221D" w14:textId="77777777" w:rsidTr="00EC053F">
        <w:tc>
          <w:tcPr>
            <w:tcW w:w="466" w:type="dxa"/>
            <w:tcBorders>
              <w:top w:val="single" w:sz="1" w:space="0" w:color="000000"/>
              <w:left w:val="single" w:sz="1" w:space="0" w:color="000000"/>
              <w:bottom w:val="single" w:sz="1" w:space="0" w:color="000000"/>
              <w:right w:val="single" w:sz="1" w:space="0" w:color="000000"/>
            </w:tcBorders>
          </w:tcPr>
          <w:p w14:paraId="5DBB7E31"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1</w:t>
            </w:r>
          </w:p>
        </w:tc>
        <w:tc>
          <w:tcPr>
            <w:tcW w:w="2189" w:type="dxa"/>
            <w:tcBorders>
              <w:top w:val="single" w:sz="1" w:space="0" w:color="000000"/>
              <w:left w:val="single" w:sz="1" w:space="0" w:color="000000"/>
              <w:bottom w:val="single" w:sz="1" w:space="0" w:color="000000"/>
              <w:right w:val="single" w:sz="1" w:space="0" w:color="000000"/>
            </w:tcBorders>
          </w:tcPr>
          <w:p w14:paraId="7CE515C2" w14:textId="77777777" w:rsidR="00FF5B94" w:rsidRPr="006A7563" w:rsidRDefault="00FF5B94" w:rsidP="002C2B07">
            <w:pPr>
              <w:spacing w:line="360" w:lineRule="auto"/>
              <w:rPr>
                <w:sz w:val="24"/>
                <w:szCs w:val="24"/>
              </w:rPr>
            </w:pPr>
            <w:r w:rsidRPr="006A7563">
              <w:rPr>
                <w:rFonts w:ascii="GHEA Grapalat" w:eastAsia="GHEA Grapalat" w:hAnsi="GHEA Grapalat" w:cs="GHEA Grapalat"/>
                <w:color w:val="000000"/>
                <w:sz w:val="24"/>
                <w:szCs w:val="24"/>
              </w:rPr>
              <w:t>«Մուլտի տրանսպորտ» ՍՊԸ</w:t>
            </w:r>
          </w:p>
          <w:p w14:paraId="7B80AC42"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01.12.2022 15:54:28</w:t>
            </w:r>
          </w:p>
        </w:tc>
        <w:tc>
          <w:tcPr>
            <w:tcW w:w="6843" w:type="dxa"/>
            <w:tcBorders>
              <w:top w:val="single" w:sz="1" w:space="0" w:color="000000"/>
              <w:left w:val="single" w:sz="1" w:space="0" w:color="000000"/>
              <w:bottom w:val="single" w:sz="1" w:space="0" w:color="000000"/>
              <w:right w:val="single" w:sz="1" w:space="0" w:color="000000"/>
            </w:tcBorders>
          </w:tcPr>
          <w:p w14:paraId="125D58B0" w14:textId="77777777" w:rsidR="00FF5B94" w:rsidRPr="006A7563" w:rsidRDefault="00FF5B94" w:rsidP="002C2B07">
            <w:pPr>
              <w:spacing w:line="360" w:lineRule="auto"/>
              <w:ind w:left="170" w:right="135" w:firstLine="283"/>
              <w:jc w:val="both"/>
              <w:rPr>
                <w:sz w:val="24"/>
                <w:szCs w:val="24"/>
              </w:rPr>
            </w:pPr>
            <w:r w:rsidRPr="006A7563">
              <w:rPr>
                <w:rFonts w:ascii="GHEA Grapalat" w:eastAsia="GHEA Grapalat" w:hAnsi="GHEA Grapalat" w:cs="GHEA Grapalat"/>
                <w:color w:val="000000"/>
                <w:sz w:val="24"/>
                <w:szCs w:val="24"/>
              </w:rPr>
              <w:t xml:space="preserve">«Ավտոմոբիլային տրանսպորտի մասին օրենքում լրացում կատարելու մասին» Օրենքի նախագծի 2-րդ հոդվածի համաձայն՝ մինչև սույն օրենքի ուժի մեջ մտնելը լիցենզիաներ ստացած իրավաբանական անձինք պարտավոր են սույն օրենքի ուժի մեջ մտնելուց հետո մեկ տարվա ընթացքում իրականացնել ավտոբուսների կամ միկրոավտոբուսների ուղեսրահների տեսահսկման համակարգերով ապահովելու պահանջը:       Սկսենք նրանից, որ կանոնավոր ուղևորափոխադրումների </w:t>
            </w:r>
            <w:r w:rsidRPr="006A7563">
              <w:rPr>
                <w:rFonts w:ascii="GHEA Grapalat" w:eastAsia="GHEA Grapalat" w:hAnsi="GHEA Grapalat" w:cs="GHEA Grapalat"/>
                <w:color w:val="000000"/>
                <w:sz w:val="24"/>
                <w:szCs w:val="24"/>
              </w:rPr>
              <w:lastRenderedPageBreak/>
              <w:t xml:space="preserve">գործունեությունը լիցենզավորման ենթակա չէ, հետևաբար պետք է փոխել ձևակեպումը՝ ավելացնելով նաև անհատ ձեռնարկատերերին, այնուամենայնիվ անհասկանալի է ինչու պիտի կանոնավոր ուղևարափոխադրումներ իրականացնողները տնտեսվարողները իրականացնեն տեսահսկման համակարգերի ապահովման պահանջը՝ հավելյալ տրանսպորտային միջոցներում ապահովելով նաև որակյալ ինտերնետ կապ ունենալու պահանջը: Ենթադրում ենք, որ ամենն արվելու է փոխադրող ընկերությունների ֆինանսական միջոցների հաշվին:      Ողջունելով Հայաստանի Հանրապետությունում օպերատիվ իրավիճակի կայունացման, հանցագործությունների կանխարգելմամն, ՀՀ տարածքում կատարվող իրավախախտումներին արագ արձագանքման, հանցագործությունների և վարչական իրավախախտումների հայտնաբերմամն միջոցառումների իրականացմանն ուղղված սույն առաջարկները, կարծում ենք, որ տեսահսկման համակարգերի, ինտերնետ կապի ապահովման և ընդհանապես համակարգի անխափան աշխատանքի գլխավոր շահառուն Հայաստանի Հանրապետությունն է, հետևաբար բոլոր պահանջները </w:t>
            </w:r>
            <w:r w:rsidRPr="006A7563">
              <w:rPr>
                <w:rFonts w:ascii="GHEA Grapalat" w:eastAsia="GHEA Grapalat" w:hAnsi="GHEA Grapalat" w:cs="GHEA Grapalat"/>
                <w:color w:val="000000"/>
                <w:sz w:val="24"/>
                <w:szCs w:val="24"/>
              </w:rPr>
              <w:lastRenderedPageBreak/>
              <w:t>պետք է կատարվեն պետական բյուջեի հաշվին:       Մենք պատրաստ ենք տրամադրել մեր տրանսպորտային միջոցները և ապահովել ադ սարքերի անխափան աշխատանքը;       Հետևաբար առաջարկում ենք նախագծի 2-րդ հոդվածի պահաջը վերանայել:      Միաժամանկ պարզ չէ, ինչու միայն կանոնավոր ուղևորափոխադրումներում ներգրավված տրանսպորտային միջոցներում պետք է կատարվի տեսանկարահանում: Առաջարկում ենք պահանջը տարածել նաև ոչ կանոնավոր և մարդատար տաքսի ավտոմոբիլներով ուղևորափոխադրումներում ներգրավված տրանսպորտային միջոցների վրա:    Նման եղանակով հնարավոր կլինի բացահայտել նաև ապօրինի ուղևորափոխադրումներ իրականացնողներին, ինչը միանշանակ դրական ազդեցություն կարող է ունենալ հանցագործությունների և վարչական իրավախախտումների հայտնաբերման արդյունավետությունը բարձրացնելու համար:</w:t>
            </w:r>
          </w:p>
        </w:tc>
        <w:tc>
          <w:tcPr>
            <w:tcW w:w="3556" w:type="dxa"/>
            <w:tcBorders>
              <w:top w:val="single" w:sz="1" w:space="0" w:color="000000"/>
              <w:left w:val="single" w:sz="1" w:space="0" w:color="000000"/>
              <w:bottom w:val="single" w:sz="1" w:space="0" w:color="000000"/>
              <w:right w:val="single" w:sz="1" w:space="0" w:color="000000"/>
            </w:tcBorders>
          </w:tcPr>
          <w:p w14:paraId="7C38A93E" w14:textId="24C1AC6E" w:rsidR="00C53413" w:rsidRPr="00C53413" w:rsidRDefault="00C53413" w:rsidP="00C53413">
            <w:pPr>
              <w:spacing w:line="360" w:lineRule="auto"/>
              <w:jc w:val="center"/>
              <w:rPr>
                <w:rFonts w:ascii="GHEA Grapalat" w:hAnsi="GHEA Grapalat"/>
                <w:b/>
                <w:sz w:val="24"/>
                <w:szCs w:val="24"/>
              </w:rPr>
            </w:pPr>
            <w:bookmarkStart w:id="2" w:name="_GoBack"/>
            <w:r w:rsidRPr="00C53413">
              <w:rPr>
                <w:rFonts w:ascii="GHEA Grapalat" w:hAnsi="GHEA Grapalat"/>
                <w:b/>
                <w:sz w:val="24"/>
                <w:szCs w:val="24"/>
              </w:rPr>
              <w:lastRenderedPageBreak/>
              <w:t>Ընդունվել է մասամբ</w:t>
            </w:r>
          </w:p>
          <w:bookmarkEnd w:id="2"/>
          <w:p w14:paraId="22202364" w14:textId="77777777" w:rsidR="00FF5B94" w:rsidRPr="006A7563" w:rsidRDefault="00FF5B94" w:rsidP="002C2B07">
            <w:pPr>
              <w:spacing w:line="360" w:lineRule="auto"/>
              <w:jc w:val="both"/>
              <w:rPr>
                <w:rFonts w:ascii="GHEA Grapalat" w:hAnsi="GHEA Grapalat"/>
                <w:sz w:val="24"/>
                <w:szCs w:val="24"/>
              </w:rPr>
            </w:pPr>
            <w:r w:rsidRPr="006A7563">
              <w:rPr>
                <w:rFonts w:ascii="GHEA Grapalat" w:hAnsi="GHEA Grapalat"/>
                <w:sz w:val="24"/>
                <w:szCs w:val="24"/>
              </w:rPr>
              <w:t xml:space="preserve">Նախագիծը խմբագրվել է, նշված  պահանջը նախատեսվել է միայն </w:t>
            </w:r>
            <w:r w:rsidRPr="006A7563">
              <w:rPr>
                <w:rFonts w:ascii="GHEA Grapalat" w:hAnsi="GHEA Grapalat"/>
                <w:bCs/>
                <w:sz w:val="24"/>
                <w:szCs w:val="24"/>
              </w:rPr>
              <w:t xml:space="preserve">ուղևորների կանոնավոր ուղևորափոխադրում իրականացնող այն ավտոբուսների և </w:t>
            </w:r>
            <w:r w:rsidRPr="006A7563">
              <w:rPr>
                <w:rFonts w:ascii="GHEA Grapalat" w:hAnsi="GHEA Grapalat"/>
                <w:bCs/>
                <w:sz w:val="24"/>
                <w:szCs w:val="24"/>
              </w:rPr>
              <w:lastRenderedPageBreak/>
              <w:t xml:space="preserve">միկրոավտոբուսների համար, որոնցում </w:t>
            </w:r>
            <w:r w:rsidRPr="006A7563">
              <w:rPr>
                <w:rFonts w:ascii="GHEA Grapalat" w:hAnsi="GHEA Grapalat"/>
                <w:sz w:val="24"/>
                <w:szCs w:val="24"/>
                <w:lang w:val="hy-AM"/>
              </w:rPr>
              <w:t>տեսահսկման սարքերով կահավորումը  նախատեսված է տվյալ տրանսպորտային միջոցի գործարանային տեխնիկական բնութագրով</w:t>
            </w:r>
            <w:r w:rsidRPr="006A7563">
              <w:rPr>
                <w:rFonts w:ascii="GHEA Grapalat" w:hAnsi="GHEA Grapalat"/>
                <w:sz w:val="24"/>
                <w:szCs w:val="24"/>
              </w:rPr>
              <w:t>:</w:t>
            </w:r>
          </w:p>
        </w:tc>
        <w:tc>
          <w:tcPr>
            <w:tcW w:w="2839" w:type="dxa"/>
            <w:tcBorders>
              <w:top w:val="single" w:sz="1" w:space="0" w:color="000000"/>
              <w:left w:val="single" w:sz="1" w:space="0" w:color="000000"/>
              <w:bottom w:val="single" w:sz="1" w:space="0" w:color="000000"/>
              <w:right w:val="single" w:sz="1" w:space="0" w:color="000000"/>
            </w:tcBorders>
          </w:tcPr>
          <w:p w14:paraId="45FA89CC" w14:textId="77777777" w:rsidR="00FF5B94" w:rsidRPr="006A7563" w:rsidRDefault="00FF5B94" w:rsidP="002C2B07">
            <w:pPr>
              <w:spacing w:line="360" w:lineRule="auto"/>
              <w:jc w:val="center"/>
              <w:rPr>
                <w:sz w:val="24"/>
                <w:szCs w:val="24"/>
              </w:rPr>
            </w:pPr>
          </w:p>
        </w:tc>
      </w:tr>
    </w:tbl>
    <w:p w14:paraId="097A858F" w14:textId="77777777" w:rsidR="00FF5B94" w:rsidRPr="006A7563" w:rsidRDefault="00FF5B94" w:rsidP="002C2B07">
      <w:pPr>
        <w:spacing w:line="360" w:lineRule="auto"/>
        <w:rPr>
          <w:sz w:val="24"/>
          <w:szCs w:val="24"/>
        </w:rPr>
      </w:pPr>
    </w:p>
    <w:p w14:paraId="691592F0" w14:textId="77777777" w:rsidR="008F695D" w:rsidRPr="006A7563" w:rsidRDefault="008F695D" w:rsidP="002C2B07">
      <w:pPr>
        <w:spacing w:line="360" w:lineRule="auto"/>
        <w:rPr>
          <w:sz w:val="24"/>
          <w:szCs w:val="24"/>
        </w:rPr>
      </w:pPr>
    </w:p>
    <w:sectPr w:rsidR="008F695D" w:rsidRPr="006A7563" w:rsidSect="003D42EB">
      <w:pgSz w:w="16837" w:h="11905" w:orient="landscape"/>
      <w:pgMar w:top="709"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B0A"/>
    <w:rsid w:val="002C2B07"/>
    <w:rsid w:val="006A7563"/>
    <w:rsid w:val="008F695D"/>
    <w:rsid w:val="00B11B0A"/>
    <w:rsid w:val="00C53413"/>
    <w:rsid w:val="00FF5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5E4BFA-1812-4797-803E-8073BC01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F5B94"/>
    <w:rPr>
      <w:rFonts w:ascii="Arial" w:eastAsia="Arial" w:hAnsi="Arial" w:cs="Arial"/>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titleStyle">
    <w:name w:val="heading titleStyle"/>
    <w:basedOn w:val="a"/>
    <w:rsid w:val="00FF5B94"/>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290</Words>
  <Characters>2338</Characters>
  <Application>Microsoft Office Word</Application>
  <DocSecurity>0</DocSecurity>
  <Lines>90</Lines>
  <Paragraphs>18</Paragraphs>
  <ScaleCrop>false</ScaleCrop>
  <Company/>
  <LinksUpToDate>false</LinksUpToDate>
  <CharactersWithSpaces>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https://mul2-mia.gov.am/tasks/2572587/oneclick/Ampopatert hq2.docx?token=2b11bd7cc135f465b25e7c6aaa992b8f</cp:keywords>
  <dc:description/>
  <cp:lastModifiedBy>M.Muradyan</cp:lastModifiedBy>
  <cp:revision>7</cp:revision>
  <dcterms:created xsi:type="dcterms:W3CDTF">2023-11-10T13:10:00Z</dcterms:created>
  <dcterms:modified xsi:type="dcterms:W3CDTF">2024-03-05T10:32:00Z</dcterms:modified>
</cp:coreProperties>
</file>