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914" w:rsidRDefault="00C0491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14" w:rsidRDefault="00C04914" w:rsidP="00206B53">
      <w:pPr>
        <w:jc w:val="center"/>
      </w:pPr>
    </w:p>
    <w:p w:rsidR="00C04914" w:rsidRDefault="00C0491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04914" w:rsidRDefault="00C04914" w:rsidP="00206B53">
      <w:pPr>
        <w:pStyle w:val="mechtex"/>
        <w:rPr>
          <w:rFonts w:ascii="GHEA Mariam" w:hAnsi="GHEA Mariam"/>
          <w:b/>
        </w:rPr>
      </w:pPr>
    </w:p>
    <w:p w:rsidR="00C04914" w:rsidRDefault="00C0491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04914" w:rsidRPr="008E1B5A" w:rsidRDefault="00C04914" w:rsidP="00206B53">
      <w:pPr>
        <w:jc w:val="center"/>
        <w:rPr>
          <w:rFonts w:ascii="GHEA Mariam" w:hAnsi="GHEA Mariam"/>
          <w:sz w:val="24"/>
          <w:szCs w:val="24"/>
        </w:rPr>
      </w:pPr>
    </w:p>
    <w:p w:rsidR="00C04914" w:rsidRPr="008E1B5A" w:rsidRDefault="00C04914" w:rsidP="00206B53">
      <w:pPr>
        <w:jc w:val="center"/>
        <w:rPr>
          <w:rFonts w:ascii="GHEA Mariam" w:hAnsi="GHEA Mariam"/>
          <w:sz w:val="24"/>
          <w:szCs w:val="24"/>
        </w:rPr>
      </w:pPr>
    </w:p>
    <w:p w:rsidR="00C04914" w:rsidRPr="008E1B5A" w:rsidRDefault="00C04914" w:rsidP="00206B53">
      <w:pPr>
        <w:jc w:val="center"/>
        <w:rPr>
          <w:rFonts w:ascii="GHEA Mariam" w:hAnsi="GHEA Mariam"/>
          <w:sz w:val="24"/>
          <w:szCs w:val="24"/>
        </w:rPr>
      </w:pPr>
    </w:p>
    <w:p w:rsidR="00C04914" w:rsidRPr="00000A81" w:rsidRDefault="00C04914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C04914" w:rsidRPr="00000A81" w:rsidRDefault="00C04914" w:rsidP="00206B53">
      <w:pPr>
        <w:jc w:val="center"/>
        <w:rPr>
          <w:rFonts w:ascii="GHEA Mariam" w:hAnsi="GHEA Mariam"/>
          <w:sz w:val="24"/>
          <w:szCs w:val="24"/>
        </w:rPr>
      </w:pPr>
    </w:p>
    <w:p w:rsidR="00C04914" w:rsidRPr="00000A81" w:rsidRDefault="00C04914" w:rsidP="00206B53">
      <w:pPr>
        <w:jc w:val="center"/>
        <w:rPr>
          <w:rFonts w:ascii="GHEA Mariam" w:hAnsi="GHEA Mariam"/>
          <w:sz w:val="24"/>
          <w:szCs w:val="24"/>
        </w:rPr>
      </w:pPr>
    </w:p>
    <w:p w:rsidR="00C04914" w:rsidRPr="008E1B5A" w:rsidRDefault="00C04914" w:rsidP="00206B53">
      <w:pPr>
        <w:jc w:val="center"/>
        <w:rPr>
          <w:rFonts w:ascii="GHEA Mariam" w:hAnsi="GHEA Mariam"/>
          <w:sz w:val="24"/>
          <w:szCs w:val="24"/>
        </w:rPr>
      </w:pPr>
    </w:p>
    <w:p w:rsidR="00C04914" w:rsidRDefault="00C04914" w:rsidP="00C04914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</w:rPr>
      </w:pP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ԵՐԿՐՈՐԴ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ԿԱՄ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ԵՐՐՈՐԴ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ՏԵՍԱԿԻ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ՎԿԱՅԱԿԱՆԻ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ՏՐԱՄԱԴՐՄԱՄԲ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ԼԻԱԶՈՐ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ՎԱԾ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ՏՆՏԵՍԱԿԱՆ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ՕՊԵՐԱՏՈՐՆԵՐԻ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ՌԵԵՍՏՐՈՒՄ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ԸՆԴԳՐԿՎԵԼՈՒՆ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ՀԱ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ՎԱԿՆՈՂ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ԻՐԱՎԱԲԱՆԱԿԱՆ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ԱՆՁԻ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ԿԱՌՈՒՅՑՆԵՐԻ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ՇԻՆՈՒԹՅՈՒՆՆԵՐԻ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(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ՇԻՆՈՒԹՅՈՒՆՆԵՐԻ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ՄԱՍԵՐԻ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)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(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ԿԱՄ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)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ԲԱՑ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ՀՐԱՊԱՐԱԿՆԵՐԻ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(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ԲԱՑ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ՀՐԱՊԱՐԱԿՆԵՐԻ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ՄԱՍԵՐԻ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)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ՏԵՂԱԿԱՅՄԱՆԸ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ՍԱՐՔԱՎՈՐՎԱԾՈՒԹՅԱՆԸ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ՄԱԿԵՐԵՍՆԵՐԻՆ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ՆԵՐԿԱՅԱՑՎՈՂ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ՊԱՀԱՆՋՆԵՐԸ</w:t>
      </w:r>
      <w:r w:rsidRPr="00C0491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ՍԱՀՄԱՆԵԼՈՒ</w:t>
      </w:r>
      <w:r w:rsidRPr="00C04914">
        <w:rPr>
          <w:rFonts w:ascii="Calibri" w:hAnsi="Calibri" w:cs="Calibri"/>
          <w:sz w:val="24"/>
          <w:szCs w:val="24"/>
          <w:shd w:val="clear" w:color="auto" w:fill="FFFFFF"/>
        </w:rPr>
        <w:t> </w:t>
      </w:r>
      <w:r w:rsidRPr="00C04914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C04914" w:rsidRDefault="00C04914" w:rsidP="00C04914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C04914" w:rsidRPr="00C04914" w:rsidRDefault="00C04914" w:rsidP="00C04914">
      <w:pPr>
        <w:pStyle w:val="mechtex"/>
        <w:rPr>
          <w:shd w:val="clear" w:color="auto" w:fill="FFFFFF"/>
          <w:lang w:val="hy-AM"/>
        </w:rPr>
      </w:pPr>
    </w:p>
    <w:p w:rsidR="00C04914" w:rsidRDefault="00C04914" w:rsidP="00C04914">
      <w:pPr>
        <w:pStyle w:val="mechtex"/>
        <w:rPr>
          <w:lang w:eastAsia="hy-AM"/>
        </w:rPr>
      </w:pPr>
    </w:p>
    <w:p w:rsidR="00C04914" w:rsidRPr="00C04914" w:rsidRDefault="00C04914" w:rsidP="00C04914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 xml:space="preserve">«Եվրասիական տնտեսական միության մաքսային օրենսգրքի մասին» 2017 </w:t>
      </w:r>
      <w:r w:rsidRPr="00C04914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>թվականի ապրիլի 11-ի պայմանագրի առաջին հավելվածով հաստատված՝ Եվրասիակա</w:t>
      </w: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 xml:space="preserve">ն </w:t>
      </w:r>
      <w:r w:rsidRPr="00C04914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տնտեսական միության մաքսային օրենսգրքի 433-րդ հոդվածի 6-րդ կետին, «Մաք</w:t>
      </w:r>
      <w:r w:rsidRPr="00C04914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softHyphen/>
      </w: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 xml:space="preserve">սային կարգավորման մասին» օրենքի 338-րդ հոդվածի 6-րդ մասին և </w:t>
      </w:r>
      <w:r w:rsidRPr="00C04914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Եվրասիա</w:t>
      </w:r>
      <w:r w:rsidRPr="00C04914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softHyphen/>
        <w:t>կան տնտեսական հանձնաժողովի կոլեգիայի 2017 թվականի հոկտեմբերի 3-ի N 13</w:t>
      </w: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 xml:space="preserve">1 </w:t>
      </w:r>
      <w:r w:rsidRPr="00C04914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որոշմանը համապատասխան՝ </w:t>
      </w:r>
      <w:r w:rsidRPr="00C04914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C0491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C04914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C0491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C04914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</w:t>
      </w:r>
      <w:r w:rsidRPr="00C04914">
        <w:rPr>
          <w:rFonts w:ascii="GHEA Mariam" w:hAnsi="GHEA Mariam" w:cs="Sylfaen"/>
          <w:sz w:val="24"/>
          <w:szCs w:val="22"/>
          <w:lang w:val="de-DE"/>
        </w:rPr>
        <w:t>նը</w:t>
      </w:r>
      <w:r w:rsidRPr="00C0491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04914">
        <w:rPr>
          <w:rFonts w:ascii="GHEA Mariam" w:hAnsi="GHEA Mariam" w:cs="Sylfaen"/>
          <w:sz w:val="24"/>
          <w:szCs w:val="22"/>
          <w:lang w:val="de-DE"/>
        </w:rPr>
        <w:t>ո</w:t>
      </w:r>
      <w:r w:rsidRPr="00C04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914">
        <w:rPr>
          <w:rFonts w:ascii="GHEA Mariam" w:hAnsi="GHEA Mariam" w:cs="Sylfaen"/>
          <w:sz w:val="24"/>
          <w:szCs w:val="22"/>
          <w:lang w:val="de-DE"/>
        </w:rPr>
        <w:t>ր</w:t>
      </w:r>
      <w:r w:rsidRPr="00C04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914">
        <w:rPr>
          <w:rFonts w:ascii="GHEA Mariam" w:hAnsi="GHEA Mariam" w:cs="Sylfaen"/>
          <w:sz w:val="24"/>
          <w:szCs w:val="22"/>
          <w:lang w:val="de-DE"/>
        </w:rPr>
        <w:t>ո</w:t>
      </w:r>
      <w:r w:rsidRPr="00C04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914">
        <w:rPr>
          <w:rFonts w:ascii="GHEA Mariam" w:hAnsi="GHEA Mariam" w:cs="Sylfaen"/>
          <w:sz w:val="24"/>
          <w:szCs w:val="22"/>
          <w:lang w:val="de-DE"/>
        </w:rPr>
        <w:t>շ</w:t>
      </w:r>
      <w:r w:rsidRPr="00C04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914">
        <w:rPr>
          <w:rFonts w:ascii="GHEA Mariam" w:hAnsi="GHEA Mariam" w:cs="Sylfaen"/>
          <w:sz w:val="24"/>
          <w:szCs w:val="22"/>
          <w:lang w:val="de-DE"/>
        </w:rPr>
        <w:t>ու</w:t>
      </w:r>
      <w:r w:rsidRPr="00C04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914">
        <w:rPr>
          <w:rFonts w:ascii="GHEA Mariam" w:hAnsi="GHEA Mariam" w:cs="Sylfaen"/>
          <w:sz w:val="24"/>
          <w:szCs w:val="22"/>
          <w:lang w:val="de-DE"/>
        </w:rPr>
        <w:t>մ</w:t>
      </w:r>
      <w:r w:rsidRPr="00C0491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04914">
        <w:rPr>
          <w:rFonts w:ascii="GHEA Mariam" w:hAnsi="GHEA Mariam" w:cs="Sylfaen"/>
          <w:sz w:val="24"/>
          <w:szCs w:val="22"/>
          <w:lang w:val="de-DE"/>
        </w:rPr>
        <w:t>է</w:t>
      </w:r>
      <w:r w:rsidRPr="00C0491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04914" w:rsidRPr="00C04914" w:rsidRDefault="00C04914" w:rsidP="00C04914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 xml:space="preserve">Սահմանել երկրորդ կամ երրորդ տեսակի վկայականի տրամադրմամբ լիազորված տնտեսական օպերատորների ռեեստրում ընդգրկվելուն հավակնող իրավաբանական անձի կառույցների, շինությունների (շինությունների մասերի) և (կամ) բաց հրապարակների (բաց հրապարակների մասերի) </w:t>
      </w:r>
      <w:r w:rsidRPr="00C04914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տեղակայմանը, </w:t>
      </w:r>
      <w:r w:rsidRPr="00C04914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>սարքավորվածությանը, մակերեսներին</w:t>
      </w: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 xml:space="preserve"> ներկայացվող պահանջները՝ </w:t>
      </w:r>
      <w:r w:rsidRPr="00C04914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Եվրասիա</w:t>
      </w:r>
      <w:r w:rsidRPr="00C04914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  <w:t>կան տնտեսական հանձնաժողովի կոլեգիայի 2017 թվականի հոկտեմբերի 3-ի N 131</w:t>
      </w: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 xml:space="preserve"> որոշմամբ նախատեսված դեպքերում՝ համաձայն հավելվածի։</w:t>
      </w:r>
    </w:p>
    <w:p w:rsidR="00C04914" w:rsidRPr="00C04914" w:rsidRDefault="00C04914" w:rsidP="00C04914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04914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Սահմանել, որ երկրորդ կամ երրորդ տեսակի վկայականի տրամադրմամբ</w:t>
      </w: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 xml:space="preserve"> լիազորված տնտեսական օպերատորի կողմից ժամանակավոր պահպանման պահեստի տիրապետողի կամ մաքսային պահեստի տիրապետողի գործունեու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>թյուն իրականացնելու դեպքում լիազորված տնտեսական օպերատորի տարածք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>ները պետք է բավարարեն ժամանակավոր պահպանման պահեստի կամ մաք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>սային պահեստի համար մաքսային օրենսդրությամբ սահմանված պահանջներին։</w:t>
      </w:r>
    </w:p>
    <w:p w:rsidR="00C04914" w:rsidRPr="00C04914" w:rsidRDefault="00C04914" w:rsidP="00C04914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 օրվան հաջորդող տասներորդ օր</w:t>
      </w:r>
      <w:r w:rsidR="0040770C">
        <w:rPr>
          <w:rFonts w:ascii="GHEA Mariam" w:hAnsi="GHEA Mariam"/>
          <w:color w:val="000000"/>
          <w:sz w:val="24"/>
          <w:szCs w:val="24"/>
          <w:lang w:eastAsia="hy-AM"/>
        </w:rPr>
        <w:t>ը</w:t>
      </w:r>
      <w:r w:rsidRPr="00C04914">
        <w:rPr>
          <w:rFonts w:ascii="GHEA Mariam" w:hAnsi="GHEA Mariam"/>
          <w:color w:val="000000"/>
          <w:sz w:val="24"/>
          <w:szCs w:val="24"/>
          <w:lang w:eastAsia="hy-AM"/>
        </w:rPr>
        <w:t>:</w:t>
      </w:r>
    </w:p>
    <w:p w:rsidR="001F225D" w:rsidRDefault="001F225D" w:rsidP="00C04914">
      <w:pPr>
        <w:pStyle w:val="mechtex"/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C04914" w:rsidRDefault="00C04914" w:rsidP="00C04914">
      <w:pPr>
        <w:pStyle w:val="mechtex"/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C04914" w:rsidRPr="00C04914" w:rsidRDefault="00C0491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0491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0491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0491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04914" w:rsidRPr="00C04914" w:rsidRDefault="00C0491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04914">
        <w:rPr>
          <w:rFonts w:ascii="GHEA Mariam" w:hAnsi="GHEA Mariam"/>
          <w:sz w:val="24"/>
          <w:szCs w:val="24"/>
          <w:lang w:val="hy-AM"/>
        </w:rPr>
        <w:t xml:space="preserve">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C0491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04914">
        <w:rPr>
          <w:rFonts w:ascii="GHEA Mariam" w:hAnsi="GHEA Mariam" w:cs="Arial Armenian"/>
          <w:sz w:val="24"/>
          <w:szCs w:val="24"/>
          <w:lang w:val="hy-AM"/>
        </w:rPr>
        <w:tab/>
      </w:r>
      <w:r w:rsidRPr="00C04914">
        <w:rPr>
          <w:rFonts w:ascii="GHEA Mariam" w:hAnsi="GHEA Mariam" w:cs="Arial Armenian"/>
          <w:sz w:val="24"/>
          <w:szCs w:val="24"/>
          <w:lang w:val="hy-AM"/>
        </w:rPr>
        <w:tab/>
      </w:r>
      <w:r w:rsidRPr="00C04914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Մ</w:t>
      </w:r>
      <w:r w:rsidRPr="00C04914">
        <w:rPr>
          <w:rFonts w:ascii="GHEA Mariam" w:hAnsi="GHEA Mariam" w:cs="Sylfaen"/>
          <w:sz w:val="24"/>
          <w:szCs w:val="24"/>
          <w:lang w:val="hy-AM"/>
        </w:rPr>
        <w:t>.</w:t>
      </w:r>
      <w:r w:rsidRPr="00C049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C0491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04914" w:rsidRPr="00C04914" w:rsidRDefault="00C0491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F1B81" w:rsidRDefault="00C04914" w:rsidP="00C0491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BF1B81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0491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F1B81" w:rsidRPr="00BF1B81" w:rsidRDefault="00BF1B8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  <w:r w:rsidRPr="00BF1B8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BF1B81" w:rsidRPr="00BF1B81" w:rsidRDefault="00BF1B8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2024</w:t>
      </w:r>
      <w:r w:rsidRPr="00BF1B81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F1B81" w:rsidRPr="00BF1B81" w:rsidRDefault="00BF1B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F1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1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1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1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1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1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F1B81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F1B81">
        <w:rPr>
          <w:rFonts w:ascii="GHEA Mariam" w:hAnsi="GHEA Mariam"/>
          <w:spacing w:val="-2"/>
          <w:sz w:val="24"/>
          <w:szCs w:val="24"/>
          <w:lang w:val="hy-AM"/>
        </w:rPr>
        <w:t xml:space="preserve">     - Ն  որոշման</w:t>
      </w:r>
    </w:p>
    <w:p w:rsidR="00C04914" w:rsidRDefault="00C04914" w:rsidP="00C04914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BF1B81" w:rsidRDefault="00BF1B81" w:rsidP="00C04914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BF1B81" w:rsidRDefault="00BF1B81" w:rsidP="00C04914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BF1B81" w:rsidRPr="00BF1B81" w:rsidRDefault="00BF1B81" w:rsidP="00BF1B81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ԵՐԿՐՈՐԴ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ԵՐՐՈՐԴ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ՏԵՍԱԿԻ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ՎԿԱՅԱԿԱՆԻ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ՏՐԱՄԱԴՐՄԱՄԲ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ԼԻԱԶՈՐ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ՕՊԵՐԱՏՈՐՆԵՐԻ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ՌԵԵՍՏՐՈՒՄ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ԸՆԴԳՐԿՎԵԼՈՒՆ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ՎԱԿՆՈՂ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ԻՐԱՎԱԲԱՆԱԿԱՆ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ԿԱՌՈՒՅՑՆԵՐԻ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ՇԻՆՈՒԹՅՈՒՆՆԵՐԻ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ՇԻՆՈՒԹՅՈՒՆՆԵՐԻ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ՄԱՍԵՐԻ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ՀՐԱՊԱՐԱԿՆԵՐԻ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ՀՐԱՊԱՐԱԿՆԵՐԻ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ՄԱՍԵՐԻ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ՏԵՂԱԿԱՅՄԱՆԸ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ՍԱՐՔԱՎՈՐՎԱԾՈՒԹՅԱՆԸ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ՄԱԿԵՐԵՍՆԵՐԻՆ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ՆԵՐԿԱՅԱՑՎՈՂ</w:t>
      </w:r>
      <w:r w:rsidRPr="00BF1B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1B8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ՊԱՀԱՆՋՆԵՐԸ</w:t>
      </w:r>
    </w:p>
    <w:p w:rsidR="00BF1B81" w:rsidRDefault="00BF1B81" w:rsidP="00BF1B81">
      <w:pPr>
        <w:pStyle w:val="mechtex"/>
        <w:rPr>
          <w:rFonts w:asciiTheme="minorHAnsi" w:hAnsiTheme="minorHAnsi"/>
          <w:b/>
          <w:shd w:val="clear" w:color="auto" w:fill="FFFFFF"/>
          <w:lang w:val="hy-AM"/>
        </w:rPr>
      </w:pPr>
    </w:p>
    <w:p w:rsidR="00BF1B81" w:rsidRPr="00BF1B81" w:rsidRDefault="00BF1B81" w:rsidP="00BF1B81">
      <w:pPr>
        <w:pStyle w:val="mechtex"/>
        <w:rPr>
          <w:rFonts w:asciiTheme="minorHAnsi" w:hAnsiTheme="minorHAnsi"/>
          <w:b/>
          <w:shd w:val="clear" w:color="auto" w:fill="FFFFFF"/>
          <w:lang w:val="hy-AM"/>
        </w:rPr>
      </w:pPr>
    </w:p>
    <w:p w:rsidR="00BF1B81" w:rsidRPr="00BF1B81" w:rsidRDefault="00BF1B81" w:rsidP="00BF1B81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84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BF1B81">
        <w:rPr>
          <w:rFonts w:ascii="GHEA Mariam" w:hAnsi="GHEA Mariam"/>
          <w:color w:val="000000"/>
          <w:sz w:val="24"/>
          <w:szCs w:val="24"/>
          <w:shd w:val="clear" w:color="auto" w:fill="FFFFFF"/>
        </w:rPr>
        <w:t>Լիազորված տնտեսական օպերատորի տարածքներում պետք է առկա լինի</w:t>
      </w:r>
      <w:r w:rsidRPr="00BF1B81">
        <w:rPr>
          <w:rFonts w:ascii="GHEA Mariam" w:hAnsi="GHEA Mariam"/>
          <w:color w:val="000000"/>
          <w:sz w:val="24"/>
          <w:szCs w:val="24"/>
          <w:shd w:val="clear" w:color="auto" w:fill="FFFFFF"/>
          <w:lang w:bidi="hy-AM"/>
        </w:rPr>
        <w:t xml:space="preserve"> տրանսպորտային միջոցների</w:t>
      </w:r>
      <w:r w:rsidRPr="00BF1B8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գծանշված կայանատեղի՝ առնվազն 100 քառ. մետր մակերեսով։ Գծանշումները պետք է նախատեսված լինեն այնպես, որ կայանման վայրերի չափերը համապատասխանեն կայանվող բեռնատար մեքենաների չափերին։</w:t>
      </w:r>
    </w:p>
    <w:p w:rsidR="00BF1B81" w:rsidRPr="00BF1B81" w:rsidRDefault="00BF1B81" w:rsidP="00BF1B81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84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BF1B81">
        <w:rPr>
          <w:rFonts w:ascii="GHEA Mariam" w:hAnsi="GHEA Mariam"/>
          <w:color w:val="000000"/>
          <w:sz w:val="24"/>
          <w:szCs w:val="24"/>
          <w:shd w:val="clear" w:color="auto" w:fill="FFFFFF"/>
        </w:rPr>
        <w:t>Դեպի լիազորված տնտեսական օպերատորի տարածք՝ նախատեսված մերձատար ուղիները պետք է լինեն տեխնիկապես սարքին վիճակում, ինչը պետք է հնարավորություն ընձեռի մաքսային մարմիններին մաքսային հսկողության նպատակով անհրաժեշտ գործառնությունների իրականացման համար։</w:t>
      </w:r>
    </w:p>
    <w:p w:rsidR="00BF1B81" w:rsidRPr="00BF1B81" w:rsidRDefault="00BF1B81" w:rsidP="00BF1B81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84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bidi="hy-AM"/>
        </w:rPr>
      </w:pPr>
      <w:r w:rsidRPr="00BF1B8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Լիազորված տնտեսական օպերատորի տարածքներում տեղակայելու համար նախատեսված ապրանքները </w:t>
      </w:r>
      <w:r w:rsidRPr="00BF1B81">
        <w:rPr>
          <w:rFonts w:ascii="GHEA Mariam" w:hAnsi="GHEA Mariam"/>
          <w:color w:val="000000"/>
          <w:sz w:val="24"/>
          <w:szCs w:val="24"/>
          <w:shd w:val="clear" w:color="auto" w:fill="FFFFFF"/>
          <w:lang w:bidi="hy-AM"/>
        </w:rPr>
        <w:t>կշռելու հնարավորություն ապահովող կշռման սարքավորումները (չափման միջոցները) պետք է ունենան առնվազն 3 տոննա կշռելու հնարավորություն, իսկ ավտոմեքենաները կշռելու հնարավորու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bidi="hy-AM"/>
        </w:rPr>
        <w:softHyphen/>
      </w:r>
      <w:r w:rsidRPr="00BF1B81">
        <w:rPr>
          <w:rFonts w:ascii="GHEA Mariam" w:hAnsi="GHEA Mariam"/>
          <w:color w:val="000000"/>
          <w:sz w:val="24"/>
          <w:szCs w:val="24"/>
          <w:shd w:val="clear" w:color="auto" w:fill="FFFFFF"/>
          <w:lang w:bidi="hy-AM"/>
        </w:rPr>
        <w:t>թյուն ապահովող կշռման սարքավորումները (չափման միջոցները)՝ առնվազն 40 տոննա կշռելու հնարավորություն և պետք է համապատասխանեն «Չափումների միասնականության ապահովման մասին» օրենքով սահմանված պահանջներին։</w:t>
      </w:r>
    </w:p>
    <w:p w:rsidR="00BF1B81" w:rsidRPr="00BF1B81" w:rsidRDefault="00BF1B81" w:rsidP="00BF1B81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84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BF1B81">
        <w:rPr>
          <w:rFonts w:ascii="GHEA Mariam" w:hAnsi="GHEA Mariam"/>
          <w:color w:val="000000"/>
          <w:sz w:val="24"/>
          <w:szCs w:val="24"/>
          <w:shd w:val="clear" w:color="auto" w:fill="FFFFFF"/>
        </w:rPr>
        <w:t>Լիազորված տնտեսական օպերատորի փակ տարածքների ընդհանուր մակերեսը պետք է լինի առնվազն 400 քառ. մետր, ընդ որում</w:t>
      </w:r>
      <w:r w:rsidR="00DC5A94">
        <w:rPr>
          <w:rFonts w:ascii="GHEA Mariam" w:hAnsi="GHEA Mariam"/>
          <w:color w:val="000000"/>
          <w:sz w:val="24"/>
          <w:szCs w:val="24"/>
          <w:shd w:val="clear" w:color="auto" w:fill="FFFFFF"/>
        </w:rPr>
        <w:t>,</w:t>
      </w:r>
      <w:bookmarkStart w:id="0" w:name="_GoBack"/>
      <w:bookmarkEnd w:id="0"/>
      <w:r w:rsidRPr="00BF1B8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ապրանքների </w:t>
      </w:r>
      <w:r w:rsidRPr="00BF1B81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>պահպանության համար նախատեսված պահեստային շինության տարածքը պետք է կազմի փակ տարածքների ընդհանուր մակերեսի առնվազն 60%-ը։</w:t>
      </w:r>
    </w:p>
    <w:p w:rsidR="00BF1B81" w:rsidRDefault="00BF1B81" w:rsidP="00BF1B81">
      <w:pPr>
        <w:pStyle w:val="norm"/>
        <w:spacing w:line="360" w:lineRule="auto"/>
        <w:ind w:firstLine="720"/>
        <w:rPr>
          <w:rFonts w:ascii="GHEA Mariam" w:hAnsi="GHEA Mariam" w:cs="Arial"/>
          <w:lang w:val="hy-AM"/>
        </w:rPr>
      </w:pPr>
    </w:p>
    <w:p w:rsidR="00BF1B81" w:rsidRDefault="00BF1B81" w:rsidP="00BF1B81">
      <w:pPr>
        <w:pStyle w:val="norm"/>
        <w:spacing w:line="360" w:lineRule="auto"/>
        <w:ind w:firstLine="720"/>
        <w:rPr>
          <w:rFonts w:ascii="GHEA Mariam" w:hAnsi="GHEA Mariam" w:cs="Arial"/>
          <w:lang w:val="hy-AM"/>
        </w:rPr>
      </w:pPr>
    </w:p>
    <w:p w:rsidR="00BF1B81" w:rsidRPr="00BF1B81" w:rsidRDefault="00BF1B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F1B8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F1B8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F1B8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F1B81" w:rsidRPr="00BF1B81" w:rsidRDefault="00BF1B81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F1B81">
        <w:rPr>
          <w:rFonts w:ascii="GHEA Mariam" w:hAnsi="GHEA Mariam"/>
          <w:sz w:val="24"/>
          <w:szCs w:val="24"/>
          <w:lang w:val="hy-AM"/>
        </w:rPr>
        <w:t xml:space="preserve">  </w:t>
      </w:r>
      <w:r w:rsidRPr="00BF1B8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BF1B81" w:rsidRPr="00BF1B81" w:rsidRDefault="00BF1B81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F1B81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BF1B8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BF1B81">
        <w:rPr>
          <w:rFonts w:ascii="GHEA Mariam" w:hAnsi="GHEA Mariam" w:cs="Sylfaen"/>
          <w:sz w:val="24"/>
          <w:szCs w:val="24"/>
          <w:lang w:val="hy-AM"/>
        </w:rPr>
        <w:t>.</w:t>
      </w:r>
      <w:r w:rsidRPr="00BF1B8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BF1B8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F1B81" w:rsidRPr="00BF1B81" w:rsidRDefault="00BF1B81" w:rsidP="00BF1B81">
      <w:pPr>
        <w:pStyle w:val="norm"/>
        <w:spacing w:line="360" w:lineRule="auto"/>
        <w:ind w:firstLine="720"/>
        <w:rPr>
          <w:rFonts w:ascii="GHEA Mariam" w:hAnsi="GHEA Mariam" w:cs="Arial"/>
          <w:lang w:val="hy-AM"/>
        </w:rPr>
      </w:pPr>
    </w:p>
    <w:sectPr w:rsidR="00BF1B81" w:rsidRPr="00BF1B8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EAF" w:rsidRDefault="00CD2EAF">
      <w:r>
        <w:separator/>
      </w:r>
    </w:p>
  </w:endnote>
  <w:endnote w:type="continuationSeparator" w:id="0">
    <w:p w:rsidR="00CD2EAF" w:rsidRDefault="00CD2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21E" w:rsidRDefault="00CD2EA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3021E">
      <w:rPr>
        <w:noProof/>
      </w:rPr>
      <w:t>voroshumTK181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EAF" w:rsidRDefault="00CD2EAF">
      <w:r>
        <w:separator/>
      </w:r>
    </w:p>
  </w:footnote>
  <w:footnote w:type="continuationSeparator" w:id="0">
    <w:p w:rsidR="00CD2EAF" w:rsidRDefault="00CD2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5A9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A242504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E44118C"/>
    <w:multiLevelType w:val="hybridMultilevel"/>
    <w:tmpl w:val="B2A63F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E8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21E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70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2E0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1B81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91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2EAF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A9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A86F52"/>
  <w15:chartTrackingRefBased/>
  <w15:docId w15:val="{81ADAC80-7D24-451A-ADA8-5CB835D19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0491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04914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normChar">
    <w:name w:val="norm Char"/>
    <w:link w:val="norm"/>
    <w:rsid w:val="00C0491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0491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0491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561</Words>
  <Characters>3200</Characters>
  <Application>Microsoft Office Word</Application>
  <DocSecurity>0</DocSecurity>
  <Lines>26</Lines>
  <Paragraphs>7</Paragraphs>
  <ScaleCrop>false</ScaleCrop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2024-07-16T06:17:00Z</dcterms:created>
  <dcterms:modified xsi:type="dcterms:W3CDTF">2024-07-16T12:50:00Z</dcterms:modified>
</cp:coreProperties>
</file>