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25E" w:rsidRPr="00692CA4" w:rsidRDefault="00062C92" w:rsidP="00692CA4">
      <w:pPr>
        <w:pStyle w:val="headingtitleStyle"/>
        <w:spacing w:line="240" w:lineRule="auto"/>
        <w:rPr>
          <w:sz w:val="24"/>
          <w:szCs w:val="24"/>
        </w:rPr>
      </w:pPr>
      <w:bookmarkStart w:id="0" w:name="_Toc1"/>
      <w:bookmarkStart w:id="1" w:name="_GoBack"/>
      <w:bookmarkEnd w:id="1"/>
      <w:r w:rsidRPr="00692CA4">
        <w:rPr>
          <w:sz w:val="24"/>
          <w:szCs w:val="24"/>
        </w:rPr>
        <w:t>Ամփոփաթերթ</w:t>
      </w:r>
      <w:bookmarkEnd w:id="0"/>
    </w:p>
    <w:p w:rsidR="008E225E" w:rsidRPr="00692CA4" w:rsidRDefault="00062C92" w:rsidP="00692CA4">
      <w:pPr>
        <w:pStyle w:val="headingtitleStyle"/>
        <w:spacing w:line="240" w:lineRule="auto"/>
        <w:rPr>
          <w:sz w:val="24"/>
          <w:szCs w:val="24"/>
        </w:rPr>
      </w:pPr>
      <w:bookmarkStart w:id="2" w:name="_Toc2"/>
      <w:r w:rsidRPr="00692CA4">
        <w:rPr>
          <w:sz w:val="24"/>
          <w:szCs w:val="24"/>
        </w:rPr>
        <w:t>«ՀԱՅԱՍՏԱՆԻ ՀԱՆՐԱՊԵՏՈՒԹՅԱՆ ՔԱՂԱՔԱՑԻԱԿԱՆ ԴԱՏԱՎԱՐՈՒԹՅԱՆ ՕՐԵՆՍԳՐՔՈՒՄ ՓՈՓՈԽՈՒԹՅՈՒՆՆԵՐ ԵՎ ԼՐԱՑՈՒՄՆԵՐ ԿԱՏԱՐԵԼՈՒ ՄԱՍԻՆ» ԵՎ «ՀԱՅԱՍՏԱՆԻ ՀԱՆՐԱՊԵՏՈՒԹՅԱՆ ՎԱՐՉԱԿԱՆ ԴԱՏԱՎԱՐՈՒԹՅԱՆ ՕՐԵՆՍԳՐՔՈՒՄ ԼՐԱՑՈՒՄՆԵՐ ԵՎ ՓՈՓՈԽՈՒԹՅՈՒՆՆԵՐ ԿԱՏԱՐԵԼՈՒ ՄԱՍԻՆ» ՕՐԵՆՔՆԵՐԻ ՆԱԽԱԳԾԵՐ նախագծի վերաբերյալ</w:t>
      </w:r>
      <w:bookmarkEnd w:id="2"/>
    </w:p>
    <w:p w:rsidR="008E225E" w:rsidRPr="00692CA4" w:rsidRDefault="008E225E" w:rsidP="00692CA4">
      <w:pPr>
        <w:spacing w:line="240" w:lineRule="auto"/>
        <w:jc w:val="center"/>
        <w:rPr>
          <w:rFonts w:ascii="GHEA Grapalat" w:hAnsi="GHEA Grapalat"/>
          <w:sz w:val="24"/>
          <w:szCs w:val="24"/>
        </w:rPr>
      </w:pPr>
    </w:p>
    <w:p w:rsidR="008E225E" w:rsidRPr="00692CA4" w:rsidRDefault="008E225E" w:rsidP="00692CA4">
      <w:pPr>
        <w:spacing w:line="240" w:lineRule="auto"/>
        <w:jc w:val="center"/>
        <w:rPr>
          <w:rFonts w:ascii="GHEA Grapalat" w:hAnsi="GHEA Grapalat"/>
          <w:sz w:val="24"/>
          <w:szCs w:val="24"/>
        </w:rPr>
      </w:pPr>
    </w:p>
    <w:tbl>
      <w:tblPr>
        <w:tblW w:w="0" w:type="auto"/>
        <w:tblInd w:w="10" w:type="dxa"/>
        <w:tblCellMar>
          <w:left w:w="10" w:type="dxa"/>
          <w:right w:w="10" w:type="dxa"/>
        </w:tblCellMar>
        <w:tblLook w:val="04A0" w:firstRow="1" w:lastRow="0" w:firstColumn="1" w:lastColumn="0" w:noHBand="0" w:noVBand="1"/>
      </w:tblPr>
      <w:tblGrid>
        <w:gridCol w:w="406"/>
        <w:gridCol w:w="1889"/>
        <w:gridCol w:w="5430"/>
        <w:gridCol w:w="4409"/>
        <w:gridCol w:w="1811"/>
      </w:tblGrid>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հ/</w:t>
            </w:r>
          </w:p>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հ</w:t>
            </w:r>
          </w:p>
        </w:tc>
        <w:tc>
          <w:tcPr>
            <w:tcW w:w="1889"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Առարկության, առաջարկության հեղինակը, ստացման ամսաթիվը</w:t>
            </w:r>
          </w:p>
        </w:tc>
        <w:tc>
          <w:tcPr>
            <w:tcW w:w="5444"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Առարկության, առաջարկության բովանդակությունը</w:t>
            </w:r>
          </w:p>
        </w:tc>
        <w:tc>
          <w:tcPr>
            <w:tcW w:w="4416"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Եզրակացություն</w:t>
            </w:r>
          </w:p>
        </w:tc>
        <w:tc>
          <w:tcPr>
            <w:tcW w:w="1811"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Կատարված փոփոխությունը</w:t>
            </w:r>
          </w:p>
        </w:tc>
      </w:tr>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vAlign w:val="center"/>
          </w:tcPr>
          <w:p w:rsidR="008E225E" w:rsidRPr="00692CA4" w:rsidRDefault="008E225E" w:rsidP="00692CA4">
            <w:pPr>
              <w:spacing w:line="240" w:lineRule="auto"/>
              <w:jc w:val="both"/>
              <w:rPr>
                <w:rFonts w:ascii="GHEA Grapalat" w:hAnsi="GHEA Grapalat"/>
                <w:sz w:val="24"/>
                <w:szCs w:val="24"/>
              </w:rPr>
            </w:pPr>
          </w:p>
        </w:tc>
        <w:tc>
          <w:tcPr>
            <w:tcW w:w="1889" w:type="dxa"/>
            <w:tcBorders>
              <w:top w:val="single" w:sz="1" w:space="0" w:color="000000"/>
              <w:left w:val="single" w:sz="1" w:space="0" w:color="000000"/>
              <w:bottom w:val="single" w:sz="1" w:space="0" w:color="000000"/>
              <w:right w:val="single" w:sz="1" w:space="0" w:color="000000"/>
            </w:tcBorders>
            <w:vAlign w:val="center"/>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1</w:t>
            </w:r>
          </w:p>
        </w:tc>
        <w:tc>
          <w:tcPr>
            <w:tcW w:w="5444" w:type="dxa"/>
            <w:tcBorders>
              <w:top w:val="single" w:sz="1" w:space="0" w:color="000000"/>
              <w:left w:val="single" w:sz="1" w:space="0" w:color="000000"/>
              <w:bottom w:val="single" w:sz="1" w:space="0" w:color="000000"/>
              <w:right w:val="single" w:sz="1" w:space="0" w:color="000000"/>
            </w:tcBorders>
            <w:vAlign w:val="center"/>
          </w:tcPr>
          <w:p w:rsidR="008E225E" w:rsidRPr="00692CA4" w:rsidRDefault="00062C92" w:rsidP="00692CA4">
            <w:pPr>
              <w:spacing w:line="240" w:lineRule="auto"/>
              <w:ind w:left="-59" w:firstLine="59"/>
              <w:jc w:val="center"/>
              <w:rPr>
                <w:rFonts w:ascii="GHEA Grapalat" w:hAnsi="GHEA Grapalat"/>
                <w:sz w:val="24"/>
                <w:szCs w:val="24"/>
              </w:rPr>
            </w:pPr>
            <w:r w:rsidRPr="00692CA4">
              <w:rPr>
                <w:rFonts w:ascii="GHEA Grapalat" w:eastAsia="GHEA Grapalat" w:hAnsi="GHEA Grapalat" w:cs="GHEA Grapalat"/>
                <w:color w:val="000000"/>
                <w:sz w:val="24"/>
                <w:szCs w:val="24"/>
              </w:rPr>
              <w:t>2</w:t>
            </w:r>
          </w:p>
        </w:tc>
        <w:tc>
          <w:tcPr>
            <w:tcW w:w="4416" w:type="dxa"/>
            <w:tcBorders>
              <w:top w:val="single" w:sz="1" w:space="0" w:color="000000"/>
              <w:left w:val="single" w:sz="1" w:space="0" w:color="000000"/>
              <w:bottom w:val="single" w:sz="1" w:space="0" w:color="000000"/>
              <w:right w:val="single" w:sz="1" w:space="0" w:color="000000"/>
            </w:tcBorders>
            <w:vAlign w:val="center"/>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3</w:t>
            </w:r>
          </w:p>
        </w:tc>
        <w:tc>
          <w:tcPr>
            <w:tcW w:w="1811" w:type="dxa"/>
            <w:tcBorders>
              <w:top w:val="single" w:sz="1" w:space="0" w:color="000000"/>
              <w:left w:val="single" w:sz="1" w:space="0" w:color="000000"/>
              <w:bottom w:val="single" w:sz="1" w:space="0" w:color="000000"/>
              <w:right w:val="single" w:sz="1" w:space="0" w:color="000000"/>
            </w:tcBorders>
            <w:vAlign w:val="center"/>
          </w:tcPr>
          <w:p w:rsidR="008E225E" w:rsidRPr="00692CA4" w:rsidRDefault="00062C92" w:rsidP="00692CA4">
            <w:pPr>
              <w:spacing w:line="240" w:lineRule="auto"/>
              <w:jc w:val="center"/>
              <w:rPr>
                <w:rFonts w:ascii="GHEA Grapalat" w:hAnsi="GHEA Grapalat"/>
                <w:sz w:val="24"/>
                <w:szCs w:val="24"/>
              </w:rPr>
            </w:pPr>
            <w:r w:rsidRPr="00692CA4">
              <w:rPr>
                <w:rFonts w:ascii="GHEA Grapalat" w:eastAsia="GHEA Grapalat" w:hAnsi="GHEA Grapalat" w:cs="GHEA Grapalat"/>
                <w:color w:val="000000"/>
                <w:sz w:val="24"/>
                <w:szCs w:val="24"/>
              </w:rPr>
              <w:t>4</w:t>
            </w:r>
          </w:p>
        </w:tc>
      </w:tr>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w:t>
            </w:r>
          </w:p>
        </w:tc>
        <w:tc>
          <w:tcPr>
            <w:tcW w:w="1889"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Տիգրան Ստեփանյան</w:t>
            </w:r>
          </w:p>
          <w:p w:rsidR="008E225E" w:rsidRPr="00692CA4" w:rsidRDefault="00062C92"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13.04.2024 15:38:19</w:t>
            </w:r>
          </w:p>
        </w:tc>
        <w:tc>
          <w:tcPr>
            <w:tcW w:w="5444" w:type="dxa"/>
            <w:tcBorders>
              <w:top w:val="single" w:sz="1" w:space="0" w:color="000000"/>
              <w:left w:val="single" w:sz="1" w:space="0" w:color="000000"/>
              <w:bottom w:val="single" w:sz="1" w:space="0" w:color="000000"/>
              <w:right w:val="single" w:sz="1" w:space="0" w:color="000000"/>
            </w:tcBorders>
          </w:tcPr>
          <w:p w:rsidR="008E225E" w:rsidRPr="00692CA4" w:rsidRDefault="00062C92"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ՔԴՕ փոփոխություններ և լրացումներ կատարելու մասին նախագծի 6-րդ հոդվածի «Հոդված 155.4. Իրավունքի իրականացման սահմանափակում կիրառելու առանձնահատկությունները» վերաբերյալ դիտողություն</w:t>
            </w:r>
            <w:r w:rsidRPr="00692CA4">
              <w:rPr>
                <w:rFonts w:ascii="Cambria Math" w:eastAsia="GHEA Grapalat" w:hAnsi="Cambria Math" w:cs="Cambria Math"/>
                <w:color w:val="000000"/>
                <w:sz w:val="24"/>
                <w:szCs w:val="24"/>
              </w:rPr>
              <w:t>․</w:t>
            </w:r>
            <w:r w:rsidRPr="00692CA4">
              <w:rPr>
                <w:rFonts w:ascii="GHEA Grapalat" w:eastAsia="GHEA Grapalat" w:hAnsi="GHEA Grapalat" w:cs="GHEA Grapalat"/>
                <w:color w:val="000000"/>
                <w:sz w:val="24"/>
                <w:szCs w:val="24"/>
              </w:rPr>
              <w:t xml:space="preserve"> Ապացույցներ ներկայացնելը, դատավարության մասնակիցներին հարցեր տալը, միջնորդություններ ներկայացնելը և դիրքորոշում ներկայացնելը հանդիսանում են առանցքային դատավարական իրավունքներ, և դրանց սահմանափակումը հանդիսանում է </w:t>
            </w:r>
            <w:r w:rsidRPr="00692CA4">
              <w:rPr>
                <w:rFonts w:ascii="GHEA Grapalat" w:eastAsia="GHEA Grapalat" w:hAnsi="GHEA Grapalat" w:cs="GHEA Grapalat"/>
                <w:color w:val="000000"/>
                <w:sz w:val="24"/>
                <w:szCs w:val="24"/>
              </w:rPr>
              <w:lastRenderedPageBreak/>
              <w:t>կողմերի հավասարության և արդար դատաքննության, իրավունքի ոտնահարում։ Առաջարկում եմ հոդվածի 2-րդ կետից բացառել &lt;&lt;Ապացույցներ ներկայացնել, դատավարության մասնակիցներին հարցեր տալ, միջնորդություններ ներկայացնել և դիրքորոշում ներկայացնել&gt;&gt; բառակապակցությունները։</w:t>
            </w:r>
          </w:p>
        </w:tc>
        <w:tc>
          <w:tcPr>
            <w:tcW w:w="4416" w:type="dxa"/>
            <w:tcBorders>
              <w:top w:val="single" w:sz="1" w:space="0" w:color="000000"/>
              <w:left w:val="single" w:sz="1" w:space="0" w:color="000000"/>
              <w:bottom w:val="single" w:sz="1" w:space="0" w:color="000000"/>
              <w:right w:val="single" w:sz="1" w:space="0" w:color="000000"/>
            </w:tcBorders>
          </w:tcPr>
          <w:p w:rsidR="0034667E" w:rsidRPr="00692CA4" w:rsidRDefault="00403671" w:rsidP="00692CA4">
            <w:pPr>
              <w:spacing w:after="0" w:line="240" w:lineRule="auto"/>
              <w:jc w:val="both"/>
              <w:rPr>
                <w:rFonts w:ascii="GHEA Grapalat" w:hAnsi="GHEA Grapalat"/>
                <w:sz w:val="24"/>
                <w:szCs w:val="24"/>
                <w:lang w:val="hy-AM"/>
              </w:rPr>
            </w:pPr>
            <w:r w:rsidRPr="00692CA4">
              <w:rPr>
                <w:rFonts w:ascii="GHEA Grapalat" w:hAnsi="GHEA Grapalat"/>
                <w:sz w:val="24"/>
                <w:szCs w:val="24"/>
              </w:rPr>
              <w:lastRenderedPageBreak/>
              <w:t xml:space="preserve">Իրավունքի իրականացման սահմանափակում սանկցիայի տեսակի </w:t>
            </w:r>
            <w:r w:rsidR="00A0255F" w:rsidRPr="00692CA4">
              <w:rPr>
                <w:rFonts w:ascii="GHEA Grapalat" w:hAnsi="GHEA Grapalat"/>
                <w:sz w:val="24"/>
                <w:szCs w:val="24"/>
                <w:lang w:val="hy-AM"/>
              </w:rPr>
              <w:t>սահմանման</w:t>
            </w:r>
            <w:r w:rsidRPr="00692CA4">
              <w:rPr>
                <w:rFonts w:ascii="GHEA Grapalat" w:hAnsi="GHEA Grapalat"/>
                <w:sz w:val="24"/>
                <w:szCs w:val="24"/>
              </w:rPr>
              <w:t xml:space="preserve"> նպատակը եղել է դատավարության բնականոն ընթացքն, արդյունավետ և ողջամիտ ժամկետներում գործերի քննության ապահովումը: </w:t>
            </w:r>
            <w:r w:rsidR="0034667E" w:rsidRPr="00692CA4">
              <w:rPr>
                <w:rFonts w:ascii="GHEA Grapalat" w:hAnsi="GHEA Grapalat"/>
                <w:sz w:val="24"/>
                <w:szCs w:val="24"/>
                <w:lang w:val="hy-AM"/>
              </w:rPr>
              <w:t xml:space="preserve">Այս սանկցիայի էությունը կայանում է նրանում, որ երբ դատարանը գտնում է, որ դատավարության մասնակիցն իր դատավարական իրավունքներն </w:t>
            </w:r>
            <w:r w:rsidR="0034667E" w:rsidRPr="00692CA4">
              <w:rPr>
                <w:rFonts w:ascii="GHEA Grapalat" w:hAnsi="GHEA Grapalat"/>
                <w:sz w:val="24"/>
                <w:szCs w:val="24"/>
                <w:lang w:val="hy-AM"/>
              </w:rPr>
              <w:lastRenderedPageBreak/>
              <w:t xml:space="preserve">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rsidR="0034667E" w:rsidRPr="00692CA4" w:rsidRDefault="009757BA"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Թեև ապացույցներ ներկայացնելը,</w:t>
            </w:r>
            <w:r w:rsidR="00403671" w:rsidRPr="00692CA4">
              <w:rPr>
                <w:rFonts w:ascii="GHEA Grapalat" w:eastAsia="GHEA Grapalat" w:hAnsi="GHEA Grapalat" w:cs="GHEA Grapalat"/>
                <w:color w:val="000000"/>
                <w:sz w:val="24"/>
                <w:szCs w:val="24"/>
              </w:rPr>
              <w:t xml:space="preserve"> դատավարության մասնակիցներին հարցեր տալը, միջնորդություններ ներկայացնելը և դիրքորոշում ներկայացնելը</w:t>
            </w:r>
            <w:r w:rsidRPr="00692CA4">
              <w:rPr>
                <w:rFonts w:ascii="GHEA Grapalat" w:eastAsia="GHEA Grapalat" w:hAnsi="GHEA Grapalat" w:cs="GHEA Grapalat"/>
                <w:color w:val="000000"/>
                <w:sz w:val="24"/>
                <w:szCs w:val="24"/>
                <w:lang w:val="hy-AM"/>
              </w:rPr>
              <w:t xml:space="preserve"> կարևոր</w:t>
            </w:r>
            <w:r w:rsidR="009273D0" w:rsidRPr="00692CA4">
              <w:rPr>
                <w:rFonts w:ascii="GHEA Grapalat" w:eastAsia="GHEA Grapalat" w:hAnsi="GHEA Grapalat" w:cs="GHEA Grapalat"/>
                <w:color w:val="000000"/>
                <w:sz w:val="24"/>
                <w:szCs w:val="24"/>
                <w:lang w:val="hy-AM"/>
              </w:rPr>
              <w:t>ագույն</w:t>
            </w:r>
            <w:r w:rsidRPr="00692CA4">
              <w:rPr>
                <w:rFonts w:ascii="GHEA Grapalat" w:eastAsia="GHEA Grapalat" w:hAnsi="GHEA Grapalat" w:cs="GHEA Grapalat"/>
                <w:color w:val="000000"/>
                <w:sz w:val="24"/>
                <w:szCs w:val="24"/>
                <w:lang w:val="hy-AM"/>
              </w:rPr>
              <w:t xml:space="preserve"> դատավարական իրավունքներ են, այնուամենայնիվ դրանք</w:t>
            </w:r>
            <w:r w:rsidR="00403671" w:rsidRPr="00692CA4">
              <w:rPr>
                <w:rFonts w:ascii="GHEA Grapalat" w:hAnsi="GHEA Grapalat"/>
                <w:sz w:val="24"/>
                <w:szCs w:val="24"/>
              </w:rPr>
              <w:t xml:space="preserve"> բացարձակ և սահմանափակման ոչ ենթակա </w:t>
            </w:r>
            <w:r w:rsidR="009273D0" w:rsidRPr="00692CA4">
              <w:rPr>
                <w:rFonts w:ascii="GHEA Grapalat" w:hAnsi="GHEA Grapalat"/>
                <w:sz w:val="24"/>
                <w:szCs w:val="24"/>
                <w:lang w:val="hy-AM"/>
              </w:rPr>
              <w:t>իրավունքների շարքին չեն դասվում</w:t>
            </w:r>
            <w:r w:rsidR="00A0255F" w:rsidRPr="00692CA4">
              <w:rPr>
                <w:rFonts w:ascii="GHEA Grapalat" w:hAnsi="GHEA Grapalat"/>
                <w:sz w:val="24"/>
                <w:szCs w:val="24"/>
                <w:lang w:val="hy-AM"/>
              </w:rPr>
              <w:t xml:space="preserve"> և այդ իրավունքներից չարաշահմամբ օգտվելու դեպքում դատարանները պետք է ունենան այդ գործողություններին պատշաճ արձագանքելու կառուցակարգեր</w:t>
            </w:r>
            <w:r w:rsidR="00403671" w:rsidRPr="00692CA4">
              <w:rPr>
                <w:rFonts w:ascii="GHEA Grapalat" w:hAnsi="GHEA Grapalat"/>
                <w:sz w:val="24"/>
                <w:szCs w:val="24"/>
              </w:rPr>
              <w:t xml:space="preserve">: </w:t>
            </w:r>
            <w:r w:rsidRPr="00692CA4">
              <w:rPr>
                <w:rFonts w:ascii="GHEA Grapalat" w:hAnsi="GHEA Grapalat"/>
                <w:sz w:val="24"/>
                <w:szCs w:val="24"/>
                <w:lang w:val="hy-AM"/>
              </w:rPr>
              <w:t xml:space="preserve">Ուստի, այդ իրավունքների </w:t>
            </w:r>
            <w:r w:rsidRPr="00692CA4">
              <w:rPr>
                <w:rFonts w:ascii="GHEA Grapalat" w:hAnsi="GHEA Grapalat"/>
                <w:sz w:val="24"/>
                <w:szCs w:val="24"/>
                <w:lang w:val="hy-AM"/>
              </w:rPr>
              <w:lastRenderedPageBreak/>
              <w:t>չարաշահումը</w:t>
            </w:r>
            <w:r w:rsidR="00403671" w:rsidRPr="00692CA4">
              <w:rPr>
                <w:rFonts w:ascii="GHEA Grapalat" w:hAnsi="GHEA Grapalat"/>
                <w:sz w:val="24"/>
                <w:szCs w:val="24"/>
              </w:rPr>
              <w:t xml:space="preserve"> կարող է հանգեցնել </w:t>
            </w:r>
            <w:r w:rsidRPr="00692CA4">
              <w:rPr>
                <w:rFonts w:ascii="GHEA Grapalat" w:hAnsi="GHEA Grapalat"/>
                <w:sz w:val="24"/>
                <w:szCs w:val="24"/>
                <w:lang w:val="hy-AM"/>
              </w:rPr>
              <w:t>դատական սանկցիայի կիրառման՝ այդ իրավունքների սահմանափակման եղանակով</w:t>
            </w:r>
            <w:r w:rsidR="0034667E" w:rsidRPr="00692CA4">
              <w:rPr>
                <w:rFonts w:ascii="GHEA Grapalat" w:hAnsi="GHEA Grapalat"/>
                <w:sz w:val="24"/>
                <w:szCs w:val="24"/>
                <w:lang w:val="hy-AM"/>
              </w:rPr>
              <w:t xml:space="preserve">, ինչն ինքնին </w:t>
            </w:r>
            <w:r w:rsidR="0034667E" w:rsidRPr="00692CA4">
              <w:rPr>
                <w:rFonts w:ascii="GHEA Grapalat" w:eastAsia="GHEA Grapalat" w:hAnsi="GHEA Grapalat" w:cs="GHEA Grapalat"/>
                <w:color w:val="000000"/>
                <w:sz w:val="24"/>
                <w:szCs w:val="24"/>
              </w:rPr>
              <w:t>կողմերի հավասարության և արդար դատաքննության</w:t>
            </w:r>
            <w:r w:rsidR="0034667E" w:rsidRPr="00692CA4">
              <w:rPr>
                <w:rFonts w:ascii="GHEA Grapalat" w:eastAsia="GHEA Grapalat" w:hAnsi="GHEA Grapalat" w:cs="GHEA Grapalat"/>
                <w:color w:val="000000"/>
                <w:sz w:val="24"/>
                <w:szCs w:val="24"/>
                <w:lang w:val="hy-AM"/>
              </w:rPr>
              <w:t xml:space="preserve"> սկզբունքների</w:t>
            </w:r>
            <w:r w:rsidR="0034667E" w:rsidRPr="00692CA4">
              <w:rPr>
                <w:rFonts w:ascii="GHEA Grapalat" w:hAnsi="GHEA Grapalat"/>
                <w:sz w:val="24"/>
                <w:szCs w:val="24"/>
                <w:lang w:val="hy-AM"/>
              </w:rPr>
              <w:t xml:space="preserve">  խախտման չի հանգեցնում:</w:t>
            </w:r>
            <w:r w:rsidR="009273D0" w:rsidRPr="00692CA4">
              <w:rPr>
                <w:rFonts w:ascii="GHEA Grapalat" w:hAnsi="GHEA Grapalat"/>
                <w:sz w:val="24"/>
                <w:szCs w:val="24"/>
                <w:lang w:val="hy-AM"/>
              </w:rPr>
              <w:t xml:space="preserve"> Ավելին՝ գործող Քաղաքացիական դատավարության օրենսգիրքը սահմանում է իրավունքի չարաշահմամբ կատարված գործողությունների բացասական հետևանքներ, օրինակ՝ միջնորդության մերժում,  եթե այն ներկայացվել է միջնորդություն ներկայացնելու իրավունքի չարաշահմամբ՝ ակնհայտորեն նպատակ հետապնդելով խափանելու դատական նիստը, ձգձգելու գործի դատական քննությունը:</w:t>
            </w:r>
          </w:p>
        </w:tc>
        <w:tc>
          <w:tcPr>
            <w:tcW w:w="1811" w:type="dxa"/>
            <w:tcBorders>
              <w:top w:val="single" w:sz="1" w:space="0" w:color="000000"/>
              <w:left w:val="single" w:sz="1" w:space="0" w:color="000000"/>
              <w:bottom w:val="single" w:sz="1" w:space="0" w:color="000000"/>
              <w:right w:val="single" w:sz="1" w:space="0" w:color="000000"/>
            </w:tcBorders>
          </w:tcPr>
          <w:p w:rsidR="008E225E" w:rsidRPr="00692CA4" w:rsidRDefault="00403671" w:rsidP="00692CA4">
            <w:pPr>
              <w:spacing w:line="240" w:lineRule="auto"/>
              <w:jc w:val="center"/>
              <w:rPr>
                <w:rFonts w:ascii="GHEA Grapalat" w:hAnsi="GHEA Grapalat"/>
                <w:b/>
                <w:sz w:val="24"/>
                <w:szCs w:val="24"/>
              </w:rPr>
            </w:pPr>
            <w:r w:rsidRPr="00692CA4">
              <w:rPr>
                <w:rFonts w:ascii="GHEA Grapalat" w:hAnsi="GHEA Grapalat"/>
                <w:b/>
                <w:sz w:val="24"/>
                <w:szCs w:val="24"/>
              </w:rPr>
              <w:lastRenderedPageBreak/>
              <w:t>Չի ընդունվել:</w:t>
            </w:r>
          </w:p>
        </w:tc>
      </w:tr>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lastRenderedPageBreak/>
              <w:t>2</w:t>
            </w:r>
          </w:p>
        </w:tc>
        <w:tc>
          <w:tcPr>
            <w:tcW w:w="1889"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Տիգրան Ստեփանյան</w:t>
            </w:r>
          </w:p>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13.04.2024 15:38:09</w:t>
            </w:r>
          </w:p>
        </w:tc>
        <w:tc>
          <w:tcPr>
            <w:tcW w:w="5444"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ՔԴՕ փոփոխություններ և լրացումներ կատարելու մասին նախագծի 6-րդ հոդվածի «Հոդված 155.3. Եզրափակիչ դատական ակտով կամ հայցադիմումի ընդունումը մերժելու մասին որոշմամբ դատական տուգանք կիրառելու առանձնահատկությունները» վերաբերյալ դիտողություն</w:t>
            </w:r>
            <w:r w:rsidRPr="00692CA4">
              <w:rPr>
                <w:rFonts w:ascii="Cambria Math" w:eastAsia="GHEA Grapalat" w:hAnsi="Cambria Math" w:cs="Cambria Math"/>
                <w:color w:val="000000"/>
                <w:sz w:val="24"/>
                <w:szCs w:val="24"/>
              </w:rPr>
              <w:t>․</w:t>
            </w:r>
            <w:r w:rsidRPr="00692CA4">
              <w:rPr>
                <w:rFonts w:ascii="GHEA Grapalat" w:eastAsia="GHEA Grapalat" w:hAnsi="GHEA Grapalat" w:cs="GHEA Grapalat"/>
                <w:color w:val="000000"/>
                <w:sz w:val="24"/>
                <w:szCs w:val="24"/>
              </w:rPr>
              <w:t xml:space="preserve"> Անընդունելի է, ի՞նչ է նշանակում &lt;&lt; հայցադիմումի ընդունումը մերժելու մասին որոշմամբ հաստատվել է իրավունքի չարաշահման փաստը&gt;&gt;։ &lt;&lt;Իրավունքի չարաշահման փաստ&gt;&gt; եզրույթը չի կարող սահմանվել առանց որևէ մեկնաբանման տեղիքի, դա առավելապես սուբյեկտիվ գնահատական է, որը չի կարող օգտագործվել որպես անձի նկատմամբ տուգանքի կիրառման հիմք։ Առաջարկում եմ հոդվածը բացառել։</w:t>
            </w:r>
          </w:p>
        </w:tc>
        <w:tc>
          <w:tcPr>
            <w:tcW w:w="4416" w:type="dxa"/>
            <w:tcBorders>
              <w:top w:val="single" w:sz="1" w:space="0" w:color="000000"/>
              <w:left w:val="single" w:sz="1" w:space="0" w:color="000000"/>
              <w:bottom w:val="single" w:sz="1" w:space="0" w:color="000000"/>
              <w:right w:val="single" w:sz="1" w:space="0" w:color="000000"/>
            </w:tcBorders>
          </w:tcPr>
          <w:p w:rsidR="00692CA4" w:rsidRPr="00692CA4" w:rsidRDefault="00692CA4" w:rsidP="00692CA4">
            <w:pPr>
              <w:keepNext/>
              <w:keepLines/>
              <w:spacing w:line="240" w:lineRule="auto"/>
              <w:jc w:val="both"/>
              <w:outlineLvl w:val="0"/>
              <w:rPr>
                <w:rFonts w:ascii="GHEA Grapalat" w:hAnsi="GHEA Grapalat"/>
                <w:sz w:val="24"/>
                <w:szCs w:val="24"/>
                <w:shd w:val="clear" w:color="auto" w:fill="FFFFFF"/>
                <w:lang w:val="hy-AM"/>
              </w:rPr>
            </w:pPr>
            <w:r w:rsidRPr="00692CA4">
              <w:rPr>
                <w:rFonts w:ascii="GHEA Grapalat" w:hAnsi="GHEA Grapalat"/>
                <w:sz w:val="24"/>
                <w:szCs w:val="24"/>
                <w:lang w:val="hy-AM"/>
              </w:rPr>
              <w:t xml:space="preserve"> </w:t>
            </w:r>
            <w:r w:rsidRPr="00692CA4">
              <w:rPr>
                <w:rFonts w:ascii="GHEA Grapalat" w:hAnsi="GHEA Grapalat"/>
                <w:sz w:val="24"/>
                <w:szCs w:val="24"/>
                <w:shd w:val="clear" w:color="auto" w:fill="FFFFFF"/>
                <w:lang w:val="hy-AM"/>
              </w:rPr>
              <w:t xml:space="preserve">Նախագծերից հանվել են առաջարկվող </w:t>
            </w:r>
            <w:r w:rsidRPr="00692CA4">
              <w:rPr>
                <w:rFonts w:ascii="GHEA Grapalat" w:hAnsi="GHEA Grapalat"/>
                <w:sz w:val="24"/>
                <w:szCs w:val="24"/>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692CA4">
              <w:rPr>
                <w:rFonts w:ascii="GHEA Grapalat" w:hAnsi="GHEA Grapalat"/>
                <w:sz w:val="24"/>
                <w:szCs w:val="24"/>
                <w:shd w:val="clear" w:color="auto" w:fill="FFFFFF"/>
                <w:lang w:val="hy-AM"/>
              </w:rPr>
              <w:t xml:space="preserve"> </w:t>
            </w:r>
          </w:p>
          <w:p w:rsidR="00403671" w:rsidRPr="00692CA4" w:rsidRDefault="00403671" w:rsidP="00692CA4">
            <w:pPr>
              <w:keepNext/>
              <w:keepLines/>
              <w:spacing w:after="0" w:line="240" w:lineRule="auto"/>
              <w:jc w:val="both"/>
              <w:outlineLvl w:val="0"/>
              <w:rPr>
                <w:rFonts w:ascii="GHEA Grapalat" w:hAnsi="GHEA Grapalat"/>
                <w:sz w:val="24"/>
                <w:szCs w:val="24"/>
                <w:lang w:val="hy-AM"/>
              </w:rPr>
            </w:pPr>
          </w:p>
        </w:tc>
        <w:tc>
          <w:tcPr>
            <w:tcW w:w="1811" w:type="dxa"/>
            <w:tcBorders>
              <w:top w:val="single" w:sz="1" w:space="0" w:color="000000"/>
              <w:left w:val="single" w:sz="1" w:space="0" w:color="000000"/>
              <w:bottom w:val="single" w:sz="1" w:space="0" w:color="000000"/>
              <w:right w:val="single" w:sz="1" w:space="0" w:color="000000"/>
            </w:tcBorders>
          </w:tcPr>
          <w:p w:rsidR="00403671" w:rsidRPr="00692CA4" w:rsidRDefault="00692CA4" w:rsidP="00692CA4">
            <w:pPr>
              <w:spacing w:line="240" w:lineRule="auto"/>
              <w:jc w:val="center"/>
              <w:rPr>
                <w:rFonts w:ascii="GHEA Grapalat" w:hAnsi="GHEA Grapalat"/>
                <w:sz w:val="24"/>
                <w:szCs w:val="24"/>
              </w:rPr>
            </w:pPr>
            <w:r w:rsidRPr="00692CA4">
              <w:rPr>
                <w:rFonts w:ascii="GHEA Grapalat" w:hAnsi="GHEA Grapalat"/>
                <w:b/>
                <w:sz w:val="24"/>
                <w:szCs w:val="24"/>
                <w:lang w:val="hy-AM"/>
              </w:rPr>
              <w:t>Ը</w:t>
            </w:r>
            <w:r w:rsidR="00403671" w:rsidRPr="00692CA4">
              <w:rPr>
                <w:rFonts w:ascii="GHEA Grapalat" w:hAnsi="GHEA Grapalat"/>
                <w:b/>
                <w:sz w:val="24"/>
                <w:szCs w:val="24"/>
              </w:rPr>
              <w:t>նդունվել</w:t>
            </w:r>
            <w:r w:rsidRPr="00692CA4">
              <w:rPr>
                <w:rFonts w:ascii="GHEA Grapalat" w:hAnsi="GHEA Grapalat"/>
                <w:b/>
                <w:sz w:val="24"/>
                <w:szCs w:val="24"/>
                <w:lang w:val="hy-AM"/>
              </w:rPr>
              <w:t xml:space="preserve"> է</w:t>
            </w:r>
            <w:r w:rsidR="00403671" w:rsidRPr="00692CA4">
              <w:rPr>
                <w:rFonts w:ascii="GHEA Grapalat" w:hAnsi="GHEA Grapalat"/>
                <w:b/>
                <w:sz w:val="24"/>
                <w:szCs w:val="24"/>
              </w:rPr>
              <w:t>:</w:t>
            </w:r>
          </w:p>
        </w:tc>
      </w:tr>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3</w:t>
            </w:r>
          </w:p>
        </w:tc>
        <w:tc>
          <w:tcPr>
            <w:tcW w:w="1889"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Տիգրան Ստեփանյան</w:t>
            </w:r>
          </w:p>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13.04.2024 15:37:58</w:t>
            </w:r>
          </w:p>
        </w:tc>
        <w:tc>
          <w:tcPr>
            <w:tcW w:w="5444"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ՔԴՕ փոփոխություններ և լրացումներ կատարելու մասին նախագծի 6-րդ հոդվածի «Հոդված 155.1. Դատական նիստից դուրս դատական տուգանք կիրառելու առանձնահատկությունները» վերաբերյալ դիտողություն</w:t>
            </w:r>
            <w:r w:rsidRPr="00692CA4">
              <w:rPr>
                <w:rFonts w:ascii="Cambria Math" w:eastAsia="GHEA Grapalat" w:hAnsi="Cambria Math" w:cs="Cambria Math"/>
                <w:color w:val="000000"/>
                <w:sz w:val="24"/>
                <w:szCs w:val="24"/>
              </w:rPr>
              <w:t>․</w:t>
            </w:r>
            <w:r w:rsidRPr="00692CA4">
              <w:rPr>
                <w:rFonts w:ascii="GHEA Grapalat" w:eastAsia="GHEA Grapalat" w:hAnsi="GHEA Grapalat" w:cs="GHEA Grapalat"/>
                <w:color w:val="000000"/>
                <w:sz w:val="24"/>
                <w:szCs w:val="24"/>
              </w:rPr>
              <w:t xml:space="preserve"> Անհարկի ծանրաբեռնում է դատավարության մասնակցին և լրացուցիչ հնարավորություն է ընձեռում էությամբ անհիմն դատական տուգանք կիրառելու որոշում կայացնելու համար։ Դատական տուգանք կիրառելու վերաբերյալ որոշում կայացնելու մասով պարզաբանման ենթակա հարցերը կարող են և պետք է լուծվեն դատական նիստի ընթացքում։ Առաջարկում եմ հոդվածը բացառել։</w:t>
            </w:r>
          </w:p>
        </w:tc>
        <w:tc>
          <w:tcPr>
            <w:tcW w:w="4416" w:type="dxa"/>
            <w:tcBorders>
              <w:top w:val="single" w:sz="1" w:space="0" w:color="000000"/>
              <w:left w:val="single" w:sz="1" w:space="0" w:color="000000"/>
              <w:bottom w:val="single" w:sz="1" w:space="0" w:color="000000"/>
              <w:right w:val="single" w:sz="1" w:space="0" w:color="000000"/>
            </w:tcBorders>
          </w:tcPr>
          <w:p w:rsidR="005A3941" w:rsidRPr="00692CA4" w:rsidRDefault="005A3941" w:rsidP="00692CA4">
            <w:pPr>
              <w:spacing w:line="240" w:lineRule="auto"/>
              <w:contextualSpacing/>
              <w:jc w:val="both"/>
              <w:rPr>
                <w:rFonts w:ascii="GHEA Grapalat" w:hAnsi="GHEA Grapalat"/>
                <w:sz w:val="24"/>
                <w:szCs w:val="24"/>
              </w:rPr>
            </w:pPr>
            <w:r w:rsidRPr="00692CA4">
              <w:rPr>
                <w:rFonts w:ascii="GHEA Grapalat" w:hAnsi="GHEA Grapalat"/>
                <w:color w:val="000000"/>
                <w:sz w:val="24"/>
                <w:szCs w:val="24"/>
                <w:lang w:val="hy-AM"/>
              </w:rPr>
              <w:t xml:space="preserve">Նախագծերի հիմնավորումներում նշվել է, որ </w:t>
            </w:r>
            <w:r w:rsidRPr="00692CA4">
              <w:rPr>
                <w:rFonts w:ascii="GHEA Grapalat" w:hAnsi="GHEA Grapalat"/>
                <w:sz w:val="24"/>
                <w:szCs w:val="24"/>
                <w:lang w:val="hy-AM"/>
              </w:rPr>
              <w:t>ն</w:t>
            </w:r>
            <w:r w:rsidRPr="00692CA4">
              <w:rPr>
                <w:rFonts w:ascii="GHEA Grapalat" w:hAnsi="GHEA Grapalat"/>
                <w:sz w:val="24"/>
                <w:szCs w:val="24"/>
              </w:rPr>
              <w:t>երկայումս</w:t>
            </w:r>
            <w:r w:rsidRPr="00692CA4">
              <w:rPr>
                <w:rFonts w:ascii="GHEA Grapalat" w:hAnsi="GHEA Grapalat"/>
                <w:sz w:val="24"/>
                <w:szCs w:val="24"/>
                <w:lang w:val="hy-AM"/>
              </w:rPr>
              <w:t xml:space="preserve"> Քաղաքացիական դատավարության</w:t>
            </w:r>
            <w:r w:rsidRPr="00692CA4">
              <w:rPr>
                <w:rFonts w:ascii="GHEA Grapalat" w:hAnsi="GHEA Grapalat"/>
                <w:sz w:val="24"/>
                <w:szCs w:val="24"/>
              </w:rPr>
              <w:t xml:space="preserve"> օրենսգրքերի կարգավորումների համատեքստում անձի նկատմամբ դատական սանկցիայի կիրառումը կապվում է դատական նիստի ընթացքում տեղի ունեցած գործողությունների հետ կամ քննարկվում է առնվազն տուգանքի հարցը քննարկելու համար դատական նիստ նշանակելուց հետո՝ ապահովելով նաև անձի լսված լինելու իրավունքը: Միաժամանակ, օրենսգրքերի կարգավորումների ընդհանուր տրամաբանությունից ստացվում է, որ տուգանքի կիրառումը, բացառությամբ հստակ նախատեսված դեպքերի, </w:t>
            </w:r>
            <w:r w:rsidRPr="00692CA4">
              <w:rPr>
                <w:rFonts w:ascii="GHEA Grapalat" w:hAnsi="GHEA Grapalat"/>
                <w:sz w:val="24"/>
                <w:szCs w:val="24"/>
              </w:rPr>
              <w:lastRenderedPageBreak/>
              <w:t>կապվում է միայն դատական նիստերի ընթացքի հետ՝ ըստ էության սահմանափակելով օրինակ գրավոր ընթացակարգերով գործերի քննության կամ գրավոր եղանակով դատական տուգանքի հարցը լուծելու անհրաժեշտության դեպքում տուգանք դատական սանկցիան կիրառելու հնարավորությունը:</w:t>
            </w:r>
            <w:r w:rsidR="0010154D" w:rsidRPr="00692CA4">
              <w:rPr>
                <w:rFonts w:ascii="GHEA Grapalat" w:hAnsi="GHEA Grapalat"/>
                <w:sz w:val="24"/>
                <w:szCs w:val="24"/>
                <w:lang w:val="hy-AM"/>
              </w:rPr>
              <w:t xml:space="preserve"> </w:t>
            </w:r>
            <w:r w:rsidRPr="00692CA4">
              <w:rPr>
                <w:rFonts w:ascii="GHEA Grapalat" w:hAnsi="GHEA Grapalat"/>
                <w:sz w:val="24"/>
                <w:szCs w:val="24"/>
              </w:rPr>
              <w:t xml:space="preserve">Կարգավորումների նման բնույթն ակնհայտորեն նվազեցնում է դատական տուգանք սանկցիայի կիրառման արդյունավետությունն ու կիրառելիությունը՝ պրակտիկայում խոչընդոտելով դատարաններին առանց դատական նիստի նշանակման կամ դատական նիստից դուրս տեղի ունեցած գործողություններով դատավարության մասնակիցների նկատմամբ տուգանք դատական սանկցիան կիրառելու հնարավորությանը: Նման իրավիճակը պայմանավորված է այն հանգամանքով, որ գործող Քաղաքացիական դատավարության և Վարչական դատավարության օրենսգրքերով նկատողություն, </w:t>
            </w:r>
            <w:r w:rsidRPr="00692CA4">
              <w:rPr>
                <w:rFonts w:ascii="GHEA Grapalat" w:hAnsi="GHEA Grapalat"/>
                <w:sz w:val="24"/>
                <w:szCs w:val="24"/>
              </w:rPr>
              <w:lastRenderedPageBreak/>
              <w:t xml:space="preserve">նիստերի դահլիճից հեռացում և տուգանք դատական սանկցիաների վերաբերյալ կարգավորումներն ընդհանուր են սահմանվում՝ դրանք ըստ էության չտարանջատելով այն դեպքում, երբ նկատողություն սանկցիայի տեսակը՝ հատկապես, իսկ դատական նիստերի դահլիճից հեռացում սանկցիայի տեսակը՝ առավելապես կապված է հենց դատական նիստերում անմիջականորեն տեղի ունեցող դատավարական գործընթացների հետ, իսկ դատական տուգանքի կիրառելիության հարց կարող է բարձրանալ ինչպես դատական նիստերի ընթացքում, այնպես էլ դատական նիստերից դուրս. դատական տուգանք սանկցիայի տեսակը մի շարք առանձնահատկություններ պետք է ունենա սանկցիայի մյուս տեսակների նկատմամբ՝ ապահովելով ոչ միայն կոնկրետ դատական նիստերում կարգը, այլև դատավարության ողջ ընթացքում՝ ինչպես բանավոր, այնպես էլ գրավոր, դատավարության </w:t>
            </w:r>
            <w:r w:rsidRPr="00692CA4">
              <w:rPr>
                <w:rFonts w:ascii="GHEA Grapalat" w:hAnsi="GHEA Grapalat"/>
                <w:sz w:val="24"/>
                <w:szCs w:val="24"/>
              </w:rPr>
              <w:lastRenderedPageBreak/>
              <w:t>մասնակիցների բարեխիղճ, իրավաչափ վարքագիծը: Ընդ որում, առանց դատական նիստի նշանակման դատական տուգանք սանկցիայի տեսակի կիրառման հնարավորությունն օտարերկրյա պրակտիկայում ևս բացառություն չէ:</w:t>
            </w:r>
          </w:p>
          <w:p w:rsidR="00C27E30" w:rsidRPr="00692CA4" w:rsidRDefault="00C301C5" w:rsidP="00692CA4">
            <w:pPr>
              <w:spacing w:line="240" w:lineRule="auto"/>
              <w:contextualSpacing/>
              <w:jc w:val="both"/>
              <w:rPr>
                <w:rFonts w:ascii="GHEA Grapalat" w:hAnsi="GHEA Grapalat"/>
                <w:sz w:val="24"/>
                <w:szCs w:val="24"/>
              </w:rPr>
            </w:pPr>
            <w:r w:rsidRPr="00692CA4">
              <w:rPr>
                <w:rFonts w:ascii="GHEA Grapalat" w:hAnsi="GHEA Grapalat"/>
                <w:color w:val="000000"/>
                <w:sz w:val="24"/>
                <w:szCs w:val="24"/>
                <w:lang w:val="hy-AM"/>
              </w:rPr>
              <w:t>Ը</w:t>
            </w:r>
            <w:r w:rsidR="0010154D" w:rsidRPr="00692CA4">
              <w:rPr>
                <w:rFonts w:ascii="GHEA Grapalat" w:hAnsi="GHEA Grapalat"/>
                <w:color w:val="000000"/>
                <w:sz w:val="24"/>
                <w:szCs w:val="24"/>
                <w:lang w:val="hy-AM"/>
              </w:rPr>
              <w:t xml:space="preserve">նդ որում, հաշվի առնելով, որ </w:t>
            </w:r>
            <w:r w:rsidR="005A3941" w:rsidRPr="00692CA4">
              <w:rPr>
                <w:rFonts w:ascii="GHEA Grapalat" w:hAnsi="GHEA Grapalat"/>
                <w:sz w:val="24"/>
                <w:szCs w:val="24"/>
              </w:rPr>
              <w:t>տուգանքն անձի իրավունքների նկատմամբ գույքային ներգործության եղանակով միջամտության տեսակ է և կարևորելով անձի լսված լինելու իրավունքի ապահովումը՝ դատական նիստից դուրս տուգանքի կիրառման հարցը քննարկելիս առաջարկվ</w:t>
            </w:r>
            <w:r w:rsidR="0010154D" w:rsidRPr="00692CA4">
              <w:rPr>
                <w:rFonts w:ascii="GHEA Grapalat" w:hAnsi="GHEA Grapalat"/>
                <w:sz w:val="24"/>
                <w:szCs w:val="24"/>
                <w:lang w:val="hy-AM"/>
              </w:rPr>
              <w:t>ել</w:t>
            </w:r>
            <w:r w:rsidR="005A3941" w:rsidRPr="00692CA4">
              <w:rPr>
                <w:rFonts w:ascii="GHEA Grapalat" w:hAnsi="GHEA Grapalat"/>
                <w:sz w:val="24"/>
                <w:szCs w:val="24"/>
              </w:rPr>
              <w:t xml:space="preserve"> է սահմանել դատարանի կողմից շահագրգիռ անձին տուգանքի հնարավոր կիրառելիության հիմքում դրված փաստական հանգամանքների մասին գրավոր պարզաբանում ներկայացնելու անհրաժեշտության վերաբերյալ գրավոր ծանուցելու պարտականությունը: Նման կարգավորման միջոցով երկուստեք հնարավոր կլինի ապահովել ինչպես անձի լսված լինելու իրավունքը, այնպես էլ դատարանների կողմից </w:t>
            </w:r>
            <w:r w:rsidR="005A3941" w:rsidRPr="00692CA4">
              <w:rPr>
                <w:rFonts w:ascii="GHEA Grapalat" w:hAnsi="GHEA Grapalat"/>
                <w:sz w:val="24"/>
                <w:szCs w:val="24"/>
              </w:rPr>
              <w:lastRenderedPageBreak/>
              <w:t xml:space="preserve">առանց դատական նիստի նշանակման տուգանքի հարցի քննարկումը և լուծումը: </w:t>
            </w:r>
          </w:p>
          <w:p w:rsidR="00403671" w:rsidRPr="00692CA4" w:rsidRDefault="0010154D" w:rsidP="00692CA4">
            <w:pPr>
              <w:spacing w:line="240" w:lineRule="auto"/>
              <w:contextualSpacing/>
              <w:jc w:val="both"/>
              <w:rPr>
                <w:rFonts w:ascii="GHEA Grapalat" w:hAnsi="GHEA Grapalat"/>
                <w:sz w:val="24"/>
                <w:szCs w:val="24"/>
                <w:lang w:val="hy-AM"/>
              </w:rPr>
            </w:pPr>
            <w:r w:rsidRPr="00692CA4">
              <w:rPr>
                <w:rFonts w:ascii="GHEA Grapalat" w:hAnsi="GHEA Grapalat"/>
                <w:sz w:val="24"/>
                <w:szCs w:val="24"/>
                <w:lang w:val="hy-AM"/>
              </w:rPr>
              <w:t xml:space="preserve">Ընդ որում, </w:t>
            </w:r>
            <w:r w:rsidR="00C301C5" w:rsidRPr="00692CA4">
              <w:rPr>
                <w:rFonts w:ascii="GHEA Grapalat" w:hAnsi="GHEA Grapalat"/>
                <w:sz w:val="24"/>
                <w:szCs w:val="24"/>
                <w:lang w:val="hy-AM"/>
              </w:rPr>
              <w:t>դատական նիստից դուրս՝ լսված լինելու իրավունքի ապահովմամբ դատական տուգանքի հարց քննարկելու հնարավորության սահմանումը</w:t>
            </w:r>
            <w:r w:rsidRPr="00692CA4">
              <w:rPr>
                <w:rFonts w:ascii="GHEA Grapalat" w:hAnsi="GHEA Grapalat"/>
                <w:sz w:val="24"/>
                <w:szCs w:val="24"/>
                <w:lang w:val="hy-AM"/>
              </w:rPr>
              <w:t xml:space="preserve"> չի կարող դիտվել որպես դատավարության մասնակցին ծանրաբեռնող՝ հաշվի առնելով, որ դրա նպատակը իրավունքի չարաշահման կանխարգելումն է, իսկ դատական տուգանքը ոչ բարեխիղճ վարքագծի հետևանք է, </w:t>
            </w:r>
            <w:r w:rsidR="00C301C5" w:rsidRPr="00692CA4">
              <w:rPr>
                <w:rFonts w:ascii="GHEA Grapalat" w:hAnsi="GHEA Grapalat"/>
                <w:sz w:val="24"/>
                <w:szCs w:val="24"/>
                <w:lang w:val="hy-AM"/>
              </w:rPr>
              <w:t>մինչդեռ</w:t>
            </w:r>
            <w:r w:rsidR="00A85146" w:rsidRPr="00692CA4">
              <w:rPr>
                <w:rFonts w:ascii="GHEA Grapalat" w:hAnsi="GHEA Grapalat"/>
                <w:sz w:val="24"/>
                <w:szCs w:val="24"/>
                <w:lang w:val="hy-AM"/>
              </w:rPr>
              <w:t xml:space="preserve"> </w:t>
            </w:r>
            <w:r w:rsidR="00A85146" w:rsidRPr="00692CA4">
              <w:rPr>
                <w:rFonts w:ascii="GHEA Grapalat" w:hAnsi="GHEA Grapalat"/>
                <w:b/>
                <w:sz w:val="24"/>
                <w:szCs w:val="24"/>
                <w:lang w:val="hy-AM"/>
              </w:rPr>
              <w:t xml:space="preserve">ոչ բարեխիղճ վարքագծի հետևանք հանդիսացող դատավարական բացասական ներգործությունը չի կարող </w:t>
            </w:r>
            <w:r w:rsidRPr="00692CA4">
              <w:rPr>
                <w:rFonts w:ascii="GHEA Grapalat" w:hAnsi="GHEA Grapalat"/>
                <w:b/>
                <w:sz w:val="24"/>
                <w:szCs w:val="24"/>
                <w:lang w:val="hy-AM"/>
              </w:rPr>
              <w:t>դատավարության մասնակցին ծանրաբեռն</w:t>
            </w:r>
            <w:r w:rsidR="00C301C5" w:rsidRPr="00692CA4">
              <w:rPr>
                <w:rFonts w:ascii="GHEA Grapalat" w:hAnsi="GHEA Grapalat"/>
                <w:b/>
                <w:sz w:val="24"/>
                <w:szCs w:val="24"/>
                <w:lang w:val="hy-AM"/>
              </w:rPr>
              <w:t>ող համարվել</w:t>
            </w:r>
            <w:r w:rsidR="00A85146" w:rsidRPr="00692CA4">
              <w:rPr>
                <w:rFonts w:ascii="GHEA Grapalat" w:hAnsi="GHEA Grapalat"/>
                <w:b/>
                <w:sz w:val="24"/>
                <w:szCs w:val="24"/>
                <w:lang w:val="hy-AM"/>
              </w:rPr>
              <w:t>.</w:t>
            </w:r>
            <w:r w:rsidR="00A85146" w:rsidRPr="00692CA4">
              <w:rPr>
                <w:rFonts w:ascii="GHEA Grapalat" w:hAnsi="GHEA Grapalat"/>
                <w:sz w:val="24"/>
                <w:szCs w:val="24"/>
                <w:lang w:val="hy-AM"/>
              </w:rPr>
              <w:t xml:space="preserve"> </w:t>
            </w:r>
            <w:r w:rsidR="00C301C5" w:rsidRPr="00692CA4">
              <w:rPr>
                <w:rFonts w:ascii="GHEA Grapalat" w:hAnsi="GHEA Grapalat"/>
                <w:sz w:val="24"/>
                <w:szCs w:val="24"/>
                <w:lang w:val="hy-AM"/>
              </w:rPr>
              <w:t>ա</w:t>
            </w:r>
            <w:r w:rsidR="00A85146" w:rsidRPr="00692CA4">
              <w:rPr>
                <w:rFonts w:ascii="GHEA Grapalat" w:hAnsi="GHEA Grapalat"/>
                <w:sz w:val="24"/>
                <w:szCs w:val="24"/>
                <w:lang w:val="hy-AM"/>
              </w:rPr>
              <w:t>յն ապահովում է դատավարության մասնակցի վարքագծի բարեխղճությունը, դրանով պայմանավորված նաև գործերի արդար, ողջամիտ և այլ սկզբունքներին համապատասխանող քննություն</w:t>
            </w:r>
            <w:r w:rsidR="00C301C5" w:rsidRPr="00692CA4">
              <w:rPr>
                <w:rFonts w:ascii="GHEA Grapalat" w:hAnsi="GHEA Grapalat"/>
                <w:sz w:val="24"/>
                <w:szCs w:val="24"/>
                <w:lang w:val="hy-AM"/>
              </w:rPr>
              <w:t>ը:</w:t>
            </w:r>
          </w:p>
        </w:tc>
        <w:tc>
          <w:tcPr>
            <w:tcW w:w="1811"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center"/>
              <w:rPr>
                <w:rFonts w:ascii="GHEA Grapalat" w:hAnsi="GHEA Grapalat"/>
                <w:b/>
                <w:sz w:val="24"/>
                <w:szCs w:val="24"/>
              </w:rPr>
            </w:pPr>
            <w:r w:rsidRPr="00692CA4">
              <w:rPr>
                <w:rFonts w:ascii="GHEA Grapalat" w:hAnsi="GHEA Grapalat"/>
                <w:b/>
                <w:sz w:val="24"/>
                <w:szCs w:val="24"/>
              </w:rPr>
              <w:lastRenderedPageBreak/>
              <w:t>Չի ընդունվել:</w:t>
            </w:r>
          </w:p>
        </w:tc>
      </w:tr>
      <w:tr w:rsidR="00C332F9" w:rsidRPr="00692CA4" w:rsidTr="004B66F9">
        <w:tc>
          <w:tcPr>
            <w:tcW w:w="407"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lastRenderedPageBreak/>
              <w:t>4</w:t>
            </w:r>
          </w:p>
        </w:tc>
        <w:tc>
          <w:tcPr>
            <w:tcW w:w="1889"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 xml:space="preserve">Տիգրան </w:t>
            </w:r>
            <w:r w:rsidRPr="00692CA4">
              <w:rPr>
                <w:rFonts w:ascii="GHEA Grapalat" w:eastAsia="GHEA Grapalat" w:hAnsi="GHEA Grapalat" w:cs="GHEA Grapalat"/>
                <w:color w:val="000000"/>
                <w:sz w:val="24"/>
                <w:szCs w:val="24"/>
              </w:rPr>
              <w:lastRenderedPageBreak/>
              <w:t>Ստեփանյան</w:t>
            </w:r>
          </w:p>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13.04.2024 15:37:44</w:t>
            </w:r>
          </w:p>
        </w:tc>
        <w:tc>
          <w:tcPr>
            <w:tcW w:w="5444"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lastRenderedPageBreak/>
              <w:t xml:space="preserve">ՔԴՕ փոփոխություններ և լրացումներ կատարելու մասին նախագծի 5-րդ հոդվածի </w:t>
            </w:r>
            <w:r w:rsidRPr="00692CA4">
              <w:rPr>
                <w:rFonts w:ascii="GHEA Grapalat" w:eastAsia="GHEA Grapalat" w:hAnsi="GHEA Grapalat" w:cs="GHEA Grapalat"/>
                <w:color w:val="000000"/>
                <w:sz w:val="24"/>
                <w:szCs w:val="24"/>
              </w:rPr>
              <w:lastRenderedPageBreak/>
              <w:t>վերաբերյալ դիտողություն</w:t>
            </w:r>
            <w:r w:rsidRPr="00692CA4">
              <w:rPr>
                <w:rFonts w:ascii="Cambria Math" w:eastAsia="GHEA Grapalat" w:hAnsi="Cambria Math" w:cs="Cambria Math"/>
                <w:color w:val="000000"/>
                <w:sz w:val="24"/>
                <w:szCs w:val="24"/>
              </w:rPr>
              <w:t>․</w:t>
            </w:r>
            <w:r w:rsidRPr="00692CA4">
              <w:rPr>
                <w:rFonts w:ascii="GHEA Grapalat" w:eastAsia="GHEA Grapalat" w:hAnsi="GHEA Grapalat" w:cs="GHEA Grapalat"/>
                <w:color w:val="000000"/>
                <w:sz w:val="24"/>
                <w:szCs w:val="24"/>
              </w:rPr>
              <w:t xml:space="preserve"> Անթույլատրելի է, դատական տուգանք կիրառելու մասին որոշման կիրառումը այն պայմաններում, երբ այն բողոքարկվել է վերադաս ատյան։ Ենթադրենք տուգանքի որոշումը բողոքարկվում </w:t>
            </w:r>
            <w:proofErr w:type="gramStart"/>
            <w:r w:rsidRPr="00692CA4">
              <w:rPr>
                <w:rFonts w:ascii="GHEA Grapalat" w:eastAsia="GHEA Grapalat" w:hAnsi="GHEA Grapalat" w:cs="GHEA Grapalat"/>
                <w:color w:val="000000"/>
                <w:sz w:val="24"/>
                <w:szCs w:val="24"/>
              </w:rPr>
              <w:t>է,բողոքի</w:t>
            </w:r>
            <w:proofErr w:type="gramEnd"/>
            <w:r w:rsidRPr="00692CA4">
              <w:rPr>
                <w:rFonts w:ascii="GHEA Grapalat" w:eastAsia="GHEA Grapalat" w:hAnsi="GHEA Grapalat" w:cs="GHEA Grapalat"/>
                <w:color w:val="000000"/>
                <w:sz w:val="24"/>
                <w:szCs w:val="24"/>
              </w:rPr>
              <w:t xml:space="preserve"> քննությունը փաստացի տևում է 3 ամիս, որի արդյունքներով որոշումը վերացվում է։ Սակայն փաստացի այդ ժամանակահատվածում այնձը, ում հանդեպ կայացվել էր անհիմն տուգանք, զրկված է լինելու այդ ընթացքում իր գույքը /դրամը/ տիրապետելու և տնօրինելու հնարավորությունից, կրելով գույքանին վնաս /օրինակ՝ չստացված տոկոսային եկամուտ և այլն/։ Առաջարկում եմ դատական տուգանք կիրառելու մասին որոշման ուժի մեջ մտնելու ժամկետը սահմանել բողոքարկման ժամկետի ավարտի ավարտի օրվան հաջորդող օրը։</w:t>
            </w:r>
          </w:p>
        </w:tc>
        <w:tc>
          <w:tcPr>
            <w:tcW w:w="4416" w:type="dxa"/>
            <w:tcBorders>
              <w:top w:val="single" w:sz="1" w:space="0" w:color="000000"/>
              <w:left w:val="single" w:sz="1" w:space="0" w:color="000000"/>
              <w:bottom w:val="single" w:sz="1" w:space="0" w:color="000000"/>
              <w:right w:val="single" w:sz="1" w:space="0" w:color="000000"/>
            </w:tcBorders>
          </w:tcPr>
          <w:p w:rsidR="000D44A9" w:rsidRPr="00692CA4" w:rsidRDefault="00C301C5"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lastRenderedPageBreak/>
              <w:t>Ք</w:t>
            </w:r>
            <w:r w:rsidR="00403671" w:rsidRPr="00692CA4">
              <w:rPr>
                <w:rFonts w:ascii="GHEA Grapalat" w:hAnsi="GHEA Grapalat"/>
                <w:sz w:val="24"/>
                <w:szCs w:val="24"/>
                <w:lang w:val="hy-AM"/>
              </w:rPr>
              <w:t>աղաքացիական դատավարության օրենսգիրքը</w:t>
            </w:r>
            <w:r w:rsidR="009757BA" w:rsidRPr="00692CA4">
              <w:rPr>
                <w:rFonts w:ascii="GHEA Grapalat" w:hAnsi="GHEA Grapalat"/>
                <w:sz w:val="24"/>
                <w:szCs w:val="24"/>
                <w:lang w:val="hy-AM"/>
              </w:rPr>
              <w:t xml:space="preserve"> </w:t>
            </w:r>
            <w:r w:rsidR="00403671" w:rsidRPr="00692CA4">
              <w:rPr>
                <w:rFonts w:ascii="GHEA Grapalat" w:hAnsi="GHEA Grapalat"/>
                <w:sz w:val="24"/>
                <w:szCs w:val="24"/>
                <w:lang w:val="hy-AM"/>
              </w:rPr>
              <w:t xml:space="preserve">դատական ակտերի </w:t>
            </w:r>
            <w:r w:rsidR="00403671" w:rsidRPr="00692CA4">
              <w:rPr>
                <w:rFonts w:ascii="GHEA Grapalat" w:hAnsi="GHEA Grapalat"/>
                <w:sz w:val="24"/>
                <w:szCs w:val="24"/>
                <w:lang w:val="hy-AM"/>
              </w:rPr>
              <w:lastRenderedPageBreak/>
              <w:t xml:space="preserve">տեսակով պայմանավորված առանձնացնում </w:t>
            </w:r>
            <w:r w:rsidR="009757BA" w:rsidRPr="00692CA4">
              <w:rPr>
                <w:rFonts w:ascii="GHEA Grapalat" w:hAnsi="GHEA Grapalat"/>
                <w:sz w:val="24"/>
                <w:szCs w:val="24"/>
                <w:lang w:val="hy-AM"/>
              </w:rPr>
              <w:t>է</w:t>
            </w:r>
            <w:r w:rsidR="00403671" w:rsidRPr="00692CA4">
              <w:rPr>
                <w:rFonts w:ascii="GHEA Grapalat" w:hAnsi="GHEA Grapalat"/>
                <w:sz w:val="24"/>
                <w:szCs w:val="24"/>
                <w:lang w:val="hy-AM"/>
              </w:rPr>
              <w:t xml:space="preserve"> </w:t>
            </w:r>
            <w:r w:rsidR="009757BA" w:rsidRPr="00692CA4">
              <w:rPr>
                <w:rFonts w:ascii="GHEA Grapalat" w:hAnsi="GHEA Grapalat"/>
                <w:sz w:val="24"/>
                <w:szCs w:val="24"/>
                <w:lang w:val="hy-AM"/>
              </w:rPr>
              <w:t>ակտի</w:t>
            </w:r>
            <w:r w:rsidR="00403671" w:rsidRPr="00692CA4">
              <w:rPr>
                <w:rFonts w:ascii="GHEA Grapalat" w:hAnsi="GHEA Grapalat"/>
                <w:sz w:val="24"/>
                <w:szCs w:val="24"/>
                <w:lang w:val="hy-AM"/>
              </w:rPr>
              <w:t xml:space="preserve"> օրինական ուժի մեջ մտնելու </w:t>
            </w:r>
            <w:r w:rsidR="009757BA" w:rsidRPr="00692CA4">
              <w:rPr>
                <w:rFonts w:ascii="GHEA Grapalat" w:hAnsi="GHEA Grapalat"/>
                <w:sz w:val="24"/>
                <w:szCs w:val="24"/>
                <w:lang w:val="hy-AM"/>
              </w:rPr>
              <w:t>պահ</w:t>
            </w:r>
            <w:r w:rsidR="00403671" w:rsidRPr="00692CA4">
              <w:rPr>
                <w:rFonts w:ascii="GHEA Grapalat" w:hAnsi="GHEA Grapalat"/>
                <w:sz w:val="24"/>
                <w:szCs w:val="24"/>
                <w:lang w:val="hy-AM"/>
              </w:rPr>
              <w:t>ը՝ այն կապելով դատական ակտի կայացման</w:t>
            </w:r>
            <w:r w:rsidR="007F40FF" w:rsidRPr="00692CA4">
              <w:rPr>
                <w:rFonts w:ascii="GHEA Grapalat" w:hAnsi="GHEA Grapalat"/>
                <w:sz w:val="24"/>
                <w:szCs w:val="24"/>
                <w:lang w:val="hy-AM"/>
              </w:rPr>
              <w:t xml:space="preserve"> կամ</w:t>
            </w:r>
            <w:r w:rsidR="00403671" w:rsidRPr="00692CA4">
              <w:rPr>
                <w:rFonts w:ascii="GHEA Grapalat" w:hAnsi="GHEA Grapalat"/>
                <w:sz w:val="24"/>
                <w:szCs w:val="24"/>
                <w:lang w:val="hy-AM"/>
              </w:rPr>
              <w:t xml:space="preserve"> հրապարակման հետ:</w:t>
            </w:r>
            <w:r w:rsidRPr="00692CA4">
              <w:rPr>
                <w:rFonts w:ascii="GHEA Grapalat" w:hAnsi="GHEA Grapalat"/>
                <w:sz w:val="24"/>
                <w:szCs w:val="24"/>
                <w:lang w:val="hy-AM"/>
              </w:rPr>
              <w:t xml:space="preserve"> Միաժամանակ, օրենսգիրքը ակտի օրինական ուժի մեջ մտնելու ժամկետից</w:t>
            </w:r>
            <w:r w:rsidR="000D44A9" w:rsidRPr="00692CA4">
              <w:rPr>
                <w:rFonts w:ascii="GHEA Grapalat" w:hAnsi="GHEA Grapalat"/>
                <w:sz w:val="24"/>
                <w:szCs w:val="24"/>
                <w:lang w:val="hy-AM"/>
              </w:rPr>
              <w:t xml:space="preserve"> տարբերակում է</w:t>
            </w:r>
            <w:r w:rsidRPr="00692CA4">
              <w:rPr>
                <w:rFonts w:ascii="GHEA Grapalat" w:hAnsi="GHEA Grapalat"/>
                <w:sz w:val="24"/>
                <w:szCs w:val="24"/>
                <w:lang w:val="hy-AM"/>
              </w:rPr>
              <w:t xml:space="preserve"> դատական ակտի բողոքարկման ժամկետները </w:t>
            </w:r>
            <w:r w:rsidRPr="00692CA4">
              <w:rPr>
                <w:rFonts w:ascii="GHEA Grapalat" w:hAnsi="GHEA Grapalat"/>
                <w:sz w:val="24"/>
                <w:szCs w:val="24"/>
              </w:rPr>
              <w:t>(</w:t>
            </w:r>
            <w:r w:rsidRPr="00692CA4">
              <w:rPr>
                <w:rFonts w:ascii="GHEA Grapalat" w:hAnsi="GHEA Grapalat"/>
                <w:sz w:val="24"/>
                <w:szCs w:val="24"/>
                <w:lang w:val="hy-AM"/>
              </w:rPr>
              <w:t>որոշ դեպքերում այդ ժամկետները համընկնում են, որոշ դեպքերում՝ ոչ</w:t>
            </w:r>
            <w:r w:rsidRPr="00692CA4">
              <w:rPr>
                <w:rFonts w:ascii="GHEA Grapalat" w:hAnsi="GHEA Grapalat"/>
                <w:sz w:val="24"/>
                <w:szCs w:val="24"/>
              </w:rPr>
              <w:t>)</w:t>
            </w:r>
            <w:r w:rsidRPr="00692CA4">
              <w:rPr>
                <w:rFonts w:ascii="GHEA Grapalat" w:hAnsi="GHEA Grapalat"/>
                <w:sz w:val="24"/>
                <w:szCs w:val="24"/>
                <w:lang w:val="hy-AM"/>
              </w:rPr>
              <w:t xml:space="preserve">: </w:t>
            </w:r>
          </w:p>
          <w:p w:rsidR="00403671" w:rsidRPr="00692CA4" w:rsidRDefault="00C301C5"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 xml:space="preserve">Քաղաքացիական դատավարության օրենսգիրքը </w:t>
            </w:r>
            <w:r w:rsidR="00403671" w:rsidRPr="00692CA4">
              <w:rPr>
                <w:rFonts w:ascii="GHEA Grapalat" w:hAnsi="GHEA Grapalat"/>
                <w:sz w:val="24"/>
                <w:szCs w:val="24"/>
                <w:lang w:val="hy-AM"/>
              </w:rPr>
              <w:t xml:space="preserve">բողոքարկման ժամկետի ավարտով չի պայմանավորում դատական ակտի օրինական ուժի մեջ մտնելը՝ հաշվի առնելով, որ օրինակ </w:t>
            </w:r>
            <w:r w:rsidR="000D44A9" w:rsidRPr="00692CA4">
              <w:rPr>
                <w:rFonts w:ascii="GHEA Grapalat" w:hAnsi="GHEA Grapalat"/>
                <w:sz w:val="24"/>
                <w:szCs w:val="24"/>
                <w:lang w:val="hy-AM"/>
              </w:rPr>
              <w:t xml:space="preserve">թեև </w:t>
            </w:r>
            <w:r w:rsidR="00403671" w:rsidRPr="00692CA4">
              <w:rPr>
                <w:rFonts w:ascii="GHEA Grapalat" w:hAnsi="GHEA Grapalat"/>
                <w:sz w:val="24"/>
                <w:szCs w:val="24"/>
                <w:lang w:val="hy-AM"/>
              </w:rPr>
              <w:t xml:space="preserve">տուգանք կիրառելու մասին որոշումն ուժի մեջ է մտնում կայացման պահից, </w:t>
            </w:r>
            <w:r w:rsidR="000D44A9" w:rsidRPr="00692CA4">
              <w:rPr>
                <w:rFonts w:ascii="GHEA Grapalat" w:hAnsi="GHEA Grapalat"/>
                <w:sz w:val="24"/>
                <w:szCs w:val="24"/>
                <w:lang w:val="hy-AM"/>
              </w:rPr>
              <w:t>սակայն</w:t>
            </w:r>
            <w:r w:rsidR="00403671" w:rsidRPr="00692CA4">
              <w:rPr>
                <w:rFonts w:ascii="GHEA Grapalat" w:hAnsi="GHEA Grapalat"/>
                <w:sz w:val="24"/>
                <w:szCs w:val="24"/>
                <w:lang w:val="hy-AM"/>
              </w:rPr>
              <w:t xml:space="preserve"> դրա </w:t>
            </w:r>
            <w:r w:rsidR="000D44A9" w:rsidRPr="00692CA4">
              <w:rPr>
                <w:rFonts w:ascii="GHEA Grapalat" w:hAnsi="GHEA Grapalat"/>
                <w:sz w:val="24"/>
                <w:szCs w:val="24"/>
                <w:lang w:val="hy-AM"/>
              </w:rPr>
              <w:t>բողոքարկման ժամկետը սկսում է հոսել որոշումը</w:t>
            </w:r>
            <w:r w:rsidR="00403671" w:rsidRPr="00692CA4">
              <w:rPr>
                <w:rFonts w:ascii="GHEA Grapalat" w:hAnsi="GHEA Grapalat"/>
                <w:sz w:val="24"/>
                <w:szCs w:val="24"/>
                <w:lang w:val="hy-AM"/>
              </w:rPr>
              <w:t xml:space="preserve"> ստանալու պահի</w:t>
            </w:r>
            <w:r w:rsidR="000D44A9" w:rsidRPr="00692CA4">
              <w:rPr>
                <w:rFonts w:ascii="GHEA Grapalat" w:hAnsi="GHEA Grapalat"/>
                <w:sz w:val="24"/>
                <w:szCs w:val="24"/>
                <w:lang w:val="hy-AM"/>
              </w:rPr>
              <w:t xml:space="preserve">ց: </w:t>
            </w:r>
            <w:r w:rsidR="00403671" w:rsidRPr="00692CA4">
              <w:rPr>
                <w:rFonts w:ascii="GHEA Grapalat" w:hAnsi="GHEA Grapalat"/>
                <w:sz w:val="24"/>
                <w:szCs w:val="24"/>
                <w:lang w:val="hy-AM"/>
              </w:rPr>
              <w:t xml:space="preserve">Սրանք երկու դատավարական տարբեր ընթացակարգերին բնորոշ ժամկետներ են՝ մեկը </w:t>
            </w:r>
            <w:r w:rsidRPr="00692CA4">
              <w:rPr>
                <w:rFonts w:ascii="GHEA Grapalat" w:hAnsi="GHEA Grapalat"/>
                <w:sz w:val="24"/>
                <w:szCs w:val="24"/>
                <w:lang w:val="hy-AM"/>
              </w:rPr>
              <w:t xml:space="preserve">վերաբերում է </w:t>
            </w:r>
            <w:r w:rsidR="00403671" w:rsidRPr="00692CA4">
              <w:rPr>
                <w:rFonts w:ascii="GHEA Grapalat" w:hAnsi="GHEA Grapalat"/>
                <w:sz w:val="24"/>
                <w:szCs w:val="24"/>
                <w:lang w:val="hy-AM"/>
              </w:rPr>
              <w:t xml:space="preserve">դատական ակտին պարտադիրության, </w:t>
            </w:r>
            <w:r w:rsidR="000D44A9" w:rsidRPr="00692CA4">
              <w:rPr>
                <w:rFonts w:ascii="GHEA Grapalat" w:hAnsi="GHEA Grapalat"/>
                <w:sz w:val="24"/>
                <w:szCs w:val="24"/>
                <w:lang w:val="hy-AM"/>
              </w:rPr>
              <w:t xml:space="preserve">անհերքելիության և </w:t>
            </w:r>
            <w:r w:rsidR="00403671" w:rsidRPr="00692CA4">
              <w:rPr>
                <w:rFonts w:ascii="GHEA Grapalat" w:hAnsi="GHEA Grapalat"/>
                <w:sz w:val="24"/>
                <w:szCs w:val="24"/>
                <w:lang w:val="hy-AM"/>
              </w:rPr>
              <w:t xml:space="preserve">կատարելիության հատկանիշների շնորհմանը, </w:t>
            </w:r>
            <w:r w:rsidRPr="00692CA4">
              <w:rPr>
                <w:rFonts w:ascii="GHEA Grapalat" w:hAnsi="GHEA Grapalat"/>
                <w:sz w:val="24"/>
                <w:szCs w:val="24"/>
                <w:lang w:val="hy-AM"/>
              </w:rPr>
              <w:t>մինչդեռ</w:t>
            </w:r>
            <w:r w:rsidR="00403671" w:rsidRPr="00692CA4">
              <w:rPr>
                <w:rFonts w:ascii="GHEA Grapalat" w:hAnsi="GHEA Grapalat"/>
                <w:sz w:val="24"/>
                <w:szCs w:val="24"/>
                <w:lang w:val="hy-AM"/>
              </w:rPr>
              <w:t xml:space="preserve"> </w:t>
            </w:r>
            <w:r w:rsidR="00403671" w:rsidRPr="00692CA4">
              <w:rPr>
                <w:rFonts w:ascii="GHEA Grapalat" w:hAnsi="GHEA Grapalat"/>
                <w:sz w:val="24"/>
                <w:szCs w:val="24"/>
                <w:lang w:val="hy-AM"/>
              </w:rPr>
              <w:lastRenderedPageBreak/>
              <w:t xml:space="preserve">մյուսը՝ վերադաս ատյանում բողոքարկման </w:t>
            </w:r>
            <w:r w:rsidRPr="00692CA4">
              <w:rPr>
                <w:rFonts w:ascii="GHEA Grapalat" w:hAnsi="GHEA Grapalat"/>
                <w:sz w:val="24"/>
                <w:szCs w:val="24"/>
                <w:lang w:val="hy-AM"/>
              </w:rPr>
              <w:t>իրավունքի իրացմանը</w:t>
            </w:r>
            <w:r w:rsidR="00403671" w:rsidRPr="00692CA4">
              <w:rPr>
                <w:rFonts w:ascii="GHEA Grapalat" w:hAnsi="GHEA Grapalat"/>
                <w:sz w:val="24"/>
                <w:szCs w:val="24"/>
                <w:lang w:val="hy-AM"/>
              </w:rPr>
              <w:t xml:space="preserve">: </w:t>
            </w:r>
          </w:p>
          <w:p w:rsidR="00403671" w:rsidRPr="00692CA4" w:rsidRDefault="00403671"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 xml:space="preserve">Ինչ վերաբերում է տուգանքի արդեն իսկ </w:t>
            </w:r>
            <w:r w:rsidR="000D44A9" w:rsidRPr="00692CA4">
              <w:rPr>
                <w:rFonts w:ascii="GHEA Grapalat" w:hAnsi="GHEA Grapalat"/>
                <w:sz w:val="24"/>
                <w:szCs w:val="24"/>
                <w:lang w:val="hy-AM"/>
              </w:rPr>
              <w:t>կատարմանը</w:t>
            </w:r>
            <w:r w:rsidRPr="00692CA4">
              <w:rPr>
                <w:rFonts w:ascii="GHEA Grapalat" w:hAnsi="GHEA Grapalat"/>
                <w:sz w:val="24"/>
                <w:szCs w:val="24"/>
                <w:lang w:val="hy-AM"/>
              </w:rPr>
              <w:t>, ապա նախ պետք է արձանագրել, որ դատական տուգանք կարող է կիրառվել որոշումն ուժի մեջ մտնելու պահից մեկամսյա ժամեկտում,</w:t>
            </w:r>
            <w:r w:rsidR="00FB1213" w:rsidRPr="00692CA4">
              <w:rPr>
                <w:rFonts w:ascii="GHEA Grapalat" w:hAnsi="GHEA Grapalat"/>
                <w:sz w:val="24"/>
                <w:szCs w:val="24"/>
                <w:lang w:val="hy-AM"/>
              </w:rPr>
              <w:t xml:space="preserve"> բողոքարկվել՝ ստանալու պահից յոթնօրյա ժամկետում,</w:t>
            </w:r>
            <w:r w:rsidRPr="00692CA4">
              <w:rPr>
                <w:rFonts w:ascii="GHEA Grapalat" w:hAnsi="GHEA Grapalat"/>
                <w:sz w:val="24"/>
                <w:szCs w:val="24"/>
                <w:lang w:val="hy-AM"/>
              </w:rPr>
              <w:t xml:space="preserve"> ինչը ենթադրում է, որ նախքան կ</w:t>
            </w:r>
            <w:r w:rsidR="000D44A9" w:rsidRPr="00692CA4">
              <w:rPr>
                <w:rFonts w:ascii="GHEA Grapalat" w:hAnsi="GHEA Grapalat"/>
                <w:sz w:val="24"/>
                <w:szCs w:val="24"/>
                <w:lang w:val="hy-AM"/>
              </w:rPr>
              <w:t>ատարման</w:t>
            </w:r>
            <w:r w:rsidRPr="00692CA4">
              <w:rPr>
                <w:rFonts w:ascii="GHEA Grapalat" w:hAnsi="GHEA Grapalat"/>
                <w:sz w:val="24"/>
                <w:szCs w:val="24"/>
                <w:lang w:val="hy-AM"/>
              </w:rPr>
              <w:t xml:space="preserve"> մեկամսյա ժամկետի լրանալն արդեն իսկ կարող է դատական ակտը բողոքարկված լինել, ինչը կբացառի տուգանքի կատարման հնարավորությունը:</w:t>
            </w:r>
          </w:p>
          <w:p w:rsidR="00403671" w:rsidRPr="00692CA4" w:rsidRDefault="00403671"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 xml:space="preserve">Միաժամանակ, Նախագծերի հիմնավորումներում ևս նշվել է, որ դատական տուգանք սանկցիան՝ որպես գործի քննության ընթացքում կողմերի վարքագծի իրավաչափությունն ապահովող երաշխիք, պետք է ունենա անմիջական, չձգձգվող կատարում: Հակառակ դեպքում բողոքարկման երկարատև ընթացակարգը հաճախ կարող է տուգանքի կիրառումը դարձնել այլևս առարկայազուրկ՝ չապահովելով այն նպատակը, որը </w:t>
            </w:r>
            <w:r w:rsidRPr="00692CA4">
              <w:rPr>
                <w:rFonts w:ascii="GHEA Grapalat" w:hAnsi="GHEA Grapalat"/>
                <w:sz w:val="24"/>
                <w:szCs w:val="24"/>
                <w:lang w:val="hy-AM"/>
              </w:rPr>
              <w:lastRenderedPageBreak/>
              <w:t xml:space="preserve">կարող էր իրագործվել տուգանքի կիրառելիության դեպքում: Պակաս կարևոր չէ այն հանգամանքը, որ վերադաս դատական ատյանները (քաղաքացիական դատավարությունում՝ վերաքննիչ և Վճռաբեկ դատարանները, վարչական դատավարությունում՝ Վճռաբեկ դատարանը) ունեն դատական ակտերի կատարումը կասեցնելու լիազորություն և դատական տուգանքի վերաբերյալ որոշումների բողոքարկման դեպքում համապատասխան միջնորդության հիմքով կարող են կասեցնել այդ ակտերի կատարումը: Ընդ որում, բողոքարկման՝ դատական ակտերի անվերապահ կասեցման հանգեցնելու կարգավորումը նույնիսկ կիրառելի չէ օրինական ուժի մեջ մտած վճիռների կամ օրինակ սնանկության գործերով կայացվող միջանկյալ դատական ակտերի դեպքում, քանի որ դրա հակակշիռն ապահովված է վերադաս դատական ատյանների՝ դատական ակտի կատարումը կասեցնելու լիազորությամբ: Ավելին՝ օրինակ ՀՀ քրեական դատավարության </w:t>
            </w:r>
            <w:r w:rsidRPr="00692CA4">
              <w:rPr>
                <w:rFonts w:ascii="GHEA Grapalat" w:hAnsi="GHEA Grapalat"/>
                <w:sz w:val="24"/>
                <w:szCs w:val="24"/>
                <w:lang w:val="hy-AM"/>
              </w:rPr>
              <w:lastRenderedPageBreak/>
              <w:t>օրենսգրքով ևս առկա չէ դատական տուգանքի բողոքարկման դեպքում որոշման կատարման կասեցման վերաբերյալ կարգավորում:</w:t>
            </w:r>
          </w:p>
          <w:p w:rsidR="00403671" w:rsidRPr="00692CA4" w:rsidRDefault="00403671"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Ընդ որում, որպես հակակշիռ՝ Նախագծերով առաջարկվել է սահմանել, որ եթե վերաքննիչ կամ Վճռաբեկ դատարանը վերացնում է դատական տուգանքի չափը նվազեցնելու կամ վերացնելու միջնորդությունը մերժելու մասին որոշումը և վերացնում կամ նվազեցնում է դատական տուգանքը, ապա տվյալ դատական ակտով լուծում է նախապես վճարված տուգանքի կամ դրա ավել մասի վերադարձի հարցը:</w:t>
            </w:r>
          </w:p>
        </w:tc>
        <w:tc>
          <w:tcPr>
            <w:tcW w:w="1811" w:type="dxa"/>
            <w:tcBorders>
              <w:top w:val="single" w:sz="1" w:space="0" w:color="000000"/>
              <w:left w:val="single" w:sz="1" w:space="0" w:color="000000"/>
              <w:bottom w:val="single" w:sz="1" w:space="0" w:color="000000"/>
              <w:right w:val="single" w:sz="1" w:space="0" w:color="000000"/>
            </w:tcBorders>
          </w:tcPr>
          <w:p w:rsidR="00403671" w:rsidRPr="00692CA4" w:rsidRDefault="00403671" w:rsidP="00692CA4">
            <w:pPr>
              <w:spacing w:line="240" w:lineRule="auto"/>
              <w:jc w:val="center"/>
              <w:rPr>
                <w:rFonts w:ascii="GHEA Grapalat" w:hAnsi="GHEA Grapalat"/>
                <w:b/>
                <w:sz w:val="24"/>
                <w:szCs w:val="24"/>
              </w:rPr>
            </w:pPr>
            <w:r w:rsidRPr="00692CA4">
              <w:rPr>
                <w:rFonts w:ascii="GHEA Grapalat" w:hAnsi="GHEA Grapalat"/>
                <w:b/>
                <w:sz w:val="24"/>
                <w:szCs w:val="24"/>
              </w:rPr>
              <w:lastRenderedPageBreak/>
              <w:t>Չի ընդունվել:</w:t>
            </w:r>
          </w:p>
        </w:tc>
      </w:tr>
      <w:tr w:rsidR="000D44A9" w:rsidRPr="00692CA4" w:rsidTr="004B66F9">
        <w:tc>
          <w:tcPr>
            <w:tcW w:w="407" w:type="dxa"/>
            <w:tcBorders>
              <w:top w:val="single" w:sz="1" w:space="0" w:color="000000"/>
              <w:left w:val="single" w:sz="1" w:space="0" w:color="000000"/>
              <w:bottom w:val="single" w:sz="1" w:space="0" w:color="000000"/>
              <w:right w:val="single" w:sz="1" w:space="0" w:color="000000"/>
            </w:tcBorders>
          </w:tcPr>
          <w:p w:rsidR="000D44A9" w:rsidRPr="00692CA4" w:rsidRDefault="000D44A9"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lastRenderedPageBreak/>
              <w:t>5</w:t>
            </w:r>
          </w:p>
        </w:tc>
        <w:tc>
          <w:tcPr>
            <w:tcW w:w="1889" w:type="dxa"/>
            <w:tcBorders>
              <w:top w:val="single" w:sz="1" w:space="0" w:color="000000"/>
              <w:left w:val="single" w:sz="1" w:space="0" w:color="000000"/>
              <w:bottom w:val="single" w:sz="1" w:space="0" w:color="000000"/>
              <w:right w:val="single" w:sz="1" w:space="0" w:color="000000"/>
            </w:tcBorders>
          </w:tcPr>
          <w:p w:rsidR="000D44A9" w:rsidRPr="00692CA4" w:rsidRDefault="000D44A9"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Տիգրան Ստեփանյան</w:t>
            </w:r>
          </w:p>
          <w:p w:rsidR="000D44A9" w:rsidRPr="00692CA4" w:rsidRDefault="000D44A9"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13.04.2024 15:37:34</w:t>
            </w:r>
          </w:p>
        </w:tc>
        <w:tc>
          <w:tcPr>
            <w:tcW w:w="5444" w:type="dxa"/>
            <w:tcBorders>
              <w:top w:val="single" w:sz="1" w:space="0" w:color="000000"/>
              <w:left w:val="single" w:sz="1" w:space="0" w:color="000000"/>
              <w:bottom w:val="single" w:sz="1" w:space="0" w:color="000000"/>
              <w:right w:val="single" w:sz="1" w:space="0" w:color="000000"/>
            </w:tcBorders>
          </w:tcPr>
          <w:p w:rsidR="000D44A9" w:rsidRPr="00692CA4" w:rsidRDefault="000D44A9" w:rsidP="00692CA4">
            <w:pPr>
              <w:spacing w:line="240" w:lineRule="auto"/>
              <w:jc w:val="both"/>
              <w:rPr>
                <w:rFonts w:ascii="GHEA Grapalat" w:hAnsi="GHEA Grapalat"/>
                <w:sz w:val="24"/>
                <w:szCs w:val="24"/>
              </w:rPr>
            </w:pPr>
            <w:r w:rsidRPr="00692CA4">
              <w:rPr>
                <w:rFonts w:ascii="GHEA Grapalat" w:eastAsia="GHEA Grapalat" w:hAnsi="GHEA Grapalat" w:cs="GHEA Grapalat"/>
                <w:color w:val="000000"/>
                <w:sz w:val="24"/>
                <w:szCs w:val="24"/>
              </w:rPr>
              <w:t>ՔԴՕ փոփոխություններ և լրացումներ կատարելու մասին նախագծի 4-րդ հոդվածի վերաբերյալ դիտողություն</w:t>
            </w:r>
            <w:r w:rsidRPr="00692CA4">
              <w:rPr>
                <w:rFonts w:ascii="Cambria Math" w:eastAsia="GHEA Grapalat" w:hAnsi="Cambria Math" w:cs="Cambria Math"/>
                <w:color w:val="000000"/>
                <w:sz w:val="24"/>
                <w:szCs w:val="24"/>
              </w:rPr>
              <w:t>․</w:t>
            </w:r>
            <w:r w:rsidRPr="00692CA4">
              <w:rPr>
                <w:rFonts w:ascii="GHEA Grapalat" w:eastAsia="GHEA Grapalat" w:hAnsi="GHEA Grapalat" w:cs="GHEA Grapalat"/>
                <w:color w:val="000000"/>
                <w:sz w:val="24"/>
                <w:szCs w:val="24"/>
              </w:rPr>
              <w:t xml:space="preserve"> Որպես դատական սանկցիա Դատավարական իրավունքի իրականացման ցանկացած սահմանափակումն անթույլատրելի է և հանդիսանում է իրավունքի հիմնարար խախտում։ Առաջարկում եմ հոդվածը բացառել։</w:t>
            </w:r>
          </w:p>
        </w:tc>
        <w:tc>
          <w:tcPr>
            <w:tcW w:w="4416" w:type="dxa"/>
            <w:tcBorders>
              <w:top w:val="single" w:sz="1" w:space="0" w:color="000000"/>
              <w:left w:val="single" w:sz="1" w:space="0" w:color="000000"/>
              <w:bottom w:val="single" w:sz="1" w:space="0" w:color="000000"/>
              <w:right w:val="single" w:sz="1" w:space="0" w:color="000000"/>
            </w:tcBorders>
          </w:tcPr>
          <w:p w:rsidR="000D44A9" w:rsidRPr="00692CA4" w:rsidRDefault="000D44A9" w:rsidP="00692CA4">
            <w:pPr>
              <w:spacing w:after="0" w:line="240" w:lineRule="auto"/>
              <w:jc w:val="both"/>
              <w:rPr>
                <w:rFonts w:ascii="GHEA Grapalat" w:hAnsi="GHEA Grapalat"/>
                <w:sz w:val="24"/>
                <w:szCs w:val="24"/>
                <w:lang w:val="hy-AM"/>
              </w:rPr>
            </w:pPr>
            <w:r w:rsidRPr="00692CA4">
              <w:rPr>
                <w:rFonts w:ascii="GHEA Grapalat" w:hAnsi="GHEA Grapalat"/>
                <w:sz w:val="24"/>
                <w:szCs w:val="24"/>
              </w:rPr>
              <w:t xml:space="preserve">Իրավունքի իրականացման սահմանափակում սանկցիայի տեսակի </w:t>
            </w:r>
            <w:r w:rsidRPr="00692CA4">
              <w:rPr>
                <w:rFonts w:ascii="GHEA Grapalat" w:hAnsi="GHEA Grapalat"/>
                <w:sz w:val="24"/>
                <w:szCs w:val="24"/>
                <w:lang w:val="hy-AM"/>
              </w:rPr>
              <w:t>սահմանման</w:t>
            </w:r>
            <w:r w:rsidRPr="00692CA4">
              <w:rPr>
                <w:rFonts w:ascii="GHEA Grapalat" w:hAnsi="GHEA Grapalat"/>
                <w:sz w:val="24"/>
                <w:szCs w:val="24"/>
              </w:rPr>
              <w:t xml:space="preserve"> նպատակը եղել է դատավարության բնականոն ընթացքն, արդյունավետ և ողջամիտ ժամկետներում գործերի քննության ապահովումը: </w:t>
            </w:r>
            <w:r w:rsidRPr="00692CA4">
              <w:rPr>
                <w:rFonts w:ascii="GHEA Grapalat" w:hAnsi="GHEA Grapalat"/>
                <w:sz w:val="24"/>
                <w:szCs w:val="24"/>
                <w:lang w:val="hy-AM"/>
              </w:rPr>
              <w:t xml:space="preserve">Այս սանկցիայի էությունը կայանում է նրանում, որ երբ դատարանը գտնում է, որ դատավարության մասնակիցն իր դատավարական իրավունքներն </w:t>
            </w:r>
            <w:r w:rsidRPr="00692CA4">
              <w:rPr>
                <w:rFonts w:ascii="GHEA Grapalat" w:hAnsi="GHEA Grapalat"/>
                <w:sz w:val="24"/>
                <w:szCs w:val="24"/>
                <w:lang w:val="hy-AM"/>
              </w:rPr>
              <w:lastRenderedPageBreak/>
              <w:t xml:space="preserve">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rsidR="000D44A9" w:rsidRPr="00692CA4" w:rsidRDefault="000D44A9" w:rsidP="00692CA4">
            <w:pPr>
              <w:spacing w:after="0" w:line="240" w:lineRule="auto"/>
              <w:jc w:val="both"/>
              <w:rPr>
                <w:rFonts w:ascii="GHEA Grapalat" w:hAnsi="GHEA Grapalat"/>
                <w:sz w:val="24"/>
                <w:szCs w:val="24"/>
                <w:lang w:val="hy-AM"/>
              </w:rPr>
            </w:pPr>
            <w:r w:rsidRPr="00692CA4">
              <w:rPr>
                <w:rFonts w:ascii="GHEA Grapalat" w:hAnsi="GHEA Grapalat"/>
                <w:sz w:val="24"/>
                <w:szCs w:val="24"/>
                <w:lang w:val="hy-AM"/>
              </w:rPr>
              <w:t>Թեև սպառիչ ցանկում նախատեսված իրավունքները</w:t>
            </w:r>
            <w:r w:rsidRPr="00692CA4">
              <w:rPr>
                <w:rFonts w:ascii="GHEA Grapalat" w:eastAsia="GHEA Grapalat" w:hAnsi="GHEA Grapalat" w:cs="GHEA Grapalat"/>
                <w:color w:val="000000"/>
                <w:sz w:val="24"/>
                <w:szCs w:val="24"/>
              </w:rPr>
              <w:t xml:space="preserve"> </w:t>
            </w:r>
            <w:r w:rsidRPr="00692CA4">
              <w:rPr>
                <w:rFonts w:ascii="GHEA Grapalat" w:eastAsia="GHEA Grapalat" w:hAnsi="GHEA Grapalat" w:cs="GHEA Grapalat"/>
                <w:color w:val="000000"/>
                <w:sz w:val="24"/>
                <w:szCs w:val="24"/>
                <w:lang w:val="hy-AM"/>
              </w:rPr>
              <w:t>կարևորագույն դատավարական իրավունքներ են, այնուամենայնիվ դրանք</w:t>
            </w:r>
            <w:r w:rsidRPr="00692CA4">
              <w:rPr>
                <w:rFonts w:ascii="GHEA Grapalat" w:hAnsi="GHEA Grapalat"/>
                <w:sz w:val="24"/>
                <w:szCs w:val="24"/>
              </w:rPr>
              <w:t xml:space="preserve"> բացարձակ և սահմանափակման ոչ ենթակա </w:t>
            </w:r>
            <w:r w:rsidRPr="00692CA4">
              <w:rPr>
                <w:rFonts w:ascii="GHEA Grapalat" w:hAnsi="GHEA Grapalat"/>
                <w:sz w:val="24"/>
                <w:szCs w:val="24"/>
                <w:lang w:val="hy-AM"/>
              </w:rPr>
              <w:t>իրավունքների շարքին չեն դասվում և այդ իրավունքներից չարաշահմամբ օգտվելու դեպքում դատարանները պետք է ունենան այդ գործողություններին պատշաճ արձագանքելու կառուցակարգեր</w:t>
            </w:r>
            <w:r w:rsidRPr="00692CA4">
              <w:rPr>
                <w:rFonts w:ascii="GHEA Grapalat" w:hAnsi="GHEA Grapalat"/>
                <w:sz w:val="24"/>
                <w:szCs w:val="24"/>
              </w:rPr>
              <w:t xml:space="preserve">: </w:t>
            </w:r>
            <w:r w:rsidRPr="00692CA4">
              <w:rPr>
                <w:rFonts w:ascii="GHEA Grapalat" w:hAnsi="GHEA Grapalat"/>
                <w:sz w:val="24"/>
                <w:szCs w:val="24"/>
                <w:lang w:val="hy-AM"/>
              </w:rPr>
              <w:t>Ուստի, այդ իրավունքների չարաշահումը</w:t>
            </w:r>
            <w:r w:rsidRPr="00692CA4">
              <w:rPr>
                <w:rFonts w:ascii="GHEA Grapalat" w:hAnsi="GHEA Grapalat"/>
                <w:sz w:val="24"/>
                <w:szCs w:val="24"/>
              </w:rPr>
              <w:t xml:space="preserve"> կարող է հանգեցնել </w:t>
            </w:r>
            <w:r w:rsidRPr="00692CA4">
              <w:rPr>
                <w:rFonts w:ascii="GHEA Grapalat" w:hAnsi="GHEA Grapalat"/>
                <w:sz w:val="24"/>
                <w:szCs w:val="24"/>
                <w:lang w:val="hy-AM"/>
              </w:rPr>
              <w:t xml:space="preserve">դատական սանկցիայի կիրառման՝ այդ իրավունքների սահմանափակման </w:t>
            </w:r>
            <w:r w:rsidRPr="00692CA4">
              <w:rPr>
                <w:rFonts w:ascii="GHEA Grapalat" w:hAnsi="GHEA Grapalat"/>
                <w:sz w:val="24"/>
                <w:szCs w:val="24"/>
                <w:lang w:val="hy-AM"/>
              </w:rPr>
              <w:lastRenderedPageBreak/>
              <w:t xml:space="preserve">եղանակով, ինչն ինքնին </w:t>
            </w:r>
            <w:r w:rsidRPr="00692CA4">
              <w:rPr>
                <w:rFonts w:ascii="GHEA Grapalat" w:eastAsia="GHEA Grapalat" w:hAnsi="GHEA Grapalat" w:cs="GHEA Grapalat"/>
                <w:color w:val="000000"/>
                <w:sz w:val="24"/>
                <w:szCs w:val="24"/>
                <w:lang w:val="hy-AM"/>
              </w:rPr>
              <w:t>հիմնարար իրավունքների</w:t>
            </w:r>
            <w:r w:rsidRPr="00692CA4">
              <w:rPr>
                <w:rFonts w:ascii="GHEA Grapalat" w:hAnsi="GHEA Grapalat"/>
                <w:sz w:val="24"/>
                <w:szCs w:val="24"/>
                <w:lang w:val="hy-AM"/>
              </w:rPr>
              <w:t xml:space="preserve">  խախտման չի հանգեցնում: </w:t>
            </w:r>
          </w:p>
        </w:tc>
        <w:tc>
          <w:tcPr>
            <w:tcW w:w="1811" w:type="dxa"/>
            <w:tcBorders>
              <w:top w:val="single" w:sz="1" w:space="0" w:color="000000"/>
              <w:left w:val="single" w:sz="1" w:space="0" w:color="000000"/>
              <w:bottom w:val="single" w:sz="1" w:space="0" w:color="000000"/>
              <w:right w:val="single" w:sz="1" w:space="0" w:color="000000"/>
            </w:tcBorders>
          </w:tcPr>
          <w:p w:rsidR="000D44A9" w:rsidRPr="00692CA4" w:rsidRDefault="000D44A9" w:rsidP="00692CA4">
            <w:pPr>
              <w:spacing w:line="240" w:lineRule="auto"/>
              <w:jc w:val="center"/>
              <w:rPr>
                <w:rFonts w:ascii="GHEA Grapalat" w:hAnsi="GHEA Grapalat"/>
                <w:b/>
                <w:sz w:val="24"/>
                <w:szCs w:val="24"/>
              </w:rPr>
            </w:pPr>
            <w:r w:rsidRPr="00692CA4">
              <w:rPr>
                <w:rFonts w:ascii="GHEA Grapalat" w:hAnsi="GHEA Grapalat"/>
                <w:b/>
                <w:sz w:val="24"/>
                <w:szCs w:val="24"/>
              </w:rPr>
              <w:lastRenderedPageBreak/>
              <w:t>Չի ընդունվել:</w:t>
            </w:r>
          </w:p>
        </w:tc>
      </w:tr>
    </w:tbl>
    <w:p w:rsidR="005A3941" w:rsidRPr="00692CA4" w:rsidRDefault="005A3941" w:rsidP="00692CA4">
      <w:pPr>
        <w:spacing w:line="240" w:lineRule="auto"/>
        <w:jc w:val="both"/>
        <w:rPr>
          <w:rFonts w:ascii="GHEA Grapalat" w:hAnsi="GHEA Grapalat"/>
          <w:sz w:val="24"/>
          <w:szCs w:val="24"/>
        </w:rPr>
      </w:pPr>
    </w:p>
    <w:sectPr w:rsidR="005A3941" w:rsidRPr="00692CA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25E"/>
    <w:rsid w:val="00062C92"/>
    <w:rsid w:val="000D44A9"/>
    <w:rsid w:val="0010154D"/>
    <w:rsid w:val="00215629"/>
    <w:rsid w:val="00251B99"/>
    <w:rsid w:val="002A5ACC"/>
    <w:rsid w:val="0034667E"/>
    <w:rsid w:val="00403671"/>
    <w:rsid w:val="00404839"/>
    <w:rsid w:val="004B66F9"/>
    <w:rsid w:val="005A3941"/>
    <w:rsid w:val="005D20B3"/>
    <w:rsid w:val="005D6893"/>
    <w:rsid w:val="00692CA4"/>
    <w:rsid w:val="007F40FF"/>
    <w:rsid w:val="008E225E"/>
    <w:rsid w:val="009273D0"/>
    <w:rsid w:val="009757BA"/>
    <w:rsid w:val="009D7427"/>
    <w:rsid w:val="00A0255F"/>
    <w:rsid w:val="00A85146"/>
    <w:rsid w:val="00B474A7"/>
    <w:rsid w:val="00BE3BC7"/>
    <w:rsid w:val="00C25265"/>
    <w:rsid w:val="00C27E30"/>
    <w:rsid w:val="00C301C5"/>
    <w:rsid w:val="00C332F9"/>
    <w:rsid w:val="00DC64F5"/>
    <w:rsid w:val="00E17921"/>
    <w:rsid w:val="00EA1509"/>
    <w:rsid w:val="00EA7C2A"/>
    <w:rsid w:val="00FB1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94601F-3C32-497E-AE86-16223F9E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Ghazaryan</dc:creator>
  <cp:keywords/>
  <dc:description/>
  <cp:lastModifiedBy>Meri Ghazaryan</cp:lastModifiedBy>
  <cp:revision>2</cp:revision>
  <dcterms:created xsi:type="dcterms:W3CDTF">2024-07-01T12:20:00Z</dcterms:created>
  <dcterms:modified xsi:type="dcterms:W3CDTF">2024-07-01T12:20:00Z</dcterms:modified>
  <cp:category/>
</cp:coreProperties>
</file>