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20D" w:rsidRPr="00675EAF" w:rsidRDefault="001A120D" w:rsidP="00FB30E9">
      <w:pPr>
        <w:spacing w:after="0" w:line="360" w:lineRule="auto"/>
        <w:ind w:left="-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A120D" w:rsidRPr="00675EAF" w:rsidRDefault="001A120D" w:rsidP="00FB30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A120D" w:rsidRPr="00675EAF" w:rsidRDefault="001A120D" w:rsidP="00FB30E9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hAnsi="GHEA Grapalat"/>
          <w:color w:val="000000"/>
          <w:lang w:val="hy-AM"/>
        </w:rPr>
      </w:pPr>
      <w:r w:rsidRPr="00675EAF">
        <w:rPr>
          <w:rStyle w:val="Strong"/>
          <w:rFonts w:ascii="GHEA Grapalat" w:hAnsi="GHEA Grapalat"/>
          <w:color w:val="000000"/>
          <w:lang w:val="hy-AM"/>
        </w:rPr>
        <w:t xml:space="preserve">«ՀԱՅԱՍՏԱՆԻ ՀԱՆՐԱՊԵՏՈՒԹՅԱՆ ԿՐԹՈՒԹՅԱՆ, ԳԻՏՈՒԹՅԱՆ, ՄՇԱԿՈՒՅԹԻ ԵՎ ՍՊՈՐՏԻ ՆԱԽԱՐԱՐՈՒԹՅԱՆ «ՊԱՏՄԱՄՇԱԿՈՒԹԱՅԻՆ ԱՐԳԵԼՈՑ-ԹԱՆԳԱՐԱՆՆԵՐԻ ԵՎ ՊԱՏՄԱԿԱՆ ՄԻՋԱՎԱՅՐԻ ՊԱՀՊԱՆՈՒԹՅԱՆ ԾԱՌԱՅՈՒԹՅՈՒՆ» ՊԵՏԱԿԱՆ ՈՉ ԱՌԵՎՏՐԱՅԻՆ ԿԱԶՄԱԿԵՐՊՈՒԹՅԱՆԸ </w:t>
      </w:r>
      <w:r w:rsidR="00E755C9">
        <w:rPr>
          <w:rStyle w:val="Strong"/>
          <w:rFonts w:ascii="GHEA Grapalat" w:hAnsi="GHEA Grapalat"/>
          <w:color w:val="000000"/>
          <w:lang w:val="hy-AM"/>
        </w:rPr>
        <w:t xml:space="preserve">ԱՆՀԱՏՈՒՅՑ ԵՎ ԱՆԺԱՄԿԵՏ ՕԳՏԱԳՈՐԾՄԱՆ </w:t>
      </w:r>
      <w:r w:rsidR="007E6AF4">
        <w:rPr>
          <w:rStyle w:val="Strong"/>
          <w:rFonts w:ascii="GHEA Grapalat" w:hAnsi="GHEA Grapalat"/>
          <w:color w:val="000000"/>
          <w:lang w:val="hy-AM"/>
        </w:rPr>
        <w:t xml:space="preserve">ԻՐԱՎՈՒՆՔՈՎ </w:t>
      </w:r>
      <w:r w:rsidRPr="00675EAF">
        <w:rPr>
          <w:rStyle w:val="Strong"/>
          <w:rFonts w:ascii="GHEA Grapalat" w:hAnsi="GHEA Grapalat"/>
          <w:color w:val="000000"/>
          <w:lang w:val="hy-AM"/>
        </w:rPr>
        <w:t>ԳՈՒՅՔ ԱՄՐԱՑՆԵԼՈՒ ՄԱՍԻՆ»</w:t>
      </w:r>
    </w:p>
    <w:p w:rsidR="001A120D" w:rsidRPr="00675EAF" w:rsidRDefault="001A120D" w:rsidP="001A120D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675EAF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ՈՐՈՇՄԱՆ ՆԱԽԱԳԾԻ</w:t>
      </w:r>
    </w:p>
    <w:p w:rsidR="001A120D" w:rsidRPr="00675EAF" w:rsidRDefault="001A120D" w:rsidP="001A120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:rsidR="001A120D" w:rsidRPr="00675EAF" w:rsidRDefault="001A120D" w:rsidP="001A120D">
      <w:pPr>
        <w:tabs>
          <w:tab w:val="left" w:pos="540"/>
          <w:tab w:val="left" w:pos="720"/>
          <w:tab w:val="left" w:pos="900"/>
        </w:tabs>
        <w:spacing w:after="0" w:line="360" w:lineRule="auto"/>
        <w:ind w:left="9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1.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1A120D" w:rsidRPr="00675EAF" w:rsidRDefault="001A120D" w:rsidP="001A120D">
      <w:pPr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75EAF">
        <w:rPr>
          <w:rFonts w:ascii="GHEA Grapalat" w:hAnsi="GHEA Grapalat"/>
          <w:sz w:val="24"/>
          <w:szCs w:val="24"/>
          <w:lang w:val="hy-AM"/>
        </w:rPr>
        <w:t xml:space="preserve">    Որոշման նախագծի ընդունումը պայմանավորված է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«Պատմամակութային արգելոց-թանգարանների և պատմական միջավայրի պահպանության ծառայություն» պետական ոչ առևտրային կազմակերպությանը «Զորաց քարեր» բնակատեղի» պատմամշակութային արգելոց մասնաճյուղ այցելող բազմաթիվ զբոսաշրջիկների սպասարկման նպատակով մոդուլային շենքի տեղադրման և ենթակառուցվածքների զարգացման ապահովման անհրաժեշտությամբ:</w:t>
      </w:r>
      <w:r w:rsidR="002C14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ընդունմամբ հնարավոր կլինի մոդուլային շարժական 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շենքի տեղադրումը այդ հողատարածքում՝</w:t>
      </w:r>
      <w:r w:rsidR="002C14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դրանում տեղակայելով</w:t>
      </w:r>
      <w:r w:rsidR="002C14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տոմսավաճառի, հուշանվերների վաճառքի  կրպակները և սանհանգույց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C14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A120D" w:rsidRPr="00675EAF" w:rsidRDefault="001A120D" w:rsidP="001A120D">
      <w:pPr>
        <w:pStyle w:val="ListParagraph"/>
        <w:tabs>
          <w:tab w:val="left" w:pos="630"/>
          <w:tab w:val="left" w:pos="90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  <w:lang w:val="hy-AM"/>
        </w:rPr>
      </w:pP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2.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A120D" w:rsidRPr="00675EAF" w:rsidRDefault="001A120D" w:rsidP="001A120D">
      <w:pPr>
        <w:pStyle w:val="ListParagraph"/>
        <w:tabs>
          <w:tab w:val="left" w:pos="630"/>
          <w:tab w:val="left" w:pos="90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hy-AM"/>
        </w:rPr>
      </w:pP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«Պատմամակութային արգելոց-թանգարանների և պատմական միջավայրի պահպանության ծառայություն» պետական ոչ առևտրային </w:t>
      </w:r>
      <w:r w:rsidR="00992C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«Զորաց քարեր» բնակատեղի» պատմամշակութային արգելոց մասնաճյուղ այցելող զբոսաշրջների սպասարկումն ապահովող կառույցի և ենթակառուցվածների բացակայությունը հնարավորություն չի տալիս պատշաճ կազմակերպել նրանց սպասարկումը և այդ նպատակով հուշարձանի տարածքի մաս կազմող՝ հուշարձաններից զուրկ հատվածում պետության սեփականությունը հանդիսացող հողամասի ամրացումը հիշյալ ՊՈԱԿ-ին անհրաժեշտություն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ինչը հնարավորություն կտա առավել հանրահռչակել հուշարձանը, ապահովել զբոսաշրջիկների ավելի մեծ հոսք և ներգրավել ֆինանսական լրացուցիչ միջոցներ հուշարձանի պահպանության, օգտագործմանն առնչվող միջոցառումների, տարածքը և շրջակայքը բարեկարգ պահելու աշխատանքների իրականացման համար: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Հուշարձանի մոտ ենթակառուցվածքների բացակայությունը հնարավորություն չի տալիս ստեղծելու արգելոցի տոմսային տնտեսությունը, ապահովելու հայ պատմամշակութային  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ժառանգության վերաբերյալ ճանաչողական տեղեկատվության </w:t>
      </w:r>
      <w:r w:rsidR="00DC7E2D" w:rsidRP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բուկլետներ, բացիկներ, այլ գրականություն, հուշարձանի բնույթին համապատասխան հուշանվերներ</w:t>
      </w:r>
      <w:r w:rsidR="00DC7E2D" w:rsidRP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մատուցումը զբոսաշրջիկներին և հոգալու </w:t>
      </w:r>
      <w:r w:rsidR="00946E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վերջիններիս </w:t>
      </w:r>
      <w:r w:rsidR="00DC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կենցաղային պահանջները:</w:t>
      </w:r>
      <w:bookmarkStart w:id="0" w:name="_GoBack"/>
      <w:bookmarkEnd w:id="0"/>
    </w:p>
    <w:p w:rsidR="001A120D" w:rsidRPr="00675EAF" w:rsidRDefault="001A120D" w:rsidP="001A120D">
      <w:pPr>
        <w:tabs>
          <w:tab w:val="left" w:pos="400"/>
          <w:tab w:val="left" w:pos="60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3</w:t>
      </w:r>
      <w:r w:rsidRPr="00675EA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:rsidR="001A120D" w:rsidRPr="00675EAF" w:rsidRDefault="001A120D" w:rsidP="001A120D">
      <w:pPr>
        <w:tabs>
          <w:tab w:val="left" w:pos="400"/>
          <w:tab w:val="left" w:pos="60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Սյունիքի մարզի Սիսիան համայնքի վարչական սահմանում գտնվող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«Զորաց քարեր» հուշարձան այցելող զբոսաշրջիկների պատշաճ սպասարկման ապահովում: </w:t>
      </w:r>
    </w:p>
    <w:p w:rsidR="001A120D" w:rsidRPr="00675EAF" w:rsidRDefault="001A120D" w:rsidP="001A120D">
      <w:pPr>
        <w:tabs>
          <w:tab w:val="left" w:pos="0"/>
          <w:tab w:val="left" w:pos="720"/>
          <w:tab w:val="left" w:pos="9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75E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4</w:t>
      </w:r>
      <w:r w:rsidRPr="00675EAF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Pr="00675EA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1A120D" w:rsidRPr="00675EAF" w:rsidRDefault="001A120D" w:rsidP="001A120D">
      <w:pPr>
        <w:pStyle w:val="ListParagraph"/>
        <w:tabs>
          <w:tab w:val="left" w:pos="-90"/>
          <w:tab w:val="left" w:pos="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af-ZA"/>
        </w:rPr>
      </w:pPr>
      <w:r w:rsidRPr="00675EA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Pr="00675EAF">
        <w:rPr>
          <w:rFonts w:ascii="GHEA Grapalat" w:hAnsi="GHEA Grapalat"/>
          <w:sz w:val="24"/>
          <w:szCs w:val="24"/>
          <w:lang w:val="hy-AM"/>
        </w:rPr>
        <w:t>կրթության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75EAF">
        <w:rPr>
          <w:rFonts w:ascii="GHEA Grapalat" w:hAnsi="GHEA Grapalat"/>
          <w:sz w:val="24"/>
          <w:szCs w:val="24"/>
          <w:lang w:val="hy-AM"/>
        </w:rPr>
        <w:t>գիտության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 մշակույթի </w:t>
      </w:r>
      <w:r w:rsidRPr="00675EAF">
        <w:rPr>
          <w:rFonts w:ascii="GHEA Grapalat" w:hAnsi="GHEA Grapalat"/>
          <w:sz w:val="24"/>
          <w:szCs w:val="24"/>
          <w:lang w:val="hy-AM"/>
        </w:rPr>
        <w:t>և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75EAF">
        <w:rPr>
          <w:rFonts w:ascii="GHEA Grapalat" w:hAnsi="GHEA Grapalat"/>
          <w:sz w:val="24"/>
          <w:szCs w:val="24"/>
          <w:lang w:val="hy-AM"/>
        </w:rPr>
        <w:t>սպորտի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  նախարարությ</w:t>
      </w:r>
      <w:r w:rsidRPr="00675EAF">
        <w:rPr>
          <w:rFonts w:ascii="GHEA Grapalat" w:hAnsi="GHEA Grapalat"/>
          <w:sz w:val="24"/>
          <w:szCs w:val="24"/>
          <w:lang w:val="hy-AM"/>
        </w:rPr>
        <w:t>ա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675EAF">
        <w:rPr>
          <w:rFonts w:ascii="GHEA Grapalat" w:hAnsi="GHEA Grapalat"/>
          <w:sz w:val="24"/>
          <w:szCs w:val="24"/>
          <w:lang w:val="hy-AM"/>
        </w:rPr>
        <w:t>կողմից</w:t>
      </w:r>
      <w:r w:rsidRPr="00675EAF">
        <w:rPr>
          <w:rFonts w:ascii="GHEA Grapalat" w:hAnsi="GHEA Grapalat"/>
          <w:sz w:val="24"/>
          <w:szCs w:val="24"/>
          <w:lang w:val="af-ZA"/>
        </w:rPr>
        <w:t>:</w:t>
      </w:r>
    </w:p>
    <w:p w:rsidR="001A120D" w:rsidRPr="00675EAF" w:rsidRDefault="001A120D" w:rsidP="001A120D">
      <w:pPr>
        <w:pStyle w:val="mechtex"/>
        <w:tabs>
          <w:tab w:val="left" w:pos="360"/>
        </w:tabs>
        <w:spacing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120D" w:rsidRPr="00B442F6" w:rsidRDefault="001A120D" w:rsidP="001A120D">
      <w:pPr>
        <w:pStyle w:val="mechtex"/>
        <w:spacing w:line="360" w:lineRule="auto"/>
        <w:ind w:left="90" w:firstLine="285"/>
        <w:jc w:val="both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B442F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  Որոշման ընդունման արդյունքում կապահովվի առավել մեծ թվով հուշարձան այցելող զբոսաշրջիկների և այցելուների սպասարկման հարցը, հնարավորություն կստեղծվի ֆնանսական լրացուցիչ միջոցների ներգրավման, հուշարձանի հետագա պահպանության, լիարժեք օգտագործման և գիտական ուսումնասիրությունների կազմակերպման  համար:</w:t>
      </w:r>
    </w:p>
    <w:p w:rsidR="001A120D" w:rsidRPr="00675EAF" w:rsidRDefault="001A120D" w:rsidP="001A120D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675EAF">
        <w:rPr>
          <w:rFonts w:ascii="GHEA Grapalat" w:hAnsi="GHEA Grapalat" w:cs="Arial"/>
          <w:b/>
          <w:lang w:val="hy-AM"/>
        </w:rPr>
        <w:t xml:space="preserve">      </w:t>
      </w:r>
      <w:r w:rsidR="00FB30E9" w:rsidRPr="00FB30E9">
        <w:rPr>
          <w:rFonts w:ascii="GHEA Grapalat" w:hAnsi="GHEA Grapalat" w:cs="Arial"/>
          <w:b/>
          <w:lang w:val="hy-AM"/>
        </w:rPr>
        <w:t xml:space="preserve"> </w:t>
      </w:r>
      <w:r w:rsidRPr="00675EAF">
        <w:rPr>
          <w:rFonts w:ascii="GHEA Grapalat" w:hAnsi="GHEA Grapalat" w:cs="Arial"/>
          <w:b/>
          <w:lang w:val="hy-AM"/>
        </w:rPr>
        <w:t>6. «</w:t>
      </w:r>
      <w:r w:rsidRPr="00675EAF">
        <w:rPr>
          <w:rStyle w:val="Strong"/>
          <w:rFonts w:ascii="GHEA Grapalat" w:hAnsi="GHEA Grapalat"/>
          <w:color w:val="000000"/>
          <w:lang w:val="hy-AM"/>
        </w:rPr>
        <w:t>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</w:t>
      </w:r>
      <w:r w:rsidR="007E6AF4">
        <w:rPr>
          <w:rStyle w:val="Strong"/>
          <w:rFonts w:ascii="GHEA Grapalat" w:hAnsi="GHEA Grapalat"/>
          <w:color w:val="000000"/>
          <w:lang w:val="hy-AM"/>
        </w:rPr>
        <w:t xml:space="preserve"> ոչ առևտրային կազմակերպությանը  </w:t>
      </w:r>
      <w:r w:rsidR="005739E2">
        <w:rPr>
          <w:rStyle w:val="Strong"/>
          <w:rFonts w:ascii="GHEA Grapalat" w:hAnsi="GHEA Grapalat"/>
          <w:color w:val="000000"/>
          <w:lang w:val="hy-AM"/>
        </w:rPr>
        <w:t xml:space="preserve">անհատույց և անժամկետ օգտագործման </w:t>
      </w:r>
      <w:r w:rsidR="007E6AF4">
        <w:rPr>
          <w:rStyle w:val="Strong"/>
          <w:rFonts w:ascii="GHEA Grapalat" w:hAnsi="GHEA Grapalat"/>
          <w:color w:val="000000"/>
          <w:lang w:val="hy-AM"/>
        </w:rPr>
        <w:t xml:space="preserve">իրավունքով </w:t>
      </w:r>
      <w:r w:rsidRPr="00675EAF">
        <w:rPr>
          <w:rStyle w:val="Strong"/>
          <w:rFonts w:ascii="GHEA Grapalat" w:hAnsi="GHEA Grapalat"/>
          <w:color w:val="000000"/>
          <w:lang w:val="hy-AM"/>
        </w:rPr>
        <w:t xml:space="preserve">գույք ամրացնելու </w:t>
      </w:r>
      <w:r w:rsidRPr="00675EAF">
        <w:rPr>
          <w:rStyle w:val="Strong"/>
          <w:rFonts w:ascii="GHEA Grapalat" w:eastAsia="Arial Unicode MS" w:hAnsi="GHEA Grapalat"/>
          <w:color w:val="000000"/>
          <w:lang w:val="hy-AM"/>
        </w:rPr>
        <w:t xml:space="preserve">մասին» </w:t>
      </w:r>
      <w:r w:rsidRPr="00675EAF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որոշման նախագծի </w:t>
      </w:r>
      <w:r w:rsidRPr="00675EAF">
        <w:rPr>
          <w:rFonts w:ascii="GHEA Grapalat" w:hAnsi="GHEA Grapalat" w:cs="Sylfaen"/>
          <w:b/>
          <w:iCs/>
          <w:lang w:val="hy-AM"/>
        </w:rPr>
        <w:t>ընդունման կապը ռազմավարական փաստաթղթերի հետ.</w:t>
      </w:r>
    </w:p>
    <w:p w:rsidR="001A120D" w:rsidRPr="00675EAF" w:rsidRDefault="001A120D" w:rsidP="001A120D">
      <w:pPr>
        <w:spacing w:after="0" w:line="360" w:lineRule="auto"/>
        <w:ind w:left="86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75EAF">
        <w:rPr>
          <w:rFonts w:ascii="GHEA Grapalat" w:hAnsi="GHEA Grapalat" w:cs="Arial"/>
          <w:b/>
          <w:sz w:val="24"/>
          <w:szCs w:val="24"/>
          <w:lang w:val="hy-AM"/>
        </w:rPr>
        <w:t xml:space="preserve">    «</w:t>
      </w:r>
      <w:r w:rsidRPr="00675EAF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առևտրային կազմակերպությանը </w:t>
      </w:r>
      <w:r w:rsidR="00111B6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անհատույց և անժամկետ օգտագործման</w:t>
      </w:r>
      <w:r w:rsidR="007E6AF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իրավունքով </w:t>
      </w:r>
      <w:r w:rsidRPr="00675EAF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գույք ամրացնելու մասին»</w:t>
      </w:r>
      <w:r w:rsidRPr="00675EA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նախագիծը 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վերափոխման ռազմավարության» 2050 ցուցանիշների Մեր ազգային արժեքները մասի 10-րդ կետին՝ նկատի ունենալով, որ «Զորաց քարեր» հուշարձանը  հանդիսանում է ազգային արժեքների նյութական ժառանգության բաղադրիչների կարևորագույն մաս, հայ ժողովրդի պատմության,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հնագույն 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ժամանակաշրջանի նշանակալի դրսևորումներից, ուստի այն առավել դիտարժան և գրավիչ դարձնելը, գովազդելը, զբոսաշրջային ծրագրերում հուշարձանը ներառելու 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գործոնը հավաստագրելը, զբոսաշրջիկների քաղաքակիրթ սպասարկումը, սննդի, հանգստի կազմակերպումը զգալիորեն առնչվում է այցելուների և սպասարկման համար նախատեսված օբյեկտների անհրաժեշտ լուսավորության հարցը լուծելու հետ: Գործընթացի իրականացմամբ կապահովվի նաև արժեքավոր հուշարձանի  պահպանական միջոցառումների կազմակերպումը՝ հուշարձանի կիսաքանդ կառույցների հետագա ուսումնասիրման, ամրակայման, նորոգման, վերականգնման և տարածքի բարեկարգման աշխատանքների ապահովումը, զբոսաշրջային նպատակներով հուշարձանի գովազդումը և հանրահռչակումը, մշակութային և էկոտուրիզմի զարգացումը:  </w:t>
      </w:r>
    </w:p>
    <w:p w:rsidR="001A120D" w:rsidRPr="00675EAF" w:rsidRDefault="001A120D" w:rsidP="001A120D">
      <w:pPr>
        <w:spacing w:after="0" w:line="360" w:lineRule="auto"/>
        <w:ind w:left="86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 ձեռքբերումը 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պահանջի հետ կապը հուշարձանի վերաբերյալ հանրությանը հստակ տեղեկատվության տրամադրման գործընթացների իրականացումն է, այն բնական միջավայրում ցուցադրելու, մշակութային զանազան միջոցառումների իրականացման հնարավորությունների ստեղծումն է:</w:t>
      </w:r>
    </w:p>
    <w:p w:rsidR="001A120D" w:rsidRPr="00675EAF" w:rsidRDefault="001A120D" w:rsidP="001A120D">
      <w:pPr>
        <w:tabs>
          <w:tab w:val="left" w:pos="709"/>
        </w:tabs>
        <w:spacing w:after="0" w:line="360" w:lineRule="auto"/>
        <w:ind w:left="86" w:firstLine="28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75EAF">
        <w:rPr>
          <w:rFonts w:ascii="GHEA Grapalat" w:hAnsi="GHEA Grapalat" w:cs="Sylfaen"/>
          <w:b/>
          <w:sz w:val="24"/>
          <w:szCs w:val="24"/>
          <w:lang w:val="hy-AM"/>
        </w:rPr>
        <w:t xml:space="preserve">   7. Լրացուցիչ ֆինանսական միջոցների անհրաժեշտությունը և պետական բյուջեի եկամուտներում և ծախսերում սպասվելիք փոփոխությունները.</w:t>
      </w:r>
    </w:p>
    <w:p w:rsidR="001A120D" w:rsidRPr="00675EAF" w:rsidRDefault="001A120D" w:rsidP="001A120D">
      <w:pPr>
        <w:tabs>
          <w:tab w:val="left" w:pos="709"/>
        </w:tabs>
        <w:spacing w:after="0" w:line="360" w:lineRule="auto"/>
        <w:ind w:left="86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B30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FB30E9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FB30E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նախարարության «Պատմամշակութային արգելոց-թանգարանների և պատմական միջավայրի պահպանության ծառայություն» պետական ոչ առևտրային կազմակերպությանը</w:t>
      </w:r>
      <w:r w:rsidR="007E6A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111B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անհատույց և անժամկետ օգտագործման</w:t>
      </w:r>
      <w:r w:rsidR="007E6AF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իրավունքով</w:t>
      </w:r>
      <w:r w:rsidRPr="00FB30E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գույք ամրացնելու մասին»</w:t>
      </w:r>
      <w:r w:rsidRPr="00FB30E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որոշման ընդունումը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Pr="00675EAF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:rsidR="001A120D" w:rsidRPr="00675EAF" w:rsidRDefault="001A120D" w:rsidP="001A120D">
      <w:pPr>
        <w:spacing w:after="0" w:line="360" w:lineRule="auto"/>
        <w:ind w:left="86" w:firstLine="288"/>
        <w:rPr>
          <w:rFonts w:ascii="GHEA Grapalat" w:hAnsi="GHEA Grapalat"/>
          <w:sz w:val="24"/>
          <w:szCs w:val="24"/>
          <w:lang w:val="hy-AM"/>
        </w:rPr>
      </w:pPr>
    </w:p>
    <w:p w:rsidR="001A120D" w:rsidRPr="00675EAF" w:rsidRDefault="001A120D" w:rsidP="001A120D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A120D" w:rsidRPr="00675EAF" w:rsidSect="00FB30E9">
      <w:pgSz w:w="12240" w:h="15840"/>
      <w:pgMar w:top="720" w:right="72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A69"/>
    <w:rsid w:val="00111B6C"/>
    <w:rsid w:val="001A120D"/>
    <w:rsid w:val="002C1493"/>
    <w:rsid w:val="002D1A69"/>
    <w:rsid w:val="00372F64"/>
    <w:rsid w:val="004C5EB5"/>
    <w:rsid w:val="005739E2"/>
    <w:rsid w:val="007E6AF4"/>
    <w:rsid w:val="00946EFF"/>
    <w:rsid w:val="00992C3E"/>
    <w:rsid w:val="00B442F6"/>
    <w:rsid w:val="00DC7E2D"/>
    <w:rsid w:val="00E755C9"/>
    <w:rsid w:val="00FB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158550-3A80-4EC7-A88D-6E8221BB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2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1A120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120D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1A1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A120D"/>
  </w:style>
  <w:style w:type="character" w:customStyle="1" w:styleId="NormalWebChar">
    <w:name w:val="Normal (Web) Char"/>
    <w:aliases w:val="webb Char"/>
    <w:link w:val="NormalWeb"/>
    <w:uiPriority w:val="99"/>
    <w:locked/>
    <w:rsid w:val="001A120D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1A120D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qFormat/>
    <w:rsid w:val="001A120D"/>
    <w:pPr>
      <w:spacing w:after="0" w:line="240" w:lineRule="auto"/>
      <w:jc w:val="center"/>
    </w:pPr>
    <w:rPr>
      <w:rFonts w:ascii="Arial Armenian" w:hAnsi="Arial Armenian" w:cs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829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15</cp:revision>
  <dcterms:created xsi:type="dcterms:W3CDTF">2024-07-11T05:52:00Z</dcterms:created>
  <dcterms:modified xsi:type="dcterms:W3CDTF">2024-08-07T12:05:00Z</dcterms:modified>
</cp:coreProperties>
</file>