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1DEA0" w14:textId="77777777" w:rsidR="003B5EE7" w:rsidRDefault="003B5EE7" w:rsidP="003B5EE7">
      <w:pPr>
        <w:tabs>
          <w:tab w:val="left" w:pos="4536"/>
          <w:tab w:val="left" w:pos="7088"/>
        </w:tabs>
        <w:spacing w:line="360" w:lineRule="auto"/>
        <w:jc w:val="center"/>
        <w:rPr>
          <w:rFonts w:ascii="GHEA Grapalat" w:hAnsi="GHEA Grapalat" w:cs="Sylfaen"/>
          <w:b/>
          <w:sz w:val="28"/>
          <w:szCs w:val="28"/>
        </w:rPr>
      </w:pPr>
      <w:bookmarkStart w:id="0" w:name="_GoBack"/>
      <w:bookmarkEnd w:id="0"/>
    </w:p>
    <w:p w14:paraId="4D7B08BA" w14:textId="77777777" w:rsidR="00D33C63" w:rsidRPr="00C84841" w:rsidRDefault="00D33C63" w:rsidP="00D33C63">
      <w:pPr>
        <w:spacing w:line="360" w:lineRule="auto"/>
        <w:contextualSpacing/>
        <w:jc w:val="center"/>
        <w:rPr>
          <w:rFonts w:ascii="GHEA Grapalat" w:hAnsi="GHEA Grapalat" w:cs="Sylfaen"/>
          <w:b/>
        </w:rPr>
      </w:pPr>
      <w:r w:rsidRPr="00C84841">
        <w:rPr>
          <w:rFonts w:ascii="GHEA Grapalat" w:hAnsi="GHEA Grapalat" w:cs="Sylfaen"/>
          <w:b/>
        </w:rPr>
        <w:t>ՀԱՅԱՍՏԱՆԻ</w:t>
      </w:r>
      <w:r w:rsidRPr="00C84841">
        <w:rPr>
          <w:rFonts w:ascii="GHEA Grapalat" w:hAnsi="GHEA Grapalat"/>
          <w:b/>
        </w:rPr>
        <w:t xml:space="preserve"> </w:t>
      </w:r>
      <w:r w:rsidRPr="00C84841">
        <w:rPr>
          <w:rFonts w:ascii="GHEA Grapalat" w:hAnsi="GHEA Grapalat" w:cs="Sylfaen"/>
          <w:b/>
        </w:rPr>
        <w:t>ՀԱՆՐԱՊԵՏՈՒԹՅԱՆ</w:t>
      </w:r>
      <w:r w:rsidRPr="00C84841">
        <w:rPr>
          <w:rFonts w:ascii="GHEA Grapalat" w:hAnsi="GHEA Grapalat"/>
          <w:b/>
        </w:rPr>
        <w:t xml:space="preserve"> </w:t>
      </w:r>
      <w:r w:rsidRPr="00C84841">
        <w:rPr>
          <w:rFonts w:ascii="GHEA Grapalat" w:hAnsi="GHEA Grapalat" w:cs="Sylfaen"/>
          <w:b/>
        </w:rPr>
        <w:t>ՕՐԵՆՔԸ</w:t>
      </w:r>
    </w:p>
    <w:p w14:paraId="040AA097" w14:textId="5B36D9E4" w:rsidR="00D33C63" w:rsidRPr="00C84841" w:rsidRDefault="00D33C63" w:rsidP="00D33C63">
      <w:pPr>
        <w:spacing w:line="360" w:lineRule="auto"/>
        <w:contextualSpacing/>
        <w:jc w:val="center"/>
        <w:rPr>
          <w:rFonts w:ascii="GHEA Grapalat" w:hAnsi="GHEA Grapalat"/>
          <w:b/>
        </w:rPr>
      </w:pPr>
      <w:r w:rsidRPr="00C84841">
        <w:rPr>
          <w:rFonts w:ascii="GHEA Grapalat" w:hAnsi="GHEA Grapalat"/>
          <w:b/>
        </w:rPr>
        <w:t>ՀԱՅԱՍՏԱՆԻ ՀԱՆՐԱՊԵՏՈՒԹՅԱՆ ՎԱՐՉԱԿԱՆ ԴԱՏԱՎԱՐՈՒԹՅԱՆ ՕՐԵՆՍԳՐՔՈՒՄ ԼՐԱՑՈՒՄՆԵՐ ԵՎ ՓՈՓՈԽՈՒԹՅՈՒՆՆԵՐ ԿԱՏԱՐԵԼՈՒ ՄԱՍԻՆ</w:t>
      </w:r>
    </w:p>
    <w:p w14:paraId="26BF6C3E" w14:textId="77777777" w:rsidR="00D33C63" w:rsidRPr="00C84841" w:rsidRDefault="00D33C63" w:rsidP="00D33C63">
      <w:pPr>
        <w:pStyle w:val="ListParagraph"/>
        <w:shd w:val="clear" w:color="auto" w:fill="FFFFFF"/>
        <w:spacing w:after="0" w:line="360" w:lineRule="auto"/>
        <w:ind w:left="810"/>
        <w:jc w:val="both"/>
        <w:rPr>
          <w:rFonts w:ascii="GHEA Grapalat" w:hAnsi="GHEA Grapalat"/>
          <w:sz w:val="24"/>
          <w:szCs w:val="24"/>
          <w:lang w:val="hy-AM"/>
        </w:rPr>
      </w:pPr>
    </w:p>
    <w:p w14:paraId="0F88B398" w14:textId="621AB3C7" w:rsidR="000326E9" w:rsidRPr="0005286C" w:rsidRDefault="00D33C63" w:rsidP="00590830">
      <w:pPr>
        <w:pStyle w:val="ListParagraph"/>
        <w:numPr>
          <w:ilvl w:val="0"/>
          <w:numId w:val="2"/>
        </w:numPr>
        <w:shd w:val="clear" w:color="auto" w:fill="FFFFFF"/>
        <w:spacing w:after="0" w:line="360" w:lineRule="auto"/>
        <w:ind w:left="0" w:firstLine="540"/>
        <w:jc w:val="both"/>
        <w:rPr>
          <w:rFonts w:ascii="GHEA Grapalat" w:eastAsia="Times New Roman" w:hAnsi="GHEA Grapalat" w:cs="Times New Roman"/>
          <w:sz w:val="24"/>
          <w:szCs w:val="24"/>
          <w:lang w:val="hy-AM"/>
        </w:rPr>
      </w:pPr>
      <w:r w:rsidRPr="00C84841">
        <w:rPr>
          <w:rFonts w:ascii="GHEA Grapalat" w:hAnsi="GHEA Grapalat"/>
          <w:sz w:val="24"/>
          <w:szCs w:val="24"/>
          <w:lang w:val="hy-AM"/>
        </w:rPr>
        <w:t xml:space="preserve">2013 թվականի դեկտեմբերի 5-ի Հայաստանի Հանրապետության վարչական դատավարության օրենսգրքի </w:t>
      </w:r>
      <w:r w:rsidRPr="00C84841">
        <w:rPr>
          <w:rFonts w:ascii="GHEA Grapalat" w:hAnsi="GHEA Grapalat"/>
          <w:color w:val="000000"/>
          <w:sz w:val="24"/>
          <w:szCs w:val="24"/>
          <w:shd w:val="clear" w:color="auto" w:fill="FFFFFF"/>
          <w:lang w:val="hy-AM"/>
        </w:rPr>
        <w:t>(այսուհետ՝ Օրենսգիրք)</w:t>
      </w:r>
      <w:r w:rsidR="00590830">
        <w:rPr>
          <w:rFonts w:ascii="GHEA Grapalat" w:hAnsi="GHEA Grapalat"/>
          <w:color w:val="000000"/>
          <w:sz w:val="24"/>
          <w:szCs w:val="24"/>
          <w:shd w:val="clear" w:color="auto" w:fill="FFFFFF"/>
          <w:lang w:val="hy-AM"/>
        </w:rPr>
        <w:t xml:space="preserve"> </w:t>
      </w:r>
      <w:r w:rsidR="000326E9">
        <w:rPr>
          <w:rFonts w:ascii="GHEA Grapalat" w:hAnsi="GHEA Grapalat"/>
          <w:color w:val="000000"/>
          <w:sz w:val="24"/>
          <w:szCs w:val="24"/>
          <w:shd w:val="clear" w:color="auto" w:fill="FFFFFF"/>
          <w:lang w:val="hy-AM"/>
        </w:rPr>
        <w:t xml:space="preserve">8-րդ հոդվածի 7-րդ մասում «կատարվում է դռնփակ» բառերից հետո լրացնել «, բացառությամբ այն դեպքերի, </w:t>
      </w:r>
      <w:r w:rsidR="000326E9" w:rsidRPr="000326E9">
        <w:rPr>
          <w:rFonts w:ascii="GHEA Grapalat" w:hAnsi="GHEA Grapalat"/>
          <w:color w:val="000000"/>
          <w:sz w:val="24"/>
          <w:szCs w:val="24"/>
          <w:shd w:val="clear" w:color="auto" w:fill="FFFFFF"/>
          <w:lang w:val="hy-AM"/>
        </w:rPr>
        <w:t>երբ դատարանն իր նախաձեռնությամբ կամ կողմի միջնորդությամբ որոշում է կայացնում գործի քննությունը դռնբաց իրականացնելու վերաբերյալ</w:t>
      </w:r>
      <w:r w:rsidR="000326E9">
        <w:rPr>
          <w:rFonts w:ascii="GHEA Grapalat" w:hAnsi="GHEA Grapalat"/>
          <w:color w:val="000000"/>
          <w:sz w:val="24"/>
          <w:szCs w:val="24"/>
          <w:shd w:val="clear" w:color="auto" w:fill="FFFFFF"/>
          <w:lang w:val="hy-AM"/>
        </w:rPr>
        <w:t>»</w:t>
      </w:r>
      <w:r w:rsidR="0005286C">
        <w:rPr>
          <w:rFonts w:ascii="GHEA Grapalat" w:hAnsi="GHEA Grapalat"/>
          <w:color w:val="000000"/>
          <w:sz w:val="24"/>
          <w:szCs w:val="24"/>
          <w:shd w:val="clear" w:color="auto" w:fill="FFFFFF"/>
          <w:lang w:val="hy-AM"/>
        </w:rPr>
        <w:t xml:space="preserve"> բառերը</w:t>
      </w:r>
      <w:r w:rsidR="000326E9" w:rsidRPr="000326E9">
        <w:rPr>
          <w:rFonts w:ascii="GHEA Grapalat" w:hAnsi="GHEA Grapalat"/>
          <w:color w:val="000000"/>
          <w:sz w:val="24"/>
          <w:szCs w:val="24"/>
          <w:shd w:val="clear" w:color="auto" w:fill="FFFFFF"/>
          <w:lang w:val="hy-AM"/>
        </w:rPr>
        <w:t>:</w:t>
      </w:r>
    </w:p>
    <w:p w14:paraId="3943345D" w14:textId="77777777" w:rsidR="000326E9" w:rsidRPr="0005286C" w:rsidRDefault="000326E9" w:rsidP="0005286C">
      <w:pPr>
        <w:pStyle w:val="ListParagraph"/>
        <w:shd w:val="clear" w:color="auto" w:fill="FFFFFF"/>
        <w:spacing w:after="0" w:line="360" w:lineRule="auto"/>
        <w:ind w:left="540"/>
        <w:jc w:val="both"/>
        <w:rPr>
          <w:rFonts w:ascii="GHEA Grapalat" w:eastAsia="Times New Roman" w:hAnsi="GHEA Grapalat" w:cs="Times New Roman"/>
          <w:sz w:val="24"/>
          <w:szCs w:val="24"/>
          <w:lang w:val="hy-AM"/>
        </w:rPr>
      </w:pPr>
    </w:p>
    <w:p w14:paraId="18A84085" w14:textId="0B6024A2" w:rsidR="00D33C63" w:rsidRPr="00590830" w:rsidRDefault="000326E9" w:rsidP="00590830">
      <w:pPr>
        <w:pStyle w:val="ListParagraph"/>
        <w:numPr>
          <w:ilvl w:val="0"/>
          <w:numId w:val="2"/>
        </w:numPr>
        <w:shd w:val="clear" w:color="auto" w:fill="FFFFFF"/>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Օրենսգրքի 1</w:t>
      </w:r>
      <w:r w:rsidR="00D33C63" w:rsidRPr="00590830">
        <w:rPr>
          <w:rFonts w:ascii="GHEA Grapalat" w:hAnsi="GHEA Grapalat"/>
          <w:color w:val="000000"/>
          <w:sz w:val="24"/>
          <w:szCs w:val="24"/>
          <w:shd w:val="clear" w:color="auto" w:fill="FFFFFF"/>
          <w:lang w:val="hy-AM"/>
        </w:rPr>
        <w:t xml:space="preserve">01-րդ հոդվածի 1-ին մասը </w:t>
      </w:r>
      <w:r w:rsidR="00D33C63" w:rsidRPr="00590830">
        <w:rPr>
          <w:rFonts w:ascii="GHEA Grapalat" w:hAnsi="GHEA Grapalat"/>
          <w:sz w:val="24"/>
          <w:szCs w:val="24"/>
          <w:lang w:val="hy-AM"/>
        </w:rPr>
        <w:t>լրացնել հետևյալ բովանդակությամբ 4-րդ կետով.</w:t>
      </w:r>
    </w:p>
    <w:p w14:paraId="09BFF86D" w14:textId="77777777" w:rsidR="00D33C63" w:rsidRPr="00C84841" w:rsidRDefault="00D33C63" w:rsidP="00D33C63">
      <w:pPr>
        <w:pStyle w:val="ListParagraph"/>
        <w:shd w:val="clear" w:color="auto" w:fill="FFFFFF"/>
        <w:spacing w:after="0" w:line="360" w:lineRule="auto"/>
        <w:ind w:left="540"/>
        <w:jc w:val="both"/>
        <w:rPr>
          <w:rFonts w:ascii="GHEA Grapalat" w:eastAsia="Times New Roman" w:hAnsi="GHEA Grapalat" w:cs="Times New Roman"/>
          <w:color w:val="000000"/>
          <w:sz w:val="24"/>
          <w:szCs w:val="24"/>
          <w:lang w:val="hy-AM"/>
        </w:rPr>
      </w:pPr>
      <w:r w:rsidRPr="00C84841">
        <w:rPr>
          <w:rFonts w:ascii="GHEA Grapalat" w:hAnsi="GHEA Grapalat"/>
          <w:sz w:val="24"/>
          <w:szCs w:val="24"/>
          <w:lang w:val="hy-AM"/>
        </w:rPr>
        <w:t>«</w:t>
      </w:r>
      <w:r w:rsidRPr="00C84841">
        <w:rPr>
          <w:rFonts w:ascii="GHEA Grapalat" w:eastAsia="Times New Roman" w:hAnsi="GHEA Grapalat" w:cs="Times New Roman"/>
          <w:color w:val="000000"/>
          <w:sz w:val="24"/>
          <w:szCs w:val="24"/>
        </w:rPr>
        <w:t xml:space="preserve">4) </w:t>
      </w:r>
      <w:r w:rsidRPr="00C84841">
        <w:rPr>
          <w:rFonts w:ascii="GHEA Grapalat" w:eastAsia="Times New Roman" w:hAnsi="GHEA Grapalat" w:cs="Times New Roman"/>
          <w:color w:val="000000"/>
          <w:sz w:val="24"/>
          <w:szCs w:val="24"/>
          <w:lang w:val="hy-AM"/>
        </w:rPr>
        <w:t>իրավունքի իրականացման սահմանափակում:»:</w:t>
      </w:r>
    </w:p>
    <w:p w14:paraId="24AA135D" w14:textId="77777777" w:rsidR="00D33C63" w:rsidRPr="00C84841" w:rsidRDefault="00D33C63" w:rsidP="00D33C63">
      <w:pPr>
        <w:pStyle w:val="ListParagraph"/>
        <w:shd w:val="clear" w:color="auto" w:fill="FFFFFF"/>
        <w:spacing w:after="0" w:line="360" w:lineRule="auto"/>
        <w:ind w:left="540"/>
        <w:jc w:val="both"/>
        <w:rPr>
          <w:rFonts w:ascii="GHEA Grapalat" w:hAnsi="GHEA Grapalat"/>
          <w:sz w:val="24"/>
          <w:szCs w:val="24"/>
        </w:rPr>
      </w:pPr>
    </w:p>
    <w:p w14:paraId="0BCB4211" w14:textId="77777777" w:rsidR="00A11819" w:rsidRPr="00A11819" w:rsidRDefault="00D33C63" w:rsidP="00A11819">
      <w:pPr>
        <w:pStyle w:val="ListParagraph"/>
        <w:numPr>
          <w:ilvl w:val="0"/>
          <w:numId w:val="2"/>
        </w:numPr>
        <w:shd w:val="clear" w:color="auto" w:fill="FFFFFF"/>
        <w:spacing w:after="0" w:line="360" w:lineRule="auto"/>
        <w:ind w:left="0" w:firstLine="540"/>
        <w:jc w:val="both"/>
        <w:rPr>
          <w:rFonts w:ascii="GHEA Grapalat" w:hAnsi="GHEA Grapalat"/>
          <w:sz w:val="24"/>
          <w:szCs w:val="24"/>
        </w:rPr>
      </w:pPr>
      <w:r w:rsidRPr="00C84841">
        <w:rPr>
          <w:rFonts w:ascii="GHEA Grapalat" w:hAnsi="GHEA Grapalat"/>
          <w:sz w:val="24"/>
          <w:szCs w:val="24"/>
          <w:lang w:val="hy-AM"/>
        </w:rPr>
        <w:t>Օրենսգրքի 101.2-րդ հոդված</w:t>
      </w:r>
      <w:r w:rsidR="00A11819">
        <w:rPr>
          <w:rFonts w:ascii="GHEA Grapalat" w:hAnsi="GHEA Grapalat"/>
          <w:sz w:val="24"/>
          <w:szCs w:val="24"/>
          <w:lang w:val="hy-AM"/>
        </w:rPr>
        <w:t>ում՝</w:t>
      </w:r>
    </w:p>
    <w:p w14:paraId="7BF5E32D" w14:textId="77777777" w:rsidR="00A11819" w:rsidRDefault="00A11819" w:rsidP="00A11819">
      <w:pPr>
        <w:shd w:val="clear" w:color="auto" w:fill="FFFFFF"/>
        <w:spacing w:line="360" w:lineRule="auto"/>
        <w:ind w:firstLine="562"/>
        <w:jc w:val="both"/>
        <w:rPr>
          <w:rFonts w:ascii="GHEA Grapalat" w:hAnsi="GHEA Grapalat"/>
        </w:rPr>
      </w:pPr>
      <w:r w:rsidRPr="00A11819">
        <w:rPr>
          <w:rFonts w:ascii="GHEA Grapalat" w:hAnsi="GHEA Grapalat"/>
        </w:rPr>
        <w:t>1</w:t>
      </w:r>
      <w:r w:rsidRPr="00A11819">
        <w:rPr>
          <w:rFonts w:ascii="GHEA Grapalat" w:hAnsi="GHEA Grapalat"/>
          <w:lang w:val="en-US"/>
        </w:rPr>
        <w:t xml:space="preserve">) </w:t>
      </w:r>
      <w:r w:rsidRPr="00A11819">
        <w:rPr>
          <w:rFonts w:ascii="GHEA Grapalat" w:hAnsi="GHEA Grapalat"/>
        </w:rPr>
        <w:t>3-րդ մասի 2-րդ նախադասությունը հանել.</w:t>
      </w:r>
    </w:p>
    <w:p w14:paraId="69A88DE8" w14:textId="77777777" w:rsidR="00A11819" w:rsidRDefault="00A11819" w:rsidP="00A11819">
      <w:pPr>
        <w:shd w:val="clear" w:color="auto" w:fill="FFFFFF"/>
        <w:spacing w:line="360" w:lineRule="auto"/>
        <w:ind w:firstLine="562"/>
        <w:jc w:val="both"/>
        <w:rPr>
          <w:rFonts w:ascii="GHEA Grapalat" w:hAnsi="GHEA Grapalat"/>
        </w:rPr>
      </w:pPr>
      <w:r w:rsidRPr="00A11819">
        <w:rPr>
          <w:rFonts w:ascii="GHEA Grapalat" w:hAnsi="GHEA Grapalat"/>
          <w:lang w:val="en-US"/>
        </w:rPr>
        <w:t xml:space="preserve">2) </w:t>
      </w:r>
      <w:r w:rsidRPr="00A11819">
        <w:rPr>
          <w:rFonts w:ascii="GHEA Grapalat" w:hAnsi="GHEA Grapalat"/>
        </w:rPr>
        <w:t>լրացնել հետևյալ բովանդակությամբ 4-րդ մասով.</w:t>
      </w:r>
    </w:p>
    <w:p w14:paraId="71A7AE58" w14:textId="77B158CC" w:rsidR="00A11819" w:rsidRPr="00A11819" w:rsidRDefault="00A11819" w:rsidP="00A11819">
      <w:pPr>
        <w:shd w:val="clear" w:color="auto" w:fill="FFFFFF"/>
        <w:spacing w:line="360" w:lineRule="auto"/>
        <w:ind w:firstLine="562"/>
        <w:jc w:val="both"/>
        <w:rPr>
          <w:rFonts w:ascii="GHEA Grapalat" w:hAnsi="GHEA Grapalat"/>
        </w:rPr>
      </w:pPr>
      <w:r w:rsidRPr="00A11819">
        <w:rPr>
          <w:rFonts w:ascii="GHEA Grapalat" w:hAnsi="GHEA Grapalat"/>
        </w:rPr>
        <w:t>«4. Եթե վերաքննիչ կամ Վճռաբեկ դատարանը վերացնում է դատական տուգանք կիրառելու մասին որոշումը, ապա դատական ակտով լուծում է նաև նախապես վճարված տուգանքի վերադարձի հարցը:»:</w:t>
      </w:r>
    </w:p>
    <w:p w14:paraId="4BF99396" w14:textId="77777777" w:rsidR="00D33C63" w:rsidRPr="00C84841" w:rsidRDefault="00D33C63" w:rsidP="00D33C63">
      <w:pPr>
        <w:pStyle w:val="ListParagraph"/>
        <w:shd w:val="clear" w:color="auto" w:fill="FFFFFF"/>
        <w:tabs>
          <w:tab w:val="left" w:pos="900"/>
        </w:tabs>
        <w:spacing w:after="0" w:line="360" w:lineRule="auto"/>
        <w:ind w:left="540"/>
        <w:jc w:val="both"/>
        <w:rPr>
          <w:rFonts w:ascii="GHEA Grapalat" w:hAnsi="GHEA Grapalat"/>
          <w:sz w:val="24"/>
          <w:szCs w:val="24"/>
          <w:lang w:val="hy-AM"/>
        </w:rPr>
      </w:pPr>
    </w:p>
    <w:p w14:paraId="409FC0BA" w14:textId="4189558F" w:rsidR="00D33C63" w:rsidRPr="00DF2C9D" w:rsidRDefault="00D33C63" w:rsidP="00D33C63">
      <w:pPr>
        <w:pStyle w:val="ListParagraph"/>
        <w:numPr>
          <w:ilvl w:val="0"/>
          <w:numId w:val="2"/>
        </w:numPr>
        <w:shd w:val="clear" w:color="auto" w:fill="FFFFFF"/>
        <w:spacing w:after="0" w:line="360" w:lineRule="auto"/>
        <w:ind w:left="0" w:firstLine="540"/>
        <w:jc w:val="both"/>
        <w:rPr>
          <w:rFonts w:ascii="GHEA Grapalat" w:hAnsi="GHEA Grapalat"/>
          <w:sz w:val="24"/>
          <w:szCs w:val="24"/>
          <w:lang w:val="hy-AM"/>
        </w:rPr>
      </w:pPr>
      <w:r w:rsidRPr="00C84841">
        <w:rPr>
          <w:rFonts w:ascii="GHEA Grapalat" w:hAnsi="GHEA Grapalat"/>
          <w:sz w:val="24"/>
          <w:szCs w:val="24"/>
          <w:lang w:val="hy-AM"/>
        </w:rPr>
        <w:t>Օրենսգիրքը լրացնել հետևյալ բովանդակությամբ 101.3-</w:t>
      </w:r>
      <w:r w:rsidR="008E354D">
        <w:rPr>
          <w:rFonts w:ascii="GHEA Grapalat" w:hAnsi="GHEA Grapalat"/>
          <w:sz w:val="24"/>
          <w:szCs w:val="24"/>
          <w:lang w:val="hy-AM"/>
        </w:rPr>
        <w:t xml:space="preserve">րդ և </w:t>
      </w:r>
      <w:r w:rsidRPr="00C84841">
        <w:rPr>
          <w:rFonts w:ascii="GHEA Grapalat" w:hAnsi="GHEA Grapalat"/>
          <w:sz w:val="24"/>
          <w:szCs w:val="24"/>
          <w:lang w:val="hy-AM"/>
        </w:rPr>
        <w:t>101.</w:t>
      </w:r>
      <w:r w:rsidR="008E354D">
        <w:rPr>
          <w:rFonts w:ascii="GHEA Grapalat" w:hAnsi="GHEA Grapalat"/>
          <w:sz w:val="24"/>
          <w:szCs w:val="24"/>
          <w:lang w:val="hy-AM"/>
        </w:rPr>
        <w:t>4</w:t>
      </w:r>
      <w:r w:rsidRPr="00C84841">
        <w:rPr>
          <w:rFonts w:ascii="GHEA Grapalat" w:hAnsi="GHEA Grapalat"/>
          <w:sz w:val="24"/>
          <w:szCs w:val="24"/>
          <w:lang w:val="hy-AM"/>
        </w:rPr>
        <w:t>-րդ հոդվածներով.</w:t>
      </w:r>
    </w:p>
    <w:p w14:paraId="4BB1743D" w14:textId="77777777"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rPr>
        <w:t>«</w:t>
      </w:r>
      <w:r w:rsidRPr="00C84841">
        <w:rPr>
          <w:rFonts w:ascii="GHEA Grapalat" w:hAnsi="GHEA Grapalat"/>
          <w:b/>
        </w:rPr>
        <w:t>Հոդված 101.3. Դատական նիստից դուրս դատական տուգանք կիրառելու առանձնահատկությունները</w:t>
      </w:r>
    </w:p>
    <w:p w14:paraId="71C52BBD" w14:textId="1C118251"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rPr>
        <w:t xml:space="preserve">1. Եթե դատարանը գտնում է, որ դատավարության </w:t>
      </w:r>
      <w:r w:rsidR="009F3B4F" w:rsidRPr="00C84841">
        <w:rPr>
          <w:rFonts w:ascii="GHEA Grapalat" w:hAnsi="GHEA Grapalat"/>
        </w:rPr>
        <w:t>մասնակի</w:t>
      </w:r>
      <w:r w:rsidR="009F3B4F">
        <w:rPr>
          <w:rFonts w:ascii="GHEA Grapalat" w:hAnsi="GHEA Grapalat"/>
        </w:rPr>
        <w:t>ցը</w:t>
      </w:r>
      <w:r w:rsidR="00EC345C">
        <w:rPr>
          <w:rFonts w:ascii="GHEA Grapalat" w:hAnsi="GHEA Grapalat"/>
        </w:rPr>
        <w:t>, նրա ներկայացուցիչը</w:t>
      </w:r>
      <w:r w:rsidR="009F3B4F">
        <w:rPr>
          <w:rFonts w:ascii="GHEA Grapalat" w:hAnsi="GHEA Grapalat"/>
        </w:rPr>
        <w:t xml:space="preserve"> կամ դատավարությանը մասնակցող այլ անձ</w:t>
      </w:r>
      <w:r w:rsidR="0007354F">
        <w:rPr>
          <w:rFonts w:ascii="GHEA Grapalat" w:hAnsi="GHEA Grapalat"/>
        </w:rPr>
        <w:t>ը</w:t>
      </w:r>
      <w:r w:rsidR="009F3B4F" w:rsidRPr="00C84841">
        <w:rPr>
          <w:rFonts w:ascii="GHEA Grapalat" w:hAnsi="GHEA Grapalat"/>
        </w:rPr>
        <w:t xml:space="preserve"> </w:t>
      </w:r>
      <w:r w:rsidRPr="00C84841">
        <w:rPr>
          <w:rFonts w:ascii="GHEA Grapalat" w:hAnsi="GHEA Grapalat"/>
        </w:rPr>
        <w:t xml:space="preserve">դրսևորել է այնպիսի վարքագիծ կամ կատարել է այնպիսի արարք, որը կարող է հանգեցնել դատական </w:t>
      </w:r>
      <w:r w:rsidRPr="00C84841">
        <w:rPr>
          <w:rFonts w:ascii="GHEA Grapalat" w:hAnsi="GHEA Grapalat"/>
        </w:rPr>
        <w:lastRenderedPageBreak/>
        <w:t>տուգանքի կիրառման, ապա այդ անձից պահանջում է գրավոր պարզաբանում վերոնշյալ վարքագծի կամ արարքի վերաբերյալ: Պարզաբանում պահանջելու մասին ծանուցագրում նշվում են այն հանգամանքները, որոնք դատարանի գնահատմամբ կարող են հանգեցնել դատական տուգանքի կիրառման:</w:t>
      </w:r>
    </w:p>
    <w:p w14:paraId="342BDADC" w14:textId="77777777"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rPr>
        <w:t>2. Գրավոր պարզաբանումը կարող է ներկայացվել պարզաբանում պահանջելու մասին դատարանի ծանուցագիրը ստանալուց հետո հնգօրյա ժամկետում:</w:t>
      </w:r>
    </w:p>
    <w:p w14:paraId="117804AA" w14:textId="0379F572"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rPr>
        <w:t>3. Գրավոր պարզաբանում ներկայացնելու համար սահմանված ժամկետը լրանալուց հետո 20-օրյա ժամկետում դատարանն առանց դատական նիստ հրավիրելու որոշում է դատական տուգանք կիրառելու հարցը: Դատական տուգանք կիրառելու հիմքերի բացակայության դեպքում նույն ժամկետում դատարանը դատավարության մասնակցին</w:t>
      </w:r>
      <w:r w:rsidR="00EC345C">
        <w:rPr>
          <w:rFonts w:ascii="GHEA Grapalat" w:hAnsi="GHEA Grapalat"/>
        </w:rPr>
        <w:t>, նրա ներկայացուցչին</w:t>
      </w:r>
      <w:r w:rsidR="009F3B4F">
        <w:rPr>
          <w:rFonts w:ascii="GHEA Grapalat" w:hAnsi="GHEA Grapalat"/>
        </w:rPr>
        <w:t xml:space="preserve"> կամ դատավարությանը մասնակցող այլ անձին</w:t>
      </w:r>
      <w:r w:rsidRPr="00C84841">
        <w:rPr>
          <w:rFonts w:ascii="GHEA Grapalat" w:hAnsi="GHEA Grapalat"/>
        </w:rPr>
        <w:t xml:space="preserve"> ծանուցում է այդ մասին:</w:t>
      </w:r>
    </w:p>
    <w:p w14:paraId="577FB5E7" w14:textId="35196167" w:rsidR="00D33C63" w:rsidRPr="00C84841" w:rsidRDefault="00D33C63" w:rsidP="00D33C63">
      <w:pPr>
        <w:shd w:val="clear" w:color="auto" w:fill="FFFFFF"/>
        <w:tabs>
          <w:tab w:val="left" w:pos="900"/>
        </w:tabs>
        <w:spacing w:line="360" w:lineRule="auto"/>
        <w:contextualSpacing/>
        <w:jc w:val="both"/>
        <w:rPr>
          <w:rFonts w:ascii="GHEA Grapalat" w:hAnsi="GHEA Grapalat"/>
        </w:rPr>
      </w:pPr>
    </w:p>
    <w:p w14:paraId="59725095" w14:textId="6A609C61"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b/>
          <w:color w:val="000000"/>
          <w:shd w:val="clear" w:color="auto" w:fill="FFFFFF"/>
        </w:rPr>
        <w:t>Հոդված 101.</w:t>
      </w:r>
      <w:r w:rsidR="00984469">
        <w:rPr>
          <w:rFonts w:ascii="GHEA Grapalat" w:hAnsi="GHEA Grapalat"/>
          <w:b/>
          <w:color w:val="000000"/>
          <w:shd w:val="clear" w:color="auto" w:fill="FFFFFF"/>
        </w:rPr>
        <w:t>4</w:t>
      </w:r>
      <w:r w:rsidRPr="00C84841">
        <w:rPr>
          <w:rFonts w:ascii="GHEA Grapalat" w:hAnsi="GHEA Grapalat"/>
          <w:b/>
          <w:color w:val="000000"/>
          <w:shd w:val="clear" w:color="auto" w:fill="FFFFFF"/>
        </w:rPr>
        <w:t>. Իրավունքի իրականացման սահմանափակում կիրառելու առանձնահատկությունները</w:t>
      </w:r>
    </w:p>
    <w:p w14:paraId="118A5307" w14:textId="50418D50"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color w:val="000000"/>
          <w:shd w:val="clear" w:color="auto" w:fill="FFFFFF"/>
        </w:rPr>
        <w:t>1. Իրավունքի իրականացման սահմանափակումը դատավարության մասնակցի</w:t>
      </w:r>
      <w:r w:rsidR="00EC345C">
        <w:rPr>
          <w:rFonts w:ascii="GHEA Grapalat" w:hAnsi="GHEA Grapalat"/>
          <w:color w:val="000000"/>
          <w:shd w:val="clear" w:color="auto" w:fill="FFFFFF"/>
        </w:rPr>
        <w:t>, նրա ներկայացուցչի</w:t>
      </w:r>
      <w:r w:rsidR="00DE0E06">
        <w:rPr>
          <w:rFonts w:ascii="GHEA Grapalat" w:hAnsi="GHEA Grapalat"/>
          <w:color w:val="000000"/>
          <w:shd w:val="clear" w:color="auto" w:fill="FFFFFF"/>
        </w:rPr>
        <w:t xml:space="preserve"> կամ դատավարությանը մասնակցող այլ անձանց</w:t>
      </w:r>
      <w:r w:rsidRPr="00C84841">
        <w:rPr>
          <w:rFonts w:ascii="GHEA Grapalat" w:hAnsi="GHEA Grapalat"/>
          <w:color w:val="000000"/>
          <w:shd w:val="clear" w:color="auto" w:fill="FFFFFF"/>
        </w:rPr>
        <w:t>` որոշակի իրավունքների սույն օրենսգրքով սահմանված պարբերաբար չարաշահման դեպքում համապատասխան որոշմամբ դրանց իրականացման համար ժամանակային կամ քանակական պայմանների սահմանումն է:</w:t>
      </w:r>
    </w:p>
    <w:p w14:paraId="029FE06E" w14:textId="6FD86055"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color w:val="000000"/>
          <w:shd w:val="clear" w:color="auto" w:fill="FFFFFF"/>
        </w:rPr>
        <w:t>2. Սույն հոդվածով նախատեսված դատական սանկցիան կարող է կիրառվել միայն հետևյալ իրավունքները պարբերաբար չարաշահելու դեպքում</w:t>
      </w:r>
      <w:r w:rsidRPr="00C84841">
        <w:rPr>
          <w:rFonts w:ascii="Cambria Math" w:hAnsi="Cambria Math" w:cs="Cambria Math"/>
          <w:color w:val="000000"/>
          <w:shd w:val="clear" w:color="auto" w:fill="FFFFFF"/>
        </w:rPr>
        <w:t>․</w:t>
      </w:r>
    </w:p>
    <w:p w14:paraId="4A7187DE" w14:textId="77777777"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color w:val="000000"/>
          <w:shd w:val="clear" w:color="auto" w:fill="FFFFFF"/>
        </w:rPr>
        <w:t>1) գործի նյութերին ծանոթանալը, դրանց պատճեններ ստանալը, քաղվածքներ, լուսանկարներ, լուսապատճեններ և պատճեններ անելը,</w:t>
      </w:r>
    </w:p>
    <w:p w14:paraId="00763A6E" w14:textId="77777777"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color w:val="000000"/>
          <w:shd w:val="clear" w:color="auto" w:fill="FFFFFF"/>
        </w:rPr>
        <w:t>2) ինքնաբացարկ հայտնելու միջնորդություններ անելը.</w:t>
      </w:r>
    </w:p>
    <w:p w14:paraId="52AC2BDB" w14:textId="2941463A"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color w:val="000000"/>
          <w:shd w:val="clear" w:color="auto" w:fill="FFFFFF"/>
        </w:rPr>
        <w:t>3) ապացույցներ ներկայացնելը</w:t>
      </w:r>
      <w:r w:rsidR="00A118DB">
        <w:rPr>
          <w:rFonts w:ascii="GHEA Grapalat" w:hAnsi="GHEA Grapalat"/>
          <w:color w:val="000000"/>
          <w:shd w:val="clear" w:color="auto" w:fill="FFFFFF"/>
        </w:rPr>
        <w:t xml:space="preserve"> և դրանց հետազոտմանը մասնակցելը</w:t>
      </w:r>
    </w:p>
    <w:p w14:paraId="321B5C9C" w14:textId="77777777"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color w:val="000000"/>
          <w:shd w:val="clear" w:color="auto" w:fill="FFFFFF"/>
        </w:rPr>
        <w:t>4) հարցեր տալը,</w:t>
      </w:r>
    </w:p>
    <w:p w14:paraId="5EBC88C3" w14:textId="77777777"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color w:val="000000"/>
          <w:shd w:val="clear" w:color="auto" w:fill="FFFFFF"/>
        </w:rPr>
        <w:t>5) միջնորդություններ ներկայացնելը,</w:t>
      </w:r>
    </w:p>
    <w:p w14:paraId="01D7949C" w14:textId="77777777" w:rsidR="00D33C63" w:rsidRPr="00C84841" w:rsidRDefault="00D33C63" w:rsidP="00D33C63">
      <w:pPr>
        <w:shd w:val="clear" w:color="auto" w:fill="FFFFFF"/>
        <w:spacing w:line="360" w:lineRule="auto"/>
        <w:ind w:firstLine="547"/>
        <w:contextualSpacing/>
        <w:jc w:val="both"/>
        <w:rPr>
          <w:rFonts w:ascii="GHEA Grapalat" w:hAnsi="GHEA Grapalat"/>
        </w:rPr>
      </w:pPr>
      <w:r w:rsidRPr="00C84841">
        <w:rPr>
          <w:rFonts w:ascii="GHEA Grapalat" w:hAnsi="GHEA Grapalat"/>
          <w:color w:val="000000"/>
          <w:shd w:val="clear" w:color="auto" w:fill="FFFFFF"/>
        </w:rPr>
        <w:t>6) դիրքորոշում ներկայացնելը:</w:t>
      </w:r>
    </w:p>
    <w:p w14:paraId="466CCA23" w14:textId="5C0CBCC4" w:rsidR="00D33C63" w:rsidRDefault="00D33C63" w:rsidP="00D33C63">
      <w:pPr>
        <w:shd w:val="clear" w:color="auto" w:fill="FFFFFF"/>
        <w:spacing w:line="360" w:lineRule="auto"/>
        <w:ind w:firstLine="547"/>
        <w:contextualSpacing/>
        <w:jc w:val="both"/>
        <w:rPr>
          <w:rFonts w:ascii="GHEA Grapalat" w:hAnsi="GHEA Grapalat"/>
          <w:color w:val="000000"/>
          <w:shd w:val="clear" w:color="auto" w:fill="FFFFFF"/>
        </w:rPr>
      </w:pPr>
      <w:r w:rsidRPr="00C84841">
        <w:rPr>
          <w:rFonts w:ascii="GHEA Grapalat" w:hAnsi="GHEA Grapalat"/>
          <w:color w:val="000000"/>
          <w:shd w:val="clear" w:color="auto" w:fill="FFFFFF"/>
        </w:rPr>
        <w:lastRenderedPageBreak/>
        <w:t>3. Սույն հոդվածով նախատեսված դատական սանկցիայի կիրառումը չպետք է բացառի համապատասխան իրավունքի բուն իրացումը:</w:t>
      </w:r>
    </w:p>
    <w:p w14:paraId="586491FB" w14:textId="218EAFCB" w:rsidR="005A55A8" w:rsidRPr="004B5308" w:rsidRDefault="005A55A8" w:rsidP="005A55A8">
      <w:pPr>
        <w:shd w:val="clear" w:color="auto" w:fill="FFFFFF"/>
        <w:spacing w:line="360" w:lineRule="auto"/>
        <w:ind w:firstLine="547"/>
        <w:contextualSpacing/>
        <w:jc w:val="both"/>
        <w:rPr>
          <w:rFonts w:ascii="GHEA Grapalat" w:hAnsi="GHEA Grapalat"/>
        </w:rPr>
      </w:pPr>
      <w:r>
        <w:rPr>
          <w:rFonts w:ascii="GHEA Grapalat" w:hAnsi="GHEA Grapalat"/>
          <w:color w:val="000000"/>
          <w:shd w:val="clear" w:color="auto" w:fill="FFFFFF"/>
        </w:rPr>
        <w:t xml:space="preserve">4. </w:t>
      </w:r>
      <w:r w:rsidRPr="006B009B">
        <w:rPr>
          <w:rFonts w:ascii="GHEA Grapalat" w:hAnsi="GHEA Grapalat"/>
        </w:rPr>
        <w:t xml:space="preserve">Եթե դատարանը գտնում է, որ </w:t>
      </w:r>
      <w:r>
        <w:rPr>
          <w:rFonts w:ascii="GHEA Grapalat" w:hAnsi="GHEA Grapalat"/>
          <w:color w:val="000000"/>
          <w:shd w:val="clear" w:color="auto" w:fill="FFFFFF"/>
        </w:rPr>
        <w:t>դատավարության մասնակիցը, նրա ներկայացուցիչը կամ դատավարությանը մասնակցող այլ անձը</w:t>
      </w:r>
      <w:r w:rsidRPr="006B009B">
        <w:rPr>
          <w:rFonts w:ascii="GHEA Grapalat" w:hAnsi="GHEA Grapalat"/>
        </w:rPr>
        <w:t xml:space="preserve"> դրսևորել է այնպիսի վարքագիծ կամ կատարել է այնպիսի արարք, որը կարող է հանգեցնել </w:t>
      </w:r>
      <w:r>
        <w:rPr>
          <w:rFonts w:ascii="GHEA Grapalat" w:hAnsi="GHEA Grapalat"/>
        </w:rPr>
        <w:t>իրավունքի իրականացման սահմանափակում սանկցիայի</w:t>
      </w:r>
      <w:r w:rsidRPr="006B009B">
        <w:rPr>
          <w:rFonts w:ascii="GHEA Grapalat" w:hAnsi="GHEA Grapalat"/>
        </w:rPr>
        <w:t xml:space="preserve"> կիրառման, ապա այդ անձի</w:t>
      </w:r>
      <w:r>
        <w:rPr>
          <w:rFonts w:ascii="GHEA Grapalat" w:hAnsi="GHEA Grapalat"/>
        </w:rPr>
        <w:t xml:space="preserve">ն հասկանալի ձևով նախազգուշացնում է սանկցիա կիրառելու դատարանի իրավասության մասին, պարզաբանում սանկցիա կիրառելու հիմքերը և հետևանքները: Եթե </w:t>
      </w:r>
      <w:r>
        <w:rPr>
          <w:rFonts w:ascii="GHEA Grapalat" w:hAnsi="GHEA Grapalat"/>
          <w:color w:val="000000"/>
          <w:shd w:val="clear" w:color="auto" w:fill="FFFFFF"/>
        </w:rPr>
        <w:t>դատավարության մասնակիցը, նրա ներկայացուցիչը կամ դատավարությանը մասնակցող այլ անձը</w:t>
      </w:r>
      <w:r w:rsidRPr="006B009B">
        <w:rPr>
          <w:rFonts w:ascii="GHEA Grapalat" w:hAnsi="GHEA Grapalat"/>
        </w:rPr>
        <w:t xml:space="preserve"> </w:t>
      </w:r>
      <w:r>
        <w:rPr>
          <w:rFonts w:ascii="GHEA Grapalat" w:hAnsi="GHEA Grapalat"/>
        </w:rPr>
        <w:t xml:space="preserve">նախազգուշացումից հետո կատարում է սույն հոդվածի 2-րդ մասով նախատեսված գործողություններից որևէ մեկը, </w:t>
      </w:r>
      <w:r w:rsidRPr="004B5308">
        <w:rPr>
          <w:rFonts w:ascii="GHEA Grapalat" w:hAnsi="GHEA Grapalat"/>
        </w:rPr>
        <w:t xml:space="preserve">ապա դատավորն իրավասու է այդ անձի նկատմամբ կիրառելու </w:t>
      </w:r>
      <w:r>
        <w:rPr>
          <w:rFonts w:ascii="GHEA Grapalat" w:hAnsi="GHEA Grapalat"/>
        </w:rPr>
        <w:t xml:space="preserve">իրավունքի իրականացման սահմանափակում </w:t>
      </w:r>
      <w:r w:rsidRPr="004B5308">
        <w:rPr>
          <w:rFonts w:ascii="GHEA Grapalat" w:hAnsi="GHEA Grapalat"/>
        </w:rPr>
        <w:t>սանկցիա</w:t>
      </w:r>
      <w:r>
        <w:rPr>
          <w:rFonts w:ascii="GHEA Grapalat" w:hAnsi="GHEA Grapalat"/>
        </w:rPr>
        <w:t>ն</w:t>
      </w:r>
      <w:r w:rsidRPr="004B5308">
        <w:rPr>
          <w:rFonts w:ascii="GHEA Grapalat" w:hAnsi="GHEA Grapalat"/>
        </w:rPr>
        <w:t>:</w:t>
      </w:r>
    </w:p>
    <w:p w14:paraId="30B6ECD9" w14:textId="63262788" w:rsidR="008D673D" w:rsidRDefault="005A55A8" w:rsidP="00D33C63">
      <w:pPr>
        <w:shd w:val="clear" w:color="auto" w:fill="FFFFFF"/>
        <w:spacing w:line="360" w:lineRule="auto"/>
        <w:ind w:firstLine="547"/>
        <w:contextualSpacing/>
        <w:jc w:val="both"/>
        <w:rPr>
          <w:rFonts w:ascii="GHEA Grapalat" w:hAnsi="GHEA Grapalat"/>
          <w:color w:val="000000"/>
          <w:shd w:val="clear" w:color="auto" w:fill="FFFFFF"/>
        </w:rPr>
      </w:pPr>
      <w:r>
        <w:rPr>
          <w:rFonts w:ascii="GHEA Grapalat" w:hAnsi="GHEA Grapalat"/>
          <w:color w:val="000000"/>
          <w:shd w:val="clear" w:color="auto" w:fill="FFFFFF"/>
        </w:rPr>
        <w:t>5</w:t>
      </w:r>
      <w:r w:rsidR="00D33C63" w:rsidRPr="00C84841">
        <w:rPr>
          <w:rFonts w:ascii="GHEA Grapalat" w:hAnsi="GHEA Grapalat"/>
          <w:color w:val="000000"/>
          <w:shd w:val="clear" w:color="auto" w:fill="FFFFFF"/>
        </w:rPr>
        <w:t>. Իրավունքի իրականացման սահմանափակումը դատական նիստում կիրառվելու դեպքում կայացվում է նույն դատական նիստում դատարանի արձանագրային որոշմամբ, որն ուժի մեջ է մտնում հրապարակման պահից, իսկ դատական նիստից դուրս կայացվելու դեպքում՝ առանձին դատական ակտի ձևով:</w:t>
      </w:r>
    </w:p>
    <w:p w14:paraId="630C5898" w14:textId="3E7F8928" w:rsidR="008D673D" w:rsidRPr="0048635A" w:rsidRDefault="005A55A8" w:rsidP="008D673D">
      <w:pPr>
        <w:shd w:val="clear" w:color="auto" w:fill="FFFFFF"/>
        <w:spacing w:line="360" w:lineRule="auto"/>
        <w:ind w:firstLine="547"/>
        <w:jc w:val="both"/>
        <w:rPr>
          <w:rFonts w:ascii="GHEA Grapalat" w:hAnsi="GHEA Grapalat"/>
        </w:rPr>
      </w:pPr>
      <w:r>
        <w:rPr>
          <w:rFonts w:ascii="GHEA Grapalat" w:hAnsi="GHEA Grapalat"/>
          <w:color w:val="000000"/>
          <w:shd w:val="clear" w:color="auto" w:fill="FFFFFF"/>
        </w:rPr>
        <w:t>6</w:t>
      </w:r>
      <w:r w:rsidR="008D673D">
        <w:rPr>
          <w:rFonts w:ascii="GHEA Grapalat" w:hAnsi="GHEA Grapalat"/>
          <w:color w:val="000000"/>
          <w:shd w:val="clear" w:color="auto" w:fill="FFFFFF"/>
        </w:rPr>
        <w:t xml:space="preserve">. </w:t>
      </w:r>
      <w:r w:rsidR="008D673D" w:rsidRPr="00B61FEA">
        <w:rPr>
          <w:rFonts w:ascii="GHEA Grapalat" w:hAnsi="GHEA Grapalat"/>
          <w:color w:val="000000"/>
          <w:shd w:val="clear" w:color="auto" w:fill="FFFFFF"/>
        </w:rPr>
        <w:t xml:space="preserve"> Իրավունքի իրականացման սահմանափակման ենթարկված անձի կամ նրա ներկայացուցչի միջնորդությամբ դատարանն իրավունք ունի վերականգնելու իրավունքի իրականացումը՝ վերացնելով կիրառված ժամանակային կամ քանակական պայմանները:</w:t>
      </w:r>
      <w:r w:rsidR="008D673D">
        <w:rPr>
          <w:rFonts w:ascii="GHEA Grapalat" w:hAnsi="GHEA Grapalat"/>
          <w:color w:val="000000"/>
          <w:shd w:val="clear" w:color="auto" w:fill="FFFFFF"/>
        </w:rPr>
        <w:t>»:</w:t>
      </w:r>
    </w:p>
    <w:p w14:paraId="612925BA" w14:textId="77777777" w:rsidR="00D33C63" w:rsidRPr="00590830" w:rsidRDefault="00D33C63" w:rsidP="00590830">
      <w:pPr>
        <w:spacing w:line="360" w:lineRule="auto"/>
        <w:jc w:val="both"/>
        <w:rPr>
          <w:rFonts w:ascii="GHEA Grapalat" w:hAnsi="GHEA Grapalat"/>
          <w:color w:val="000000"/>
          <w:shd w:val="clear" w:color="auto" w:fill="FFFFFF"/>
        </w:rPr>
      </w:pPr>
    </w:p>
    <w:p w14:paraId="493106B9" w14:textId="77777777" w:rsidR="00D33C63" w:rsidRPr="00C84841" w:rsidRDefault="00D33C63" w:rsidP="00D33C63">
      <w:pPr>
        <w:pStyle w:val="ListParagraph"/>
        <w:numPr>
          <w:ilvl w:val="0"/>
          <w:numId w:val="2"/>
        </w:numPr>
        <w:spacing w:after="0" w:line="360" w:lineRule="auto"/>
        <w:ind w:left="0" w:firstLine="540"/>
        <w:jc w:val="both"/>
        <w:rPr>
          <w:rFonts w:ascii="GHEA Grapalat" w:hAnsi="GHEA Grapalat"/>
          <w:b/>
          <w:color w:val="000000" w:themeColor="text1"/>
          <w:sz w:val="24"/>
          <w:szCs w:val="24"/>
          <w:lang w:val="hy-AM"/>
        </w:rPr>
      </w:pPr>
      <w:r w:rsidRPr="00C84841">
        <w:rPr>
          <w:rFonts w:ascii="GHEA Grapalat" w:hAnsi="GHEA Grapalat" w:cs="Sylfaen"/>
          <w:b/>
          <w:color w:val="000000" w:themeColor="text1"/>
          <w:sz w:val="24"/>
          <w:szCs w:val="24"/>
          <w:lang w:val="hy-AM"/>
        </w:rPr>
        <w:t>Եզրափակիչ</w:t>
      </w:r>
      <w:r w:rsidRPr="00C84841">
        <w:rPr>
          <w:rFonts w:ascii="GHEA Grapalat" w:hAnsi="GHEA Grapalat"/>
          <w:b/>
          <w:color w:val="000000" w:themeColor="text1"/>
          <w:sz w:val="24"/>
          <w:szCs w:val="24"/>
          <w:lang w:val="hy-AM"/>
        </w:rPr>
        <w:t xml:space="preserve"> մաս և անցումային դրույթներ</w:t>
      </w:r>
    </w:p>
    <w:p w14:paraId="294008A1" w14:textId="77777777" w:rsidR="006D27D8" w:rsidRPr="00C84841" w:rsidRDefault="006D27D8" w:rsidP="006D27D8">
      <w:pPr>
        <w:pStyle w:val="ListParagraph"/>
        <w:spacing w:after="0" w:line="360" w:lineRule="auto"/>
        <w:ind w:left="0" w:firstLine="540"/>
        <w:jc w:val="both"/>
        <w:rPr>
          <w:rFonts w:ascii="GHEA Grapalat" w:hAnsi="GHEA Grapalat"/>
          <w:b/>
          <w:color w:val="000000" w:themeColor="text1"/>
          <w:sz w:val="24"/>
          <w:szCs w:val="24"/>
          <w:lang w:val="hy-AM"/>
        </w:rPr>
      </w:pPr>
      <w:r w:rsidRPr="00C84841">
        <w:rPr>
          <w:rFonts w:ascii="GHEA Grapalat" w:hAnsi="GHEA Grapalat"/>
          <w:color w:val="000000"/>
          <w:sz w:val="24"/>
          <w:szCs w:val="24"/>
          <w:lang w:val="hy-AM"/>
        </w:rPr>
        <w:t>1. Սույն օրենքն ուժի մեջ է մտնում պաշտոնական հրապարակման օրվան հաջորդող տասներորդ օրը:</w:t>
      </w:r>
    </w:p>
    <w:p w14:paraId="1897DBD0" w14:textId="77777777" w:rsidR="006D27D8" w:rsidRPr="00C84841" w:rsidRDefault="006D27D8" w:rsidP="006D27D8">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C84841">
        <w:rPr>
          <w:rFonts w:ascii="GHEA Grapalat" w:hAnsi="GHEA Grapalat"/>
          <w:color w:val="000000"/>
          <w:lang w:val="hy-AM"/>
        </w:rPr>
        <w:t xml:space="preserve">2. Սույն օրենքը տարածվում է </w:t>
      </w:r>
      <w:r>
        <w:rPr>
          <w:rFonts w:ascii="GHEA Grapalat" w:hAnsi="GHEA Grapalat"/>
          <w:color w:val="000000"/>
          <w:lang w:val="hy-AM"/>
        </w:rPr>
        <w:t xml:space="preserve">նաև </w:t>
      </w:r>
      <w:r w:rsidRPr="00C84841">
        <w:rPr>
          <w:rFonts w:ascii="GHEA Grapalat" w:hAnsi="GHEA Grapalat"/>
          <w:color w:val="000000"/>
          <w:lang w:val="hy-AM"/>
        </w:rPr>
        <w:t xml:space="preserve">մինչև սույն օրենքն ուժի մեջ մտնելը ներկայացված հայցադիմումների (դիմումների) հիման վրա հարուցված գործերի վրա։ </w:t>
      </w:r>
    </w:p>
    <w:p w14:paraId="14D86D71" w14:textId="77777777" w:rsidR="006D27D8" w:rsidRPr="00BA696B" w:rsidRDefault="006D27D8" w:rsidP="006D27D8">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DF2C9D">
        <w:rPr>
          <w:rFonts w:ascii="GHEA Grapalat" w:hAnsi="GHEA Grapalat"/>
          <w:color w:val="000000"/>
          <w:lang w:val="hy-AM"/>
        </w:rPr>
        <w:t>3. Մինչև սույն օրենքն ուժի մեջ մտնելը կիրառված դատական տուգանքների կամ դատական տուգանք կիրառելու մասին միջնորդությունների նկատմամբ կիրառելի են տուգանքի կիրառման կամ միջնորդության ներկայացման պահին գործող նորմերը:</w:t>
      </w:r>
    </w:p>
    <w:p w14:paraId="68A8EE72" w14:textId="6984DDDB" w:rsidR="00817A1D" w:rsidRPr="00BA696B" w:rsidRDefault="00817A1D" w:rsidP="006D27D8">
      <w:pPr>
        <w:pStyle w:val="ListParagraph"/>
        <w:spacing w:after="0" w:line="360" w:lineRule="auto"/>
        <w:ind w:left="0" w:firstLine="540"/>
        <w:jc w:val="both"/>
        <w:rPr>
          <w:rFonts w:ascii="GHEA Grapalat" w:hAnsi="GHEA Grapalat"/>
          <w:color w:val="000000"/>
          <w:lang w:val="hy-AM"/>
        </w:rPr>
      </w:pPr>
    </w:p>
    <w:sectPr w:rsidR="00817A1D" w:rsidRPr="00BA696B" w:rsidSect="00AA382D">
      <w:headerReference w:type="default" r:id="rId8"/>
      <w:footerReference w:type="default" r:id="rId9"/>
      <w:pgSz w:w="11906" w:h="16838" w:code="9"/>
      <w:pgMar w:top="1134" w:right="900"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90EDC" w14:textId="77777777" w:rsidR="001A6267" w:rsidRDefault="001A6267" w:rsidP="005A4E16">
      <w:r>
        <w:separator/>
      </w:r>
    </w:p>
  </w:endnote>
  <w:endnote w:type="continuationSeparator" w:id="0">
    <w:p w14:paraId="4FD9B62D" w14:textId="77777777" w:rsidR="001A6267" w:rsidRDefault="001A6267" w:rsidP="005A4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t">
    <w:altName w:val="Calibri"/>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noProof/>
      </w:rPr>
    </w:sdtEndPr>
    <w:sdtContent>
      <w:p w14:paraId="6DCD6FFB" w14:textId="1721B08B" w:rsidR="005A4E16" w:rsidRDefault="005A4E16">
        <w:pPr>
          <w:pStyle w:val="Footer"/>
          <w:jc w:val="center"/>
        </w:pPr>
        <w:r>
          <w:fldChar w:fldCharType="begin"/>
        </w:r>
        <w:r>
          <w:instrText xml:space="preserve"> PAGE   \* MERGEFORMAT </w:instrText>
        </w:r>
        <w:r>
          <w:fldChar w:fldCharType="separate"/>
        </w:r>
        <w:r w:rsidR="0043390B">
          <w:rPr>
            <w:noProof/>
          </w:rPr>
          <w:t>2</w:t>
        </w:r>
        <w:r>
          <w:rPr>
            <w:noProof/>
          </w:rPr>
          <w:fldChar w:fldCharType="end"/>
        </w:r>
      </w:p>
    </w:sdtContent>
  </w:sdt>
  <w:p w14:paraId="7D4DE405" w14:textId="77777777" w:rsidR="005A4E16" w:rsidRDefault="005A4E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13665" w14:textId="77777777" w:rsidR="001A6267" w:rsidRDefault="001A6267" w:rsidP="005A4E16">
      <w:r>
        <w:separator/>
      </w:r>
    </w:p>
  </w:footnote>
  <w:footnote w:type="continuationSeparator" w:id="0">
    <w:p w14:paraId="22441BC5" w14:textId="77777777" w:rsidR="001A6267" w:rsidRDefault="001A6267" w:rsidP="005A4E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9925" w14:textId="77777777" w:rsidR="005A4E16" w:rsidRPr="005A4E16" w:rsidRDefault="005A4E16" w:rsidP="005A4E16">
    <w:pPr>
      <w:pBdr>
        <w:top w:val="nil"/>
        <w:left w:val="single" w:sz="18" w:space="4" w:color="FF0000"/>
        <w:bottom w:val="nil"/>
        <w:right w:val="nil"/>
        <w:between w:val="nil"/>
      </w:pBdr>
      <w:tabs>
        <w:tab w:val="right" w:pos="9922"/>
      </w:tabs>
      <w:ind w:hanging="2"/>
      <w:rPr>
        <w:rFonts w:ascii="GHEA Grapalat" w:eastAsia="GHEA Grapalat" w:hAnsi="GHEA Grapalat" w:cs="GHEA Grapalat"/>
        <w:color w:val="FF0000"/>
        <w:sz w:val="20"/>
        <w:szCs w:val="20"/>
        <w:lang w:eastAsia="ru-RU"/>
      </w:rPr>
    </w:pPr>
    <w:r w:rsidRPr="005A4E16">
      <w:rPr>
        <w:rFonts w:ascii="GHEA Grapalat" w:eastAsia="GHEA Grapalat" w:hAnsi="GHEA Grapalat" w:cs="GHEA Grapalat"/>
        <w:b/>
        <w:color w:val="000000"/>
        <w:sz w:val="20"/>
        <w:szCs w:val="20"/>
        <w:lang w:eastAsia="ru-RU"/>
      </w:rPr>
      <w:t>Ա</w:t>
    </w:r>
    <w:r w:rsidRPr="005A4E16">
      <w:rPr>
        <w:rFonts w:ascii="GHEA Grapalat" w:eastAsia="GHEA Grapalat" w:hAnsi="GHEA Grapalat" w:cs="GHEA Grapalat"/>
        <w:color w:val="000000"/>
        <w:sz w:val="20"/>
        <w:szCs w:val="20"/>
        <w:lang w:eastAsia="ru-RU"/>
      </w:rPr>
      <w:t xml:space="preserve">րդարադատության                                                       </w:t>
    </w:r>
    <w:r w:rsidRPr="005A4E16">
      <w:rPr>
        <w:rFonts w:ascii="GHEA Grapalat" w:eastAsia="GHEA Grapalat" w:hAnsi="GHEA Grapalat" w:cs="GHEA Grapalat"/>
        <w:color w:val="000000"/>
        <w:sz w:val="20"/>
        <w:szCs w:val="20"/>
        <w:lang w:eastAsia="ru-RU"/>
      </w:rPr>
      <w:tab/>
    </w:r>
    <w:r>
      <w:rPr>
        <w:rFonts w:ascii="GHEA Grapalat" w:eastAsia="GHEA Grapalat" w:hAnsi="GHEA Grapalat" w:cs="GHEA Grapalat"/>
        <w:color w:val="000000"/>
        <w:sz w:val="20"/>
        <w:szCs w:val="20"/>
        <w:lang w:eastAsia="ru-RU"/>
      </w:rPr>
      <w:t xml:space="preserve">    </w:t>
    </w:r>
    <w:r w:rsidRPr="005A4E16">
      <w:rPr>
        <w:rFonts w:ascii="GHEA Grapalat" w:eastAsia="GHEA Grapalat" w:hAnsi="GHEA Grapalat" w:cs="GHEA Grapalat"/>
        <w:color w:val="000000"/>
        <w:lang w:eastAsia="ru-RU"/>
      </w:rPr>
      <w:t>ՆԱԽԱԳԻԾ</w:t>
    </w:r>
    <w:r w:rsidRPr="005A4E16">
      <w:rPr>
        <w:noProof/>
        <w:lang w:val="en-US"/>
      </w:rPr>
      <w:drawing>
        <wp:anchor distT="0" distB="0" distL="0" distR="0" simplePos="0" relativeHeight="251659264" behindDoc="0" locked="0" layoutInCell="1" allowOverlap="1" wp14:anchorId="2E7947BB" wp14:editId="7DC19F15">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8ABEED0" w14:textId="77777777" w:rsidR="005A4E16" w:rsidRPr="005A4E16" w:rsidRDefault="005A4E16" w:rsidP="005A4E1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lang w:eastAsia="ru-RU"/>
      </w:rPr>
    </w:pPr>
    <w:r w:rsidRPr="005A4E16">
      <w:rPr>
        <w:rFonts w:ascii="GHEA Grapalat" w:eastAsia="GHEA Grapalat" w:hAnsi="GHEA Grapalat" w:cs="GHEA Grapalat"/>
        <w:b/>
        <w:color w:val="000000"/>
        <w:sz w:val="20"/>
        <w:szCs w:val="20"/>
        <w:lang w:eastAsia="ru-RU"/>
      </w:rPr>
      <w:t>Ն</w:t>
    </w:r>
    <w:r w:rsidRPr="005A4E16">
      <w:rPr>
        <w:rFonts w:ascii="GHEA Grapalat" w:eastAsia="GHEA Grapalat" w:hAnsi="GHEA Grapalat" w:cs="GHEA Grapalat"/>
        <w:color w:val="000000"/>
        <w:sz w:val="20"/>
        <w:szCs w:val="20"/>
        <w:lang w:eastAsia="ru-RU"/>
      </w:rPr>
      <w:t>ախարարություն</w:t>
    </w:r>
  </w:p>
  <w:p w14:paraId="26F5A19E" w14:textId="77777777" w:rsidR="005A4E16" w:rsidRPr="005A4E16" w:rsidRDefault="005A4E16" w:rsidP="005A4E1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lang w:eastAsia="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D40A2"/>
    <w:multiLevelType w:val="hybridMultilevel"/>
    <w:tmpl w:val="5AB42B3E"/>
    <w:lvl w:ilvl="0" w:tplc="29BC9DFC">
      <w:start w:val="1"/>
      <w:numFmt w:val="decimal"/>
      <w:lvlText w:val="Հոդված %1."/>
      <w:lvlJc w:val="left"/>
      <w:pPr>
        <w:ind w:left="198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25450D5"/>
    <w:multiLevelType w:val="hybridMultilevel"/>
    <w:tmpl w:val="5AB42B3E"/>
    <w:lvl w:ilvl="0" w:tplc="29BC9DFC">
      <w:start w:val="1"/>
      <w:numFmt w:val="decimal"/>
      <w:lvlText w:val="Հոդված %1."/>
      <w:lvlJc w:val="left"/>
      <w:pPr>
        <w:ind w:left="2629"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057DD"/>
    <w:rsid w:val="00005C9C"/>
    <w:rsid w:val="00012070"/>
    <w:rsid w:val="000156A8"/>
    <w:rsid w:val="000326E9"/>
    <w:rsid w:val="0005286C"/>
    <w:rsid w:val="000558F1"/>
    <w:rsid w:val="00057C99"/>
    <w:rsid w:val="0007354F"/>
    <w:rsid w:val="000864F7"/>
    <w:rsid w:val="000B29FD"/>
    <w:rsid w:val="000B3953"/>
    <w:rsid w:val="000C37F7"/>
    <w:rsid w:val="000D42EE"/>
    <w:rsid w:val="000E5CB4"/>
    <w:rsid w:val="000E6306"/>
    <w:rsid w:val="0010014E"/>
    <w:rsid w:val="0011419F"/>
    <w:rsid w:val="001243CA"/>
    <w:rsid w:val="00126359"/>
    <w:rsid w:val="00130B6F"/>
    <w:rsid w:val="00134426"/>
    <w:rsid w:val="00145A55"/>
    <w:rsid w:val="00152BD3"/>
    <w:rsid w:val="001540AB"/>
    <w:rsid w:val="00181927"/>
    <w:rsid w:val="001873C0"/>
    <w:rsid w:val="00187A6F"/>
    <w:rsid w:val="00192C8D"/>
    <w:rsid w:val="0019449D"/>
    <w:rsid w:val="0019707D"/>
    <w:rsid w:val="001A6267"/>
    <w:rsid w:val="001C0A4B"/>
    <w:rsid w:val="001D3CF6"/>
    <w:rsid w:val="00201C0A"/>
    <w:rsid w:val="002114DA"/>
    <w:rsid w:val="002116ED"/>
    <w:rsid w:val="00217CD7"/>
    <w:rsid w:val="002236FC"/>
    <w:rsid w:val="002270BB"/>
    <w:rsid w:val="002327B8"/>
    <w:rsid w:val="00251E39"/>
    <w:rsid w:val="00271DB6"/>
    <w:rsid w:val="00272F08"/>
    <w:rsid w:val="002801CA"/>
    <w:rsid w:val="00285A58"/>
    <w:rsid w:val="002950EC"/>
    <w:rsid w:val="002A46AB"/>
    <w:rsid w:val="002B689C"/>
    <w:rsid w:val="002D0AA1"/>
    <w:rsid w:val="002D57CC"/>
    <w:rsid w:val="002D718B"/>
    <w:rsid w:val="002D7ADC"/>
    <w:rsid w:val="002F00F4"/>
    <w:rsid w:val="002F0D20"/>
    <w:rsid w:val="002F7D38"/>
    <w:rsid w:val="00300ADD"/>
    <w:rsid w:val="00342ECA"/>
    <w:rsid w:val="00351907"/>
    <w:rsid w:val="00364387"/>
    <w:rsid w:val="00382775"/>
    <w:rsid w:val="003859B4"/>
    <w:rsid w:val="003942ED"/>
    <w:rsid w:val="00395131"/>
    <w:rsid w:val="003B5EE7"/>
    <w:rsid w:val="003E1F03"/>
    <w:rsid w:val="003F27D9"/>
    <w:rsid w:val="00401F1E"/>
    <w:rsid w:val="004225D5"/>
    <w:rsid w:val="0043390B"/>
    <w:rsid w:val="004371DC"/>
    <w:rsid w:val="00475ABD"/>
    <w:rsid w:val="00497E59"/>
    <w:rsid w:val="00510409"/>
    <w:rsid w:val="005156FD"/>
    <w:rsid w:val="00530623"/>
    <w:rsid w:val="00536449"/>
    <w:rsid w:val="005424BB"/>
    <w:rsid w:val="00556278"/>
    <w:rsid w:val="00562077"/>
    <w:rsid w:val="00590830"/>
    <w:rsid w:val="00592DC5"/>
    <w:rsid w:val="00594BD6"/>
    <w:rsid w:val="005A4E16"/>
    <w:rsid w:val="005A50C9"/>
    <w:rsid w:val="005A55A8"/>
    <w:rsid w:val="005A5677"/>
    <w:rsid w:val="005B295A"/>
    <w:rsid w:val="005C5A00"/>
    <w:rsid w:val="005D54ED"/>
    <w:rsid w:val="00607B02"/>
    <w:rsid w:val="00612EDF"/>
    <w:rsid w:val="00614147"/>
    <w:rsid w:val="00634861"/>
    <w:rsid w:val="00642779"/>
    <w:rsid w:val="006542E2"/>
    <w:rsid w:val="00665AB9"/>
    <w:rsid w:val="0067764C"/>
    <w:rsid w:val="006811FD"/>
    <w:rsid w:val="006819AD"/>
    <w:rsid w:val="00694830"/>
    <w:rsid w:val="006A1838"/>
    <w:rsid w:val="006D25DB"/>
    <w:rsid w:val="006D27D8"/>
    <w:rsid w:val="006D4B36"/>
    <w:rsid w:val="0070722C"/>
    <w:rsid w:val="00732E1D"/>
    <w:rsid w:val="00760BCD"/>
    <w:rsid w:val="0077317C"/>
    <w:rsid w:val="00773E92"/>
    <w:rsid w:val="00793E5B"/>
    <w:rsid w:val="007B1E98"/>
    <w:rsid w:val="007E2D80"/>
    <w:rsid w:val="007E638F"/>
    <w:rsid w:val="007F3859"/>
    <w:rsid w:val="007F3F31"/>
    <w:rsid w:val="0081096B"/>
    <w:rsid w:val="00817A1D"/>
    <w:rsid w:val="00851526"/>
    <w:rsid w:val="00857782"/>
    <w:rsid w:val="008814A5"/>
    <w:rsid w:val="008822B1"/>
    <w:rsid w:val="008A47D3"/>
    <w:rsid w:val="008A70C0"/>
    <w:rsid w:val="008B250E"/>
    <w:rsid w:val="008B5E1B"/>
    <w:rsid w:val="008B6E2D"/>
    <w:rsid w:val="008C3CAA"/>
    <w:rsid w:val="008D673D"/>
    <w:rsid w:val="008E00DD"/>
    <w:rsid w:val="008E354D"/>
    <w:rsid w:val="008E7E95"/>
    <w:rsid w:val="009151EB"/>
    <w:rsid w:val="009273ED"/>
    <w:rsid w:val="00932CE7"/>
    <w:rsid w:val="0094588B"/>
    <w:rsid w:val="0094748C"/>
    <w:rsid w:val="00984469"/>
    <w:rsid w:val="00996DB7"/>
    <w:rsid w:val="009B2B06"/>
    <w:rsid w:val="009C2A32"/>
    <w:rsid w:val="009D3472"/>
    <w:rsid w:val="009D737F"/>
    <w:rsid w:val="009E0F45"/>
    <w:rsid w:val="009E118E"/>
    <w:rsid w:val="009E3579"/>
    <w:rsid w:val="009F3B4F"/>
    <w:rsid w:val="00A04B6E"/>
    <w:rsid w:val="00A05F3E"/>
    <w:rsid w:val="00A11819"/>
    <w:rsid w:val="00A118DB"/>
    <w:rsid w:val="00A15A77"/>
    <w:rsid w:val="00A164A3"/>
    <w:rsid w:val="00A166F1"/>
    <w:rsid w:val="00A234D4"/>
    <w:rsid w:val="00A364DE"/>
    <w:rsid w:val="00A6116E"/>
    <w:rsid w:val="00A74230"/>
    <w:rsid w:val="00A861AB"/>
    <w:rsid w:val="00A94B09"/>
    <w:rsid w:val="00AA191E"/>
    <w:rsid w:val="00AA382D"/>
    <w:rsid w:val="00AD0BF1"/>
    <w:rsid w:val="00AD17CA"/>
    <w:rsid w:val="00AE6A9F"/>
    <w:rsid w:val="00B17D9B"/>
    <w:rsid w:val="00B25412"/>
    <w:rsid w:val="00B40D38"/>
    <w:rsid w:val="00B449A0"/>
    <w:rsid w:val="00B53F88"/>
    <w:rsid w:val="00B61A9D"/>
    <w:rsid w:val="00B97F7A"/>
    <w:rsid w:val="00BA696B"/>
    <w:rsid w:val="00BB28FB"/>
    <w:rsid w:val="00BD0402"/>
    <w:rsid w:val="00BE102B"/>
    <w:rsid w:val="00C30808"/>
    <w:rsid w:val="00C32E9F"/>
    <w:rsid w:val="00C452DE"/>
    <w:rsid w:val="00C463F4"/>
    <w:rsid w:val="00C624FD"/>
    <w:rsid w:val="00C64153"/>
    <w:rsid w:val="00C720C8"/>
    <w:rsid w:val="00C80909"/>
    <w:rsid w:val="00C84841"/>
    <w:rsid w:val="00C94320"/>
    <w:rsid w:val="00CC4AE6"/>
    <w:rsid w:val="00D01C84"/>
    <w:rsid w:val="00D11AE9"/>
    <w:rsid w:val="00D33C63"/>
    <w:rsid w:val="00D43D2D"/>
    <w:rsid w:val="00D848F8"/>
    <w:rsid w:val="00DC34FF"/>
    <w:rsid w:val="00DE0E06"/>
    <w:rsid w:val="00DF2C9D"/>
    <w:rsid w:val="00DF3AB3"/>
    <w:rsid w:val="00E07B5A"/>
    <w:rsid w:val="00E3411A"/>
    <w:rsid w:val="00E36C69"/>
    <w:rsid w:val="00E53E16"/>
    <w:rsid w:val="00E53F40"/>
    <w:rsid w:val="00E63C58"/>
    <w:rsid w:val="00EC345C"/>
    <w:rsid w:val="00EF52EA"/>
    <w:rsid w:val="00F127F5"/>
    <w:rsid w:val="00F253C7"/>
    <w:rsid w:val="00F26B36"/>
    <w:rsid w:val="00F57F37"/>
    <w:rsid w:val="00F705CC"/>
    <w:rsid w:val="00FA6F04"/>
    <w:rsid w:val="00FB7C75"/>
    <w:rsid w:val="00FB7EAD"/>
    <w:rsid w:val="00FD1390"/>
    <w:rsid w:val="00FD149A"/>
    <w:rsid w:val="00FD37E0"/>
    <w:rsid w:val="00FF5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9498B"/>
  <w15:chartTrackingRefBased/>
  <w15:docId w15:val="{45881134-8DDC-4701-81D7-E5A1E73A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EE7"/>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5A4E16"/>
  </w:style>
  <w:style w:type="character" w:styleId="Hyperlink">
    <w:name w:val="Hyperlink"/>
    <w:basedOn w:val="DefaultParagraphFont"/>
    <w:uiPriority w:val="99"/>
    <w:unhideWhenUsed/>
    <w:rsid w:val="00A15A77"/>
    <w:rPr>
      <w:color w:val="0563C1" w:themeColor="hyperlink"/>
      <w:u w:val="single"/>
    </w:rPr>
  </w:style>
  <w:style w:type="character" w:styleId="Strong">
    <w:name w:val="Strong"/>
    <w:basedOn w:val="DefaultParagraphFont"/>
    <w:uiPriority w:val="22"/>
    <w:qFormat/>
    <w:rsid w:val="00A15A77"/>
    <w:rPr>
      <w:b/>
      <w:bCs/>
    </w:rPr>
  </w:style>
  <w:style w:type="character" w:styleId="CommentReference">
    <w:name w:val="annotation reference"/>
    <w:basedOn w:val="DefaultParagraphFont"/>
    <w:uiPriority w:val="99"/>
    <w:semiHidden/>
    <w:unhideWhenUsed/>
    <w:rsid w:val="0077317C"/>
    <w:rPr>
      <w:sz w:val="16"/>
      <w:szCs w:val="16"/>
    </w:rPr>
  </w:style>
  <w:style w:type="paragraph" w:styleId="CommentText">
    <w:name w:val="annotation text"/>
    <w:basedOn w:val="Normal"/>
    <w:link w:val="CommentTextChar"/>
    <w:uiPriority w:val="99"/>
    <w:unhideWhenUsed/>
    <w:rsid w:val="0077317C"/>
    <w:rPr>
      <w:sz w:val="20"/>
      <w:szCs w:val="20"/>
    </w:rPr>
  </w:style>
  <w:style w:type="character" w:customStyle="1" w:styleId="CommentTextChar">
    <w:name w:val="Comment Text Char"/>
    <w:basedOn w:val="DefaultParagraphFont"/>
    <w:link w:val="CommentText"/>
    <w:uiPriority w:val="99"/>
    <w:rsid w:val="0077317C"/>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77317C"/>
    <w:rPr>
      <w:b/>
      <w:bCs/>
    </w:rPr>
  </w:style>
  <w:style w:type="character" w:customStyle="1" w:styleId="CommentSubjectChar">
    <w:name w:val="Comment Subject Char"/>
    <w:basedOn w:val="CommentTextChar"/>
    <w:link w:val="CommentSubject"/>
    <w:uiPriority w:val="99"/>
    <w:semiHidden/>
    <w:rsid w:val="0077317C"/>
    <w:rPr>
      <w:rFonts w:ascii="Times New Roman" w:eastAsia="Times New Roman" w:hAnsi="Times New Roman" w:cs="Times New Roman"/>
      <w:b/>
      <w:bCs/>
      <w:sz w:val="20"/>
      <w:szCs w:val="20"/>
      <w:lang w:val="hy-AM"/>
    </w:rPr>
  </w:style>
  <w:style w:type="paragraph" w:styleId="BalloonText">
    <w:name w:val="Balloon Text"/>
    <w:basedOn w:val="Normal"/>
    <w:link w:val="BalloonTextChar"/>
    <w:uiPriority w:val="99"/>
    <w:semiHidden/>
    <w:unhideWhenUsed/>
    <w:rsid w:val="00773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17C"/>
    <w:rPr>
      <w:rFonts w:ascii="Segoe UI" w:eastAsia="Times New Roman" w:hAnsi="Segoe UI" w:cs="Segoe UI"/>
      <w:sz w:val="18"/>
      <w:szCs w:val="18"/>
      <w:lang w:val="hy-AM"/>
    </w:rPr>
  </w:style>
  <w:style w:type="paragraph" w:customStyle="1" w:styleId="comm">
    <w:name w:val="comm"/>
    <w:basedOn w:val="Normal"/>
    <w:rsid w:val="00FB7EAD"/>
    <w:pPr>
      <w:spacing w:before="100" w:beforeAutospacing="1" w:after="100" w:afterAutospacing="1"/>
    </w:pPr>
    <w:rPr>
      <w:lang w:val="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B7EAD"/>
    <w:pPr>
      <w:spacing w:before="100" w:beforeAutospacing="1" w:after="100" w:afterAutospacing="1"/>
    </w:pPr>
    <w:rPr>
      <w:lang w:val="en-US"/>
    </w:rPr>
  </w:style>
  <w:style w:type="paragraph" w:customStyle="1" w:styleId="vhc">
    <w:name w:val="vhc"/>
    <w:basedOn w:val="Normal"/>
    <w:rsid w:val="00FB7EAD"/>
    <w:pPr>
      <w:spacing w:before="100" w:beforeAutospacing="1" w:after="100" w:afterAutospacing="1"/>
    </w:pPr>
    <w:rPr>
      <w:lang w:val="en-US"/>
    </w:rPr>
  </w:style>
  <w:style w:type="character" w:styleId="FollowedHyperlink">
    <w:name w:val="FollowedHyperlink"/>
    <w:basedOn w:val="DefaultParagraphFont"/>
    <w:uiPriority w:val="99"/>
    <w:semiHidden/>
    <w:unhideWhenUsed/>
    <w:rsid w:val="00005C9C"/>
    <w:rPr>
      <w:color w:val="954F72" w:themeColor="followedHyperlink"/>
      <w:u w:val="single"/>
    </w:rPr>
  </w:style>
  <w:style w:type="character" w:styleId="Emphasis">
    <w:name w:val="Emphasis"/>
    <w:basedOn w:val="DefaultParagraphFont"/>
    <w:uiPriority w:val="20"/>
    <w:qFormat/>
    <w:rsid w:val="00C452DE"/>
    <w:rPr>
      <w:i/>
      <w:iCs/>
    </w:rPr>
  </w:style>
  <w:style w:type="paragraph" w:styleId="ListParagraph">
    <w:name w:val="List Paragraph"/>
    <w:basedOn w:val="Normal"/>
    <w:uiPriority w:val="34"/>
    <w:qFormat/>
    <w:rsid w:val="006D4B36"/>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6D4B3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534086">
      <w:bodyDiv w:val="1"/>
      <w:marLeft w:val="0"/>
      <w:marRight w:val="0"/>
      <w:marTop w:val="0"/>
      <w:marBottom w:val="0"/>
      <w:divBdr>
        <w:top w:val="none" w:sz="0" w:space="0" w:color="auto"/>
        <w:left w:val="none" w:sz="0" w:space="0" w:color="auto"/>
        <w:bottom w:val="none" w:sz="0" w:space="0" w:color="auto"/>
        <w:right w:val="none" w:sz="0" w:space="0" w:color="auto"/>
      </w:divBdr>
    </w:div>
    <w:div w:id="784008355">
      <w:bodyDiv w:val="1"/>
      <w:marLeft w:val="0"/>
      <w:marRight w:val="0"/>
      <w:marTop w:val="0"/>
      <w:marBottom w:val="0"/>
      <w:divBdr>
        <w:top w:val="none" w:sz="0" w:space="0" w:color="auto"/>
        <w:left w:val="none" w:sz="0" w:space="0" w:color="auto"/>
        <w:bottom w:val="none" w:sz="0" w:space="0" w:color="auto"/>
        <w:right w:val="none" w:sz="0" w:space="0" w:color="auto"/>
      </w:divBdr>
    </w:div>
    <w:div w:id="996499304">
      <w:bodyDiv w:val="1"/>
      <w:marLeft w:val="0"/>
      <w:marRight w:val="0"/>
      <w:marTop w:val="0"/>
      <w:marBottom w:val="0"/>
      <w:divBdr>
        <w:top w:val="none" w:sz="0" w:space="0" w:color="auto"/>
        <w:left w:val="none" w:sz="0" w:space="0" w:color="auto"/>
        <w:bottom w:val="none" w:sz="0" w:space="0" w:color="auto"/>
        <w:right w:val="none" w:sz="0" w:space="0" w:color="auto"/>
      </w:divBdr>
    </w:div>
    <w:div w:id="18501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E3B8B-3658-4716-9A39-73DB92FD8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https:/mul2.gov.am/tasks/1023031/oneclick/dd07d4554d78ebe0c7046b8578789014413cd2908df28644286edfd4724af57e.docx?token=6e4a6f88826b768364f338bd82eb3b5e</cp:keywords>
  <dc:description/>
  <cp:lastModifiedBy>Anahit Mnatsakanyan</cp:lastModifiedBy>
  <cp:revision>2</cp:revision>
  <dcterms:created xsi:type="dcterms:W3CDTF">2024-08-22T04:54:00Z</dcterms:created>
  <dcterms:modified xsi:type="dcterms:W3CDTF">2024-08-22T04:54:00Z</dcterms:modified>
</cp:coreProperties>
</file>