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E7A8C" w14:textId="77777777" w:rsidR="00881AD5" w:rsidRPr="00F2718E" w:rsidRDefault="00881AD5" w:rsidP="00A961C5">
      <w:pPr>
        <w:pStyle w:val="ListParagraph"/>
        <w:spacing w:after="0" w:line="360" w:lineRule="auto"/>
        <w:ind w:left="0"/>
        <w:jc w:val="center"/>
        <w:rPr>
          <w:rFonts w:ascii="GHEA Grapalat" w:hAnsi="GHEA Grapalat" w:cs="Arian AMU"/>
          <w:b/>
          <w:sz w:val="24"/>
          <w:szCs w:val="24"/>
          <w:shd w:val="clear" w:color="auto" w:fill="FFFFFF"/>
          <w:lang w:val="ru-RU"/>
        </w:rPr>
      </w:pPr>
      <w:bookmarkStart w:id="0" w:name="_GoBack"/>
      <w:bookmarkEnd w:id="0"/>
      <w:r w:rsidRPr="00F2718E">
        <w:rPr>
          <w:rFonts w:ascii="GHEA Grapalat" w:hAnsi="GHEA Grapalat" w:cs="Arian AMU"/>
          <w:b/>
          <w:sz w:val="24"/>
          <w:szCs w:val="24"/>
          <w:shd w:val="clear" w:color="auto" w:fill="FFFFFF"/>
          <w:lang w:val="ru-RU"/>
        </w:rPr>
        <w:t>ԱՄՓՈՓԱԹԵՐԹ</w:t>
      </w:r>
    </w:p>
    <w:p w14:paraId="3E900E1F" w14:textId="77777777" w:rsidR="00881AD5" w:rsidRPr="00F2718E" w:rsidRDefault="00881AD5" w:rsidP="00A961C5">
      <w:pPr>
        <w:spacing w:line="360" w:lineRule="auto"/>
        <w:jc w:val="center"/>
        <w:rPr>
          <w:rFonts w:ascii="GHEA Grapalat" w:hAnsi="GHEA Grapalat"/>
          <w:b/>
          <w:lang w:val="hy-AM"/>
        </w:rPr>
      </w:pPr>
      <w:r w:rsidRPr="00F2718E">
        <w:rPr>
          <w:rFonts w:ascii="GHEA Grapalat" w:hAnsi="GHEA Grapalat" w:cs="Tahoma"/>
          <w:b/>
          <w:lang w:val="hy-AM"/>
        </w:rPr>
        <w:t>«</w:t>
      </w:r>
      <w:r w:rsidRPr="00F2718E">
        <w:rPr>
          <w:rFonts w:ascii="GHEA Grapalat" w:hAnsi="GHEA Grapalat"/>
          <w:b/>
        </w:rPr>
        <w:t xml:space="preserve">ՀԱՅԱՍՏԱՆԻ ՀԱՆՐԱՊԵՏՈՒԹՅԱՆ </w:t>
      </w:r>
      <w:r w:rsidRPr="00F2718E">
        <w:rPr>
          <w:rFonts w:ascii="GHEA Grapalat" w:hAnsi="GHEA Grapalat" w:cs="Arian AMU"/>
          <w:b/>
          <w:shd w:val="clear" w:color="auto" w:fill="FFFFFF"/>
          <w:lang w:eastAsia="en-US"/>
        </w:rPr>
        <w:t xml:space="preserve">ՔԱՂԱՔԱՑԻԱԿԱՆ ԴԱՏԱՎԱՐՈՒԹՅԱՆ ՕՐԵՆՍԳՐՔՈՒՄ ՓՈՓՈԽՈՒԹՅՈՒՆՆԵՐ ԵՎ ԼՐԱՑՈՒՄՆԵՐ ԿԱՏԱՐԵԼՈՒ ՄԱՍԻՆ» ԵՎ «ՀԱՅԱՍՏԱՆԻ ՀԱՆՐԱՊԵՏՈՒԹՅԱՆ ՎԱՐՉԱԿԱՆ ԴԱՏԱՎԱՐՈՒԹՅԱՆ ՕՐԵՆՍԳՐՔՈՒՄ </w:t>
      </w:r>
      <w:r w:rsidRPr="00F2718E">
        <w:rPr>
          <w:rFonts w:ascii="GHEA Grapalat" w:hAnsi="GHEA Grapalat" w:cs="Arian AMU"/>
          <w:b/>
          <w:shd w:val="clear" w:color="auto" w:fill="FFFFFF"/>
          <w:lang w:val="hy-AM" w:eastAsia="en-US"/>
        </w:rPr>
        <w:t>ԼՐԱՑՈՒՄՆԵՐ ԵՎ ՓՈՓՈԽՈՒԹՅՈՒՆՆԵՐ</w:t>
      </w:r>
      <w:r w:rsidRPr="00F2718E">
        <w:rPr>
          <w:rFonts w:ascii="GHEA Grapalat" w:hAnsi="GHEA Grapalat" w:cs="Arian AMU"/>
          <w:b/>
          <w:shd w:val="clear" w:color="auto" w:fill="FFFFFF"/>
          <w:lang w:eastAsia="en-US"/>
        </w:rPr>
        <w:t xml:space="preserve"> ԿԱՏԱՐԵԼՈՒ ՄԱՍԻՆ»</w:t>
      </w:r>
      <w:r w:rsidRPr="00F2718E">
        <w:rPr>
          <w:rFonts w:ascii="GHEA Grapalat" w:hAnsi="GHEA Grapalat"/>
          <w:b/>
          <w:lang w:val="hy-AM"/>
        </w:rPr>
        <w:t xml:space="preserve"> ՕՐԵՆՔՆԵՐԻ ՆԱԽԱԳԾԵՐԻ</w:t>
      </w:r>
    </w:p>
    <w:p w14:paraId="377A9D1E" w14:textId="77777777" w:rsidR="00B8028E" w:rsidRPr="00F2718E" w:rsidRDefault="00B8028E" w:rsidP="00A961C5">
      <w:pPr>
        <w:spacing w:line="360" w:lineRule="auto"/>
        <w:jc w:val="center"/>
        <w:rPr>
          <w:rFonts w:ascii="GHEA Grapalat" w:hAnsi="GHEA Grapalat"/>
          <w:b/>
          <w:lang w:val="hy-AM" w:eastAsia="en-US"/>
        </w:rPr>
      </w:pPr>
    </w:p>
    <w:tbl>
      <w:tblPr>
        <w:tblStyle w:val="TableGrid"/>
        <w:tblW w:w="14907" w:type="dxa"/>
        <w:tblLook w:val="04A0" w:firstRow="1" w:lastRow="0" w:firstColumn="1" w:lastColumn="0" w:noHBand="0" w:noVBand="1"/>
      </w:tblPr>
      <w:tblGrid>
        <w:gridCol w:w="7879"/>
        <w:gridCol w:w="3727"/>
        <w:gridCol w:w="152"/>
        <w:gridCol w:w="74"/>
        <w:gridCol w:w="19"/>
        <w:gridCol w:w="712"/>
        <w:gridCol w:w="2338"/>
        <w:gridCol w:w="6"/>
      </w:tblGrid>
      <w:tr w:rsidR="00881AD5" w:rsidRPr="00F2718E" w14:paraId="2D61FACE" w14:textId="77777777" w:rsidTr="00F260E8">
        <w:trPr>
          <w:trHeight w:val="375"/>
        </w:trPr>
        <w:tc>
          <w:tcPr>
            <w:tcW w:w="12563" w:type="dxa"/>
            <w:gridSpan w:val="6"/>
            <w:vMerge w:val="restart"/>
            <w:shd w:val="clear" w:color="auto" w:fill="D9D9D9" w:themeFill="background1" w:themeFillShade="D9"/>
          </w:tcPr>
          <w:p w14:paraId="75EA6A47"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D9D9D9" w:themeFill="background1" w:themeFillShade="D9"/>
                <w:lang w:val="en-US"/>
              </w:rPr>
              <w:t>1</w:t>
            </w:r>
            <w:r w:rsidRPr="00F2718E">
              <w:rPr>
                <w:rFonts w:ascii="GHEA Grapalat" w:hAnsi="GHEA Grapalat"/>
                <w:b/>
                <w:shd w:val="clear" w:color="auto" w:fill="D9D9D9" w:themeFill="background1" w:themeFillShade="D9"/>
              </w:rPr>
              <w:t xml:space="preserve">. </w:t>
            </w:r>
            <w:r w:rsidRPr="00F2718E">
              <w:rPr>
                <w:rFonts w:ascii="GHEA Grapalat" w:hAnsi="GHEA Grapalat"/>
                <w:b/>
                <w:shd w:val="clear" w:color="auto" w:fill="D9D9D9" w:themeFill="background1" w:themeFillShade="D9"/>
                <w:lang w:val="hy-AM"/>
              </w:rPr>
              <w:t>Առողջապահության նախարարություն</w:t>
            </w:r>
          </w:p>
        </w:tc>
        <w:tc>
          <w:tcPr>
            <w:tcW w:w="2344" w:type="dxa"/>
            <w:gridSpan w:val="2"/>
            <w:shd w:val="clear" w:color="auto" w:fill="D9D9D9" w:themeFill="background1" w:themeFillShade="D9"/>
          </w:tcPr>
          <w:p w14:paraId="3CFC1297"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hy-AM"/>
              </w:rPr>
              <w:t>16</w:t>
            </w:r>
            <w:r w:rsidRPr="00F2718E">
              <w:rPr>
                <w:rFonts w:ascii="GHEA Grapalat" w:hAnsi="GHEA Grapalat"/>
                <w:b/>
                <w:shd w:val="clear" w:color="auto" w:fill="D9D9D9" w:themeFill="background1" w:themeFillShade="D9"/>
              </w:rPr>
              <w:t>.</w:t>
            </w:r>
            <w:r w:rsidRPr="00F2718E">
              <w:rPr>
                <w:rFonts w:ascii="GHEA Grapalat" w:hAnsi="GHEA Grapalat"/>
                <w:b/>
                <w:shd w:val="clear" w:color="auto" w:fill="D9D9D9" w:themeFill="background1" w:themeFillShade="D9"/>
                <w:lang w:val="en-US"/>
              </w:rPr>
              <w:t>0</w:t>
            </w:r>
            <w:r w:rsidRPr="00F2718E">
              <w:rPr>
                <w:rFonts w:ascii="GHEA Grapalat" w:hAnsi="GHEA Grapalat"/>
                <w:b/>
                <w:shd w:val="clear" w:color="auto" w:fill="D9D9D9" w:themeFill="background1" w:themeFillShade="D9"/>
                <w:lang w:val="hy-AM"/>
              </w:rPr>
              <w:t>4</w:t>
            </w:r>
            <w:r w:rsidRPr="00F2718E">
              <w:rPr>
                <w:rFonts w:ascii="GHEA Grapalat" w:hAnsi="GHEA Grapalat"/>
                <w:b/>
                <w:shd w:val="clear" w:color="auto" w:fill="D9D9D9" w:themeFill="background1" w:themeFillShade="D9"/>
              </w:rPr>
              <w:t>.202</w:t>
            </w:r>
            <w:r w:rsidRPr="00F2718E">
              <w:rPr>
                <w:rFonts w:ascii="GHEA Grapalat" w:hAnsi="GHEA Grapalat"/>
                <w:b/>
                <w:shd w:val="clear" w:color="auto" w:fill="D9D9D9" w:themeFill="background1" w:themeFillShade="D9"/>
                <w:lang w:val="en-US"/>
              </w:rPr>
              <w:t>4</w:t>
            </w:r>
            <w:r w:rsidRPr="00F2718E">
              <w:rPr>
                <w:rFonts w:ascii="GHEA Grapalat" w:hAnsi="GHEA Grapalat"/>
                <w:b/>
                <w:shd w:val="clear" w:color="auto" w:fill="D9D9D9" w:themeFill="background1" w:themeFillShade="D9"/>
              </w:rPr>
              <w:t>թ.</w:t>
            </w:r>
          </w:p>
        </w:tc>
      </w:tr>
      <w:tr w:rsidR="00881AD5" w:rsidRPr="00F2718E" w14:paraId="501F0850" w14:textId="77777777" w:rsidTr="00F260E8">
        <w:trPr>
          <w:trHeight w:val="360"/>
        </w:trPr>
        <w:tc>
          <w:tcPr>
            <w:tcW w:w="12563" w:type="dxa"/>
            <w:gridSpan w:val="6"/>
            <w:vMerge/>
            <w:shd w:val="clear" w:color="auto" w:fill="D9D9D9" w:themeFill="background1" w:themeFillShade="D9"/>
          </w:tcPr>
          <w:p w14:paraId="22DF8369" w14:textId="77777777" w:rsidR="00881AD5" w:rsidRPr="00F2718E" w:rsidRDefault="00881AD5" w:rsidP="00A961C5">
            <w:pPr>
              <w:spacing w:line="360" w:lineRule="auto"/>
              <w:jc w:val="center"/>
              <w:rPr>
                <w:rFonts w:ascii="GHEA Grapalat" w:hAnsi="GHEA Grapalat"/>
                <w:b/>
                <w:shd w:val="clear" w:color="auto" w:fill="D9D9D9" w:themeFill="background1" w:themeFillShade="D9"/>
                <w:lang w:val="en-US"/>
              </w:rPr>
            </w:pPr>
          </w:p>
        </w:tc>
        <w:tc>
          <w:tcPr>
            <w:tcW w:w="2344" w:type="dxa"/>
            <w:gridSpan w:val="2"/>
            <w:shd w:val="clear" w:color="auto" w:fill="D9D9D9" w:themeFill="background1" w:themeFillShade="D9"/>
          </w:tcPr>
          <w:p w14:paraId="73C10D10"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en-US"/>
              </w:rPr>
              <w:t>ԱԱ/11.2/11366-2024</w:t>
            </w:r>
          </w:p>
        </w:tc>
      </w:tr>
      <w:tr w:rsidR="00881AD5" w:rsidRPr="00F2718E" w14:paraId="0FFD093E" w14:textId="77777777" w:rsidTr="00F260E8">
        <w:trPr>
          <w:gridAfter w:val="1"/>
          <w:wAfter w:w="6" w:type="dxa"/>
        </w:trPr>
        <w:tc>
          <w:tcPr>
            <w:tcW w:w="7879" w:type="dxa"/>
          </w:tcPr>
          <w:p w14:paraId="518EB54F" w14:textId="77777777" w:rsidR="00881AD5" w:rsidRPr="00F2718E" w:rsidRDefault="00881AD5" w:rsidP="00A961C5">
            <w:pPr>
              <w:spacing w:line="360" w:lineRule="auto"/>
              <w:jc w:val="both"/>
              <w:rPr>
                <w:rFonts w:ascii="GHEA Grapalat" w:hAnsi="GHEA Grapalat"/>
              </w:rPr>
            </w:pPr>
            <w:r w:rsidRPr="00F2718E">
              <w:rPr>
                <w:rFonts w:ascii="GHEA Grapalat" w:hAnsi="GHEA Grapalat"/>
                <w:shd w:val="clear" w:color="auto" w:fill="FFFFFF"/>
                <w:lang w:val="en-US"/>
              </w:rPr>
              <w:t>Առողջապահության</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նախարարությունը</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ներկայացված</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նախագծերի</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վերաբերյալ</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դիտողություններ</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և</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առաջարկություններ</w:t>
            </w:r>
            <w:r w:rsidRPr="00F2718E">
              <w:rPr>
                <w:rFonts w:ascii="GHEA Grapalat" w:hAnsi="GHEA Grapalat"/>
                <w:shd w:val="clear" w:color="auto" w:fill="FFFFFF"/>
              </w:rPr>
              <w:t xml:space="preserve"> </w:t>
            </w:r>
            <w:r w:rsidRPr="00F2718E">
              <w:rPr>
                <w:rFonts w:ascii="GHEA Grapalat" w:hAnsi="GHEA Grapalat"/>
                <w:shd w:val="clear" w:color="auto" w:fill="FFFFFF"/>
                <w:lang w:val="en-US"/>
              </w:rPr>
              <w:t>չունի</w:t>
            </w:r>
            <w:r w:rsidRPr="00F2718E">
              <w:rPr>
                <w:rFonts w:ascii="GHEA Grapalat" w:hAnsi="GHEA Grapalat"/>
                <w:shd w:val="clear" w:color="auto" w:fill="FFFFFF"/>
              </w:rPr>
              <w:t>:</w:t>
            </w:r>
          </w:p>
        </w:tc>
        <w:tc>
          <w:tcPr>
            <w:tcW w:w="7022" w:type="dxa"/>
            <w:gridSpan w:val="6"/>
          </w:tcPr>
          <w:p w14:paraId="6ACE8624"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lang w:val="hy-AM"/>
              </w:rPr>
              <w:t>Ընդունվել է:</w:t>
            </w:r>
          </w:p>
        </w:tc>
      </w:tr>
      <w:tr w:rsidR="00881AD5" w:rsidRPr="00F2718E" w14:paraId="55DB4ABA" w14:textId="77777777" w:rsidTr="00F260E8">
        <w:trPr>
          <w:trHeight w:val="420"/>
        </w:trPr>
        <w:tc>
          <w:tcPr>
            <w:tcW w:w="12563" w:type="dxa"/>
            <w:gridSpan w:val="6"/>
            <w:vMerge w:val="restart"/>
            <w:shd w:val="clear" w:color="auto" w:fill="D9D9D9" w:themeFill="background1" w:themeFillShade="D9"/>
          </w:tcPr>
          <w:p w14:paraId="7958543B"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D9D9D9" w:themeFill="background1" w:themeFillShade="D9"/>
              </w:rPr>
              <w:t>2.</w:t>
            </w:r>
            <w:r w:rsidRPr="00F2718E">
              <w:rPr>
                <w:rFonts w:ascii="GHEA Grapalat" w:hAnsi="GHEA Grapalat"/>
                <w:b/>
                <w:shd w:val="clear" w:color="auto" w:fill="D9D9D9" w:themeFill="background1" w:themeFillShade="D9"/>
                <w:lang w:val="hy-AM"/>
              </w:rPr>
              <w:t xml:space="preserve"> Էկոնոմիկայի նախարարություն</w:t>
            </w:r>
          </w:p>
        </w:tc>
        <w:tc>
          <w:tcPr>
            <w:tcW w:w="2344" w:type="dxa"/>
            <w:gridSpan w:val="2"/>
            <w:shd w:val="clear" w:color="auto" w:fill="D9D9D9" w:themeFill="background1" w:themeFillShade="D9"/>
          </w:tcPr>
          <w:p w14:paraId="4CA44AED"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hy-AM"/>
              </w:rPr>
              <w:t>18.04.2024թ.</w:t>
            </w:r>
          </w:p>
        </w:tc>
      </w:tr>
      <w:tr w:rsidR="00881AD5" w:rsidRPr="00F2718E" w14:paraId="1B26187D" w14:textId="77777777" w:rsidTr="00F260E8">
        <w:trPr>
          <w:trHeight w:val="378"/>
        </w:trPr>
        <w:tc>
          <w:tcPr>
            <w:tcW w:w="12563" w:type="dxa"/>
            <w:gridSpan w:val="6"/>
            <w:vMerge/>
            <w:shd w:val="clear" w:color="auto" w:fill="D9D9D9" w:themeFill="background1" w:themeFillShade="D9"/>
          </w:tcPr>
          <w:p w14:paraId="58CE993C" w14:textId="77777777" w:rsidR="00881AD5" w:rsidRPr="00F2718E" w:rsidRDefault="00881AD5"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08D98092"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en-US"/>
              </w:rPr>
              <w:t>01/7612-2024</w:t>
            </w:r>
          </w:p>
        </w:tc>
      </w:tr>
      <w:tr w:rsidR="00881AD5" w:rsidRPr="00F2718E" w14:paraId="2E78C119" w14:textId="77777777" w:rsidTr="00F260E8">
        <w:trPr>
          <w:gridAfter w:val="1"/>
          <w:wAfter w:w="6" w:type="dxa"/>
          <w:trHeight w:val="2667"/>
        </w:trPr>
        <w:tc>
          <w:tcPr>
            <w:tcW w:w="7879" w:type="dxa"/>
          </w:tcPr>
          <w:p w14:paraId="39844E5E" w14:textId="1DD8B8E3" w:rsidR="00B8028E" w:rsidRPr="00F2718E" w:rsidRDefault="00881AD5" w:rsidP="00A961C5">
            <w:pPr>
              <w:spacing w:line="360" w:lineRule="auto"/>
              <w:jc w:val="both"/>
              <w:rPr>
                <w:rFonts w:ascii="GHEA Grapalat" w:hAnsi="GHEA Grapalat"/>
                <w:shd w:val="clear" w:color="auto" w:fill="FFFFFF"/>
                <w:lang w:val="hy-AM"/>
              </w:rPr>
            </w:pPr>
            <w:r w:rsidRPr="00F2718E">
              <w:rPr>
                <w:rFonts w:ascii="GHEA Grapalat" w:hAnsi="GHEA Grapalat"/>
                <w:shd w:val="clear" w:color="auto" w:fill="FFFFFF"/>
              </w:rPr>
              <w:t>Էկոնոմիկայի նախարարությունն ուսումնասիրելով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 հայտնում է, որ նախագծերի վերաբերյալ առաջարկություններ և դիտողություններ չունի</w:t>
            </w:r>
            <w:r w:rsidR="006C2601" w:rsidRPr="00F2718E">
              <w:rPr>
                <w:rFonts w:ascii="GHEA Grapalat" w:hAnsi="GHEA Grapalat"/>
                <w:shd w:val="clear" w:color="auto" w:fill="FFFFFF"/>
                <w:lang w:val="hy-AM"/>
              </w:rPr>
              <w:t>:</w:t>
            </w:r>
          </w:p>
          <w:p w14:paraId="78B6B191" w14:textId="77777777" w:rsidR="009D19F0" w:rsidRPr="00F2718E" w:rsidRDefault="009D19F0" w:rsidP="00A961C5">
            <w:pPr>
              <w:spacing w:line="360" w:lineRule="auto"/>
              <w:jc w:val="both"/>
              <w:rPr>
                <w:rFonts w:ascii="GHEA Grapalat" w:hAnsi="GHEA Grapalat"/>
                <w:shd w:val="clear" w:color="auto" w:fill="FFFFFF"/>
              </w:rPr>
            </w:pPr>
          </w:p>
          <w:p w14:paraId="1F8636C6" w14:textId="23BF308F" w:rsidR="009D19F0" w:rsidRPr="00F2718E" w:rsidRDefault="009D19F0" w:rsidP="00A961C5">
            <w:pPr>
              <w:spacing w:line="360" w:lineRule="auto"/>
              <w:jc w:val="both"/>
              <w:rPr>
                <w:rFonts w:ascii="GHEA Grapalat" w:hAnsi="GHEA Grapalat"/>
                <w:shd w:val="clear" w:color="auto" w:fill="FFFFFF"/>
              </w:rPr>
            </w:pPr>
          </w:p>
        </w:tc>
        <w:tc>
          <w:tcPr>
            <w:tcW w:w="7022" w:type="dxa"/>
            <w:gridSpan w:val="6"/>
          </w:tcPr>
          <w:p w14:paraId="7AF008B7" w14:textId="77777777" w:rsidR="00881AD5" w:rsidRPr="00F2718E" w:rsidRDefault="00881AD5" w:rsidP="00A961C5">
            <w:pPr>
              <w:spacing w:line="360" w:lineRule="auto"/>
              <w:jc w:val="center"/>
              <w:rPr>
                <w:rFonts w:ascii="GHEA Grapalat" w:hAnsi="GHEA Grapalat"/>
                <w:b/>
              </w:rPr>
            </w:pPr>
            <w:r w:rsidRPr="00F2718E">
              <w:rPr>
                <w:rFonts w:ascii="GHEA Grapalat" w:hAnsi="GHEA Grapalat"/>
                <w:b/>
                <w:lang w:val="en-US"/>
              </w:rPr>
              <w:t>Ընդունվել</w:t>
            </w:r>
            <w:r w:rsidRPr="00F2718E">
              <w:rPr>
                <w:rFonts w:ascii="GHEA Grapalat" w:hAnsi="GHEA Grapalat"/>
                <w:b/>
              </w:rPr>
              <w:t xml:space="preserve"> </w:t>
            </w:r>
            <w:r w:rsidRPr="00F2718E">
              <w:rPr>
                <w:rFonts w:ascii="GHEA Grapalat" w:hAnsi="GHEA Grapalat"/>
                <w:b/>
                <w:lang w:val="en-US"/>
              </w:rPr>
              <w:t>է</w:t>
            </w:r>
            <w:r w:rsidRPr="00F2718E">
              <w:rPr>
                <w:rFonts w:ascii="GHEA Grapalat" w:hAnsi="GHEA Grapalat"/>
                <w:b/>
              </w:rPr>
              <w:t>:</w:t>
            </w:r>
          </w:p>
          <w:p w14:paraId="658B5CEC" w14:textId="77777777" w:rsidR="00881AD5" w:rsidRPr="00F2718E" w:rsidRDefault="00881AD5" w:rsidP="00A961C5">
            <w:pPr>
              <w:spacing w:line="360" w:lineRule="auto"/>
              <w:jc w:val="center"/>
              <w:rPr>
                <w:rFonts w:ascii="GHEA Grapalat" w:hAnsi="GHEA Grapalat"/>
              </w:rPr>
            </w:pPr>
          </w:p>
        </w:tc>
      </w:tr>
      <w:tr w:rsidR="00881AD5" w:rsidRPr="00F2718E" w14:paraId="47EFB55C" w14:textId="77777777" w:rsidTr="00F260E8">
        <w:trPr>
          <w:trHeight w:val="471"/>
        </w:trPr>
        <w:tc>
          <w:tcPr>
            <w:tcW w:w="12563" w:type="dxa"/>
            <w:gridSpan w:val="6"/>
            <w:vMerge w:val="restart"/>
            <w:shd w:val="clear" w:color="auto" w:fill="D9D9D9" w:themeFill="background1" w:themeFillShade="D9"/>
          </w:tcPr>
          <w:p w14:paraId="69949D1E"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D9D9D9" w:themeFill="background1" w:themeFillShade="D9"/>
                <w:lang w:val="en-US"/>
              </w:rPr>
              <w:lastRenderedPageBreak/>
              <w:t xml:space="preserve">3. </w:t>
            </w:r>
            <w:r w:rsidRPr="00F2718E">
              <w:rPr>
                <w:rFonts w:ascii="GHEA Grapalat" w:hAnsi="GHEA Grapalat"/>
                <w:b/>
                <w:shd w:val="clear" w:color="auto" w:fill="D9D9D9" w:themeFill="background1" w:themeFillShade="D9"/>
                <w:lang w:val="hy-AM"/>
              </w:rPr>
              <w:t>Հաշվեքննիչ պալատ</w:t>
            </w:r>
          </w:p>
        </w:tc>
        <w:tc>
          <w:tcPr>
            <w:tcW w:w="2344" w:type="dxa"/>
            <w:gridSpan w:val="2"/>
            <w:shd w:val="clear" w:color="auto" w:fill="D9D9D9" w:themeFill="background1" w:themeFillShade="D9"/>
          </w:tcPr>
          <w:p w14:paraId="055C7B38"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hy-AM"/>
              </w:rPr>
              <w:t>11.04.2024թ.</w:t>
            </w:r>
          </w:p>
        </w:tc>
      </w:tr>
      <w:tr w:rsidR="00881AD5" w:rsidRPr="00F2718E" w14:paraId="47D12E75" w14:textId="77777777" w:rsidTr="00F260E8">
        <w:trPr>
          <w:trHeight w:val="537"/>
        </w:trPr>
        <w:tc>
          <w:tcPr>
            <w:tcW w:w="12563" w:type="dxa"/>
            <w:gridSpan w:val="6"/>
            <w:vMerge/>
            <w:shd w:val="clear" w:color="auto" w:fill="D9D9D9" w:themeFill="background1" w:themeFillShade="D9"/>
          </w:tcPr>
          <w:p w14:paraId="520D7618" w14:textId="77777777" w:rsidR="00881AD5" w:rsidRPr="00F2718E" w:rsidRDefault="00881AD5"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6978513B" w14:textId="77777777" w:rsidR="00881AD5" w:rsidRPr="00F2718E" w:rsidRDefault="00881AD5" w:rsidP="00A961C5">
            <w:pPr>
              <w:spacing w:line="360" w:lineRule="auto"/>
              <w:rPr>
                <w:rFonts w:ascii="GHEA Grapalat" w:hAnsi="GHEA Grapalat"/>
                <w:lang w:val="hy-AM"/>
              </w:rPr>
            </w:pPr>
            <w:r w:rsidRPr="00F2718E">
              <w:rPr>
                <w:rFonts w:ascii="GHEA Grapalat" w:hAnsi="GHEA Grapalat"/>
                <w:b/>
                <w:shd w:val="clear" w:color="auto" w:fill="D9D9D9" w:themeFill="background1" w:themeFillShade="D9"/>
                <w:lang w:val="en-US"/>
              </w:rPr>
              <w:t>ՀՊԵ/01/248-2024</w:t>
            </w:r>
          </w:p>
        </w:tc>
      </w:tr>
      <w:tr w:rsidR="00881AD5" w:rsidRPr="00F2718E" w14:paraId="20FF2EC4" w14:textId="77777777" w:rsidTr="00F260E8">
        <w:trPr>
          <w:gridAfter w:val="1"/>
          <w:wAfter w:w="6" w:type="dxa"/>
        </w:trPr>
        <w:tc>
          <w:tcPr>
            <w:tcW w:w="7879" w:type="dxa"/>
          </w:tcPr>
          <w:p w14:paraId="3EF0192B" w14:textId="77777777" w:rsidR="00881AD5" w:rsidRPr="00F2718E" w:rsidRDefault="00881AD5" w:rsidP="00A961C5">
            <w:pPr>
              <w:spacing w:line="360" w:lineRule="auto"/>
              <w:jc w:val="both"/>
              <w:rPr>
                <w:rFonts w:ascii="GHEA Grapalat" w:hAnsi="GHEA Grapalat"/>
              </w:rPr>
            </w:pPr>
            <w:r w:rsidRPr="00F2718E">
              <w:rPr>
                <w:rStyle w:val="Strong"/>
                <w:rFonts w:ascii="GHEA Grapalat" w:hAnsi="GHEA Grapalat" w:cs="Arial"/>
                <w:b w:val="0"/>
                <w:shd w:val="clear" w:color="auto" w:fill="FFFFFF"/>
                <w:lang w:val="af-ZA"/>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Հաշվեքննիչ պալատը դիտողություններ և առաջարկություններ չունի</w:t>
            </w:r>
            <w:r w:rsidRPr="00F2718E">
              <w:rPr>
                <w:rStyle w:val="Strong"/>
                <w:rFonts w:ascii="GHEA Grapalat" w:hAnsi="GHEA Grapalat" w:cs="Arial"/>
                <w:b w:val="0"/>
                <w:shd w:val="clear" w:color="auto" w:fill="FFFFFF"/>
                <w:lang w:val="hy-AM"/>
              </w:rPr>
              <w:t>:</w:t>
            </w:r>
          </w:p>
        </w:tc>
        <w:tc>
          <w:tcPr>
            <w:tcW w:w="7022" w:type="dxa"/>
            <w:gridSpan w:val="6"/>
          </w:tcPr>
          <w:p w14:paraId="1C025838"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FFFFFF"/>
                <w:lang w:val="hy-AM"/>
              </w:rPr>
              <w:t>Ընդունվել է:</w:t>
            </w:r>
          </w:p>
        </w:tc>
      </w:tr>
      <w:tr w:rsidR="00881AD5" w:rsidRPr="00F2718E" w14:paraId="73B7FE97" w14:textId="77777777" w:rsidTr="00F260E8">
        <w:trPr>
          <w:trHeight w:val="473"/>
        </w:trPr>
        <w:tc>
          <w:tcPr>
            <w:tcW w:w="12563" w:type="dxa"/>
            <w:gridSpan w:val="6"/>
            <w:vMerge w:val="restart"/>
            <w:shd w:val="clear" w:color="auto" w:fill="D9D9D9" w:themeFill="background1" w:themeFillShade="D9"/>
          </w:tcPr>
          <w:p w14:paraId="78B1E78C"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D9D9D9" w:themeFill="background1" w:themeFillShade="D9"/>
                <w:lang w:val="hy-AM"/>
              </w:rPr>
              <w:t>4. Հեռուստատեսության և ռադիոյի հանձնաժողով</w:t>
            </w:r>
          </w:p>
        </w:tc>
        <w:tc>
          <w:tcPr>
            <w:tcW w:w="2344" w:type="dxa"/>
            <w:gridSpan w:val="2"/>
            <w:shd w:val="clear" w:color="auto" w:fill="D9D9D9" w:themeFill="background1" w:themeFillShade="D9"/>
          </w:tcPr>
          <w:p w14:paraId="5C0CD799" w14:textId="77777777" w:rsidR="00881AD5" w:rsidRPr="00F2718E" w:rsidRDefault="00881AD5"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hy-AM"/>
              </w:rPr>
              <w:t>12.04.2024թ.</w:t>
            </w:r>
          </w:p>
        </w:tc>
      </w:tr>
      <w:tr w:rsidR="00881AD5" w:rsidRPr="00F2718E" w14:paraId="48C893C4" w14:textId="77777777" w:rsidTr="00F260E8">
        <w:trPr>
          <w:trHeight w:val="391"/>
        </w:trPr>
        <w:tc>
          <w:tcPr>
            <w:tcW w:w="12563" w:type="dxa"/>
            <w:gridSpan w:val="6"/>
            <w:vMerge/>
            <w:shd w:val="clear" w:color="auto" w:fill="D9D9D9" w:themeFill="background1" w:themeFillShade="D9"/>
          </w:tcPr>
          <w:p w14:paraId="74AEEA47" w14:textId="77777777" w:rsidR="00881AD5" w:rsidRPr="00F2718E" w:rsidRDefault="00881AD5"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755E96B5" w14:textId="77777777" w:rsidR="00881AD5" w:rsidRPr="00F2718E" w:rsidRDefault="00881AD5" w:rsidP="00A961C5">
            <w:pPr>
              <w:tabs>
                <w:tab w:val="left" w:pos="924"/>
              </w:tabs>
              <w:spacing w:line="360" w:lineRule="auto"/>
              <w:rPr>
                <w:rFonts w:ascii="GHEA Grapalat" w:hAnsi="GHEA Grapalat"/>
              </w:rPr>
            </w:pPr>
            <w:r w:rsidRPr="00F2718E">
              <w:rPr>
                <w:rFonts w:ascii="GHEA Grapalat" w:hAnsi="GHEA Grapalat"/>
                <w:b/>
              </w:rPr>
              <w:t>Ե/01/04.1/315-24</w:t>
            </w:r>
          </w:p>
        </w:tc>
      </w:tr>
      <w:tr w:rsidR="00881AD5" w:rsidRPr="00F2718E" w14:paraId="582A87B3" w14:textId="77777777" w:rsidTr="00F260E8">
        <w:trPr>
          <w:gridAfter w:val="1"/>
          <w:wAfter w:w="6" w:type="dxa"/>
        </w:trPr>
        <w:tc>
          <w:tcPr>
            <w:tcW w:w="7879" w:type="dxa"/>
          </w:tcPr>
          <w:p w14:paraId="51D9A357" w14:textId="77777777" w:rsidR="00881AD5" w:rsidRPr="00F2718E" w:rsidRDefault="00881AD5" w:rsidP="00A961C5">
            <w:pPr>
              <w:spacing w:line="360" w:lineRule="auto"/>
              <w:jc w:val="both"/>
              <w:rPr>
                <w:rFonts w:ascii="GHEA Grapalat" w:hAnsi="GHEA Grapalat"/>
              </w:rPr>
            </w:pPr>
            <w:r w:rsidRPr="00F2718E">
              <w:rPr>
                <w:rFonts w:ascii="GHEA Grapalat" w:eastAsia="MS Gothic" w:hAnsi="GHEA Grapalat" w:cs="MS Gothic"/>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Հեռուստատեսության և ռադիոյի հանձնաժողովն առաջարկություններ և դիտողություններ չունի։</w:t>
            </w:r>
          </w:p>
        </w:tc>
        <w:tc>
          <w:tcPr>
            <w:tcW w:w="7022" w:type="dxa"/>
            <w:gridSpan w:val="6"/>
          </w:tcPr>
          <w:p w14:paraId="255C11FB" w14:textId="77777777" w:rsidR="00881AD5" w:rsidRPr="00F2718E" w:rsidRDefault="00881AD5" w:rsidP="00A961C5">
            <w:pPr>
              <w:spacing w:line="360" w:lineRule="auto"/>
              <w:jc w:val="center"/>
              <w:rPr>
                <w:rFonts w:ascii="GHEA Grapalat" w:hAnsi="GHEA Grapalat"/>
              </w:rPr>
            </w:pPr>
            <w:r w:rsidRPr="00F2718E">
              <w:rPr>
                <w:rFonts w:ascii="GHEA Grapalat" w:hAnsi="GHEA Grapalat"/>
                <w:b/>
                <w:shd w:val="clear" w:color="auto" w:fill="FFFFFF"/>
                <w:lang w:val="hy-AM"/>
              </w:rPr>
              <w:t>Ընդունվել է:</w:t>
            </w:r>
          </w:p>
        </w:tc>
      </w:tr>
      <w:tr w:rsidR="00881AD5" w:rsidRPr="00F2718E" w14:paraId="796AB325" w14:textId="77777777" w:rsidTr="00F260E8">
        <w:trPr>
          <w:trHeight w:val="488"/>
        </w:trPr>
        <w:tc>
          <w:tcPr>
            <w:tcW w:w="12563" w:type="dxa"/>
            <w:gridSpan w:val="6"/>
            <w:vMerge w:val="restart"/>
            <w:shd w:val="clear" w:color="auto" w:fill="D9D9D9" w:themeFill="background1" w:themeFillShade="D9"/>
          </w:tcPr>
          <w:p w14:paraId="72A4BCBC" w14:textId="77777777" w:rsidR="00881AD5" w:rsidRPr="00F2718E" w:rsidRDefault="00881AD5" w:rsidP="00A961C5">
            <w:pPr>
              <w:spacing w:line="360" w:lineRule="auto"/>
              <w:jc w:val="center"/>
              <w:rPr>
                <w:rFonts w:ascii="GHEA Grapalat" w:hAnsi="GHEA Grapalat"/>
                <w:highlight w:val="lightGray"/>
              </w:rPr>
            </w:pPr>
            <w:r w:rsidRPr="00F2718E">
              <w:rPr>
                <w:rFonts w:ascii="GHEA Grapalat" w:hAnsi="GHEA Grapalat"/>
                <w:b/>
                <w:highlight w:val="lightGray"/>
                <w:shd w:val="clear" w:color="auto" w:fill="FFFFFF"/>
                <w:lang w:val="hy-AM"/>
              </w:rPr>
              <w:t>5. Արտաքին գործերի նախարարություն</w:t>
            </w:r>
          </w:p>
        </w:tc>
        <w:tc>
          <w:tcPr>
            <w:tcW w:w="2344" w:type="dxa"/>
            <w:gridSpan w:val="2"/>
            <w:shd w:val="clear" w:color="auto" w:fill="D9D9D9" w:themeFill="background1" w:themeFillShade="D9"/>
          </w:tcPr>
          <w:p w14:paraId="34E968EA" w14:textId="77777777" w:rsidR="00881AD5" w:rsidRPr="00F2718E" w:rsidRDefault="00881AD5" w:rsidP="00A961C5">
            <w:pPr>
              <w:tabs>
                <w:tab w:val="left" w:pos="372"/>
              </w:tabs>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25.04.2024թ.</w:t>
            </w:r>
          </w:p>
        </w:tc>
      </w:tr>
      <w:tr w:rsidR="00881AD5" w:rsidRPr="00F2718E" w14:paraId="330E4264" w14:textId="77777777" w:rsidTr="00F260E8">
        <w:trPr>
          <w:trHeight w:val="465"/>
        </w:trPr>
        <w:tc>
          <w:tcPr>
            <w:tcW w:w="12563" w:type="dxa"/>
            <w:gridSpan w:val="6"/>
            <w:vMerge/>
            <w:shd w:val="clear" w:color="auto" w:fill="D9D9D9" w:themeFill="background1" w:themeFillShade="D9"/>
          </w:tcPr>
          <w:p w14:paraId="0D677FFD" w14:textId="77777777" w:rsidR="00881AD5" w:rsidRPr="00F2718E" w:rsidRDefault="00881AD5" w:rsidP="00A961C5">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56A5D5F7" w14:textId="77777777" w:rsidR="00881AD5" w:rsidRPr="00F2718E" w:rsidRDefault="00881AD5"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1111/21916-24</w:t>
            </w:r>
          </w:p>
        </w:tc>
      </w:tr>
      <w:tr w:rsidR="00881AD5" w:rsidRPr="00F2718E" w14:paraId="1D1D4E45" w14:textId="77777777" w:rsidTr="00F260E8">
        <w:trPr>
          <w:gridAfter w:val="1"/>
          <w:wAfter w:w="6" w:type="dxa"/>
        </w:trPr>
        <w:tc>
          <w:tcPr>
            <w:tcW w:w="7879" w:type="dxa"/>
          </w:tcPr>
          <w:p w14:paraId="4515D21E" w14:textId="77777777" w:rsidR="00881AD5" w:rsidRPr="00F2718E" w:rsidRDefault="00881AD5" w:rsidP="00A961C5">
            <w:pPr>
              <w:spacing w:line="360" w:lineRule="auto"/>
              <w:jc w:val="both"/>
              <w:rPr>
                <w:rFonts w:ascii="GHEA Grapalat" w:hAnsi="GHEA Grapalat"/>
              </w:rPr>
            </w:pPr>
            <w:r w:rsidRPr="00F2718E">
              <w:rPr>
                <w:rFonts w:ascii="GHEA Grapalat" w:hAnsi="GHEA Grapalat"/>
                <w:lang w:val="hy-AM"/>
              </w:rPr>
              <w:lastRenderedPageBreak/>
              <w:t>1. «Հայաստանի Հանրապետության քաղաքացիական դատավարության օրենսգրքում փոփոխություններ և լրացումներ կատարելու մասին ՀՀ օրենքի  նախագծի  3-րդ հոդվածում  լրացվող  147.1-րդ  հոդվածի  2-րդ մասի բովանդակությունից պարզ չէ իրավունքի չարաշահման դրսևորման բնույթը, ուստի առաջարկում ենք հստակեցնել իրավունքի իրացման  սահմանները:</w:t>
            </w:r>
          </w:p>
        </w:tc>
        <w:tc>
          <w:tcPr>
            <w:tcW w:w="7022" w:type="dxa"/>
            <w:gridSpan w:val="6"/>
          </w:tcPr>
          <w:p w14:paraId="712A8FEE" w14:textId="2F3D42DF" w:rsidR="00881AD5" w:rsidRPr="00F2718E" w:rsidRDefault="001B2CA0" w:rsidP="00A961C5">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00881AD5"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00881AD5" w:rsidRPr="00F2718E">
              <w:rPr>
                <w:rFonts w:ascii="GHEA Grapalat" w:hAnsi="GHEA Grapalat"/>
                <w:b/>
                <w:shd w:val="clear" w:color="auto" w:fill="FFFFFF"/>
                <w:lang w:val="hy-AM"/>
              </w:rPr>
              <w:t>:</w:t>
            </w:r>
          </w:p>
          <w:p w14:paraId="5270DB24" w14:textId="27404CFB" w:rsidR="001B2CA0" w:rsidRPr="00F2718E" w:rsidRDefault="001B2CA0" w:rsidP="001B2CA0">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w:t>
            </w:r>
            <w:r w:rsidRPr="00F2718E">
              <w:rPr>
                <w:rFonts w:ascii="GHEA Grapalat" w:hAnsi="GHEA Grapalat"/>
                <w:lang w:val="hy-AM"/>
              </w:rPr>
              <w:t>.</w:t>
            </w:r>
            <w:r>
              <w:rPr>
                <w:rFonts w:ascii="GHEA Grapalat" w:hAnsi="GHEA Grapalat"/>
                <w:lang w:val="hy-AM"/>
              </w:rPr>
              <w:t>1</w:t>
            </w:r>
            <w:r w:rsidRPr="00F2718E">
              <w:rPr>
                <w:rFonts w:ascii="GHEA Grapalat" w:hAnsi="GHEA Grapalat"/>
                <w:lang w:val="hy-AM"/>
              </w:rPr>
              <w:t>-</w:t>
            </w:r>
            <w:r>
              <w:rPr>
                <w:rFonts w:ascii="GHEA Grapalat" w:hAnsi="GHEA Grapalat"/>
                <w:lang w:val="hy-AM"/>
              </w:rPr>
              <w:t>ին</w:t>
            </w:r>
            <w:r w:rsidRPr="00F2718E">
              <w:rPr>
                <w:rFonts w:ascii="GHEA Grapalat" w:hAnsi="GHEA Grapalat"/>
                <w:lang w:val="hy-AM"/>
              </w:rPr>
              <w:t xml:space="preserve"> </w:t>
            </w:r>
            <w:r>
              <w:rPr>
                <w:rFonts w:ascii="GHEA Grapalat" w:hAnsi="GHEA Grapalat"/>
                <w:lang w:val="hy-AM"/>
              </w:rPr>
              <w:t>հոդվածը:</w:t>
            </w:r>
          </w:p>
          <w:p w14:paraId="276D09CA" w14:textId="005B281D" w:rsidR="00881AD5" w:rsidRPr="00F2718E" w:rsidRDefault="00881AD5" w:rsidP="00A961C5">
            <w:pPr>
              <w:keepNext/>
              <w:keepLines/>
              <w:spacing w:line="360" w:lineRule="auto"/>
              <w:jc w:val="both"/>
              <w:outlineLvl w:val="0"/>
              <w:rPr>
                <w:rFonts w:ascii="GHEA Grapalat" w:hAnsi="GHEA Grapalat"/>
                <w:shd w:val="clear" w:color="auto" w:fill="FFFFFF"/>
                <w:lang w:val="hy-AM"/>
              </w:rPr>
            </w:pPr>
          </w:p>
        </w:tc>
      </w:tr>
      <w:tr w:rsidR="00881AD5" w:rsidRPr="00F2718E" w14:paraId="23D6129D" w14:textId="77777777" w:rsidTr="00F260E8">
        <w:trPr>
          <w:gridAfter w:val="1"/>
          <w:wAfter w:w="6" w:type="dxa"/>
        </w:trPr>
        <w:tc>
          <w:tcPr>
            <w:tcW w:w="7879" w:type="dxa"/>
          </w:tcPr>
          <w:p w14:paraId="08507646"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lastRenderedPageBreak/>
              <w:t>2. «Հայաստանի Հանրապետության վարչական դատավարության օրենսգրքում լրացումներ և փոփոխություններ կատարելու մասին ՀՀ  օրենքի նախագծի 3-րդ հոդվածում  լրացվող 101.6-րդ հոդվածի 2-րդ մասում  նշված իրավունքների իրացման սահմանափակումը` առանց «իրավունքի չարաշահման եզրույթի բնորոշման հիմնական հատկանիշները սահմանելու, կարող է  քաղաքացուն զրկել իր գործի արդար դատաքննության իրավունքն արդյունավետորեն իրացնելու հնարավորությունից և արդար դատաքննության իրավունքի խախտման դեմ պաշտպանության արդյունավետ միջոցից: Ուստի առաջարկում ենք սահմանել նաև «իրավունքի չարաշահման եզրույթի հասկացությունը։</w:t>
            </w:r>
            <w:r w:rsidRPr="00F2718E">
              <w:rPr>
                <w:rFonts w:ascii="GHEA Grapalat" w:hAnsi="GHEA Grapalat"/>
                <w:lang w:val="hy-AM"/>
              </w:rPr>
              <w:tab/>
            </w:r>
          </w:p>
        </w:tc>
        <w:tc>
          <w:tcPr>
            <w:tcW w:w="7022" w:type="dxa"/>
            <w:gridSpan w:val="6"/>
          </w:tcPr>
          <w:p w14:paraId="11D620AB" w14:textId="77777777" w:rsidR="00881AD5" w:rsidRPr="00F2718E" w:rsidRDefault="00881AD5"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5EAFED4D"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«Հայաստանի Հանրապետության դատական օրենսգիրք» սահմանադրական օրենքի (այսուհետ՝ Դատական օրենսգիրք) 47-րդ հոդվածի 1-ին մասի համաձայն՝ դատական սանկցիան կիրառվում է դատական իշխանության հեղինակությունը պաշտպանելու, ինչպես նաև դատական նիստի բնականոն ընթացքն ապահովելու նպատակով: Նույն հոդվածի 2-րդ մասի համաձայն` դատարանը դատական սանկցիա կարող է կիրառել, երբ անձը՝ 1) </w:t>
            </w:r>
            <w:r w:rsidRPr="00F2718E">
              <w:rPr>
                <w:rFonts w:ascii="GHEA Grapalat" w:hAnsi="GHEA Grapalat"/>
                <w:b/>
                <w:shd w:val="clear" w:color="auto" w:fill="FFFFFF"/>
                <w:lang w:val="hy-AM"/>
              </w:rPr>
              <w:t>չարաշահում է իր դատավարական իրավունքները կամ չարամտորեն չի կատարում իր դատավարական պարտականությունները</w:t>
            </w:r>
            <w:r w:rsidRPr="00F2718E">
              <w:rPr>
                <w:rFonts w:ascii="GHEA Grapalat" w:hAnsi="GHEA Grapalat"/>
                <w:shd w:val="clear" w:color="auto" w:fill="FFFFFF"/>
                <w:lang w:val="hy-AM"/>
              </w:rPr>
              <w:t>. (…):</w:t>
            </w:r>
          </w:p>
          <w:p w14:paraId="1E2F911F"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Իրավունքի չարաշահումը Դատական օրենսգրքով արդեն իսկ նախատեսված է որպես դատական սանկցիայի կիրառման հիմք, այսինքն՝ Նախագծերով ոչ թե նախատեսվել է իրավունքի չարաշահումը՝ որպես դատական սանկցիայի կիրառման նոր հիմք, այլ մասնավորեցվել են իրավունքի չարաշահման հնարավոր հետևանքները: </w:t>
            </w:r>
          </w:p>
          <w:p w14:paraId="21DF0630"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Ինչպես Դատական օրենսգիրքը, այնպես էլ դատավարական մյուս օրենսգրքերն իրավունքի չարաշահման երևույթը կապում են դատավարական իրավունքներից ոչ բարեխղճորեն օգտվելու կամ դատավարական պարտականությունները չարամտորեն չկատարելու հետ: Ընդ որում, ինչպես Սահմանադրական դատարանը, այնպես էլ Վճռաբեկ դատարանը սահմանել են վարքագիծը որպես իրավունքի չարաշահում բնորոշելու համար անհրաժեշտ պայմանների համակցությունը: </w:t>
            </w:r>
          </w:p>
          <w:p w14:paraId="03FD348F"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shd w:val="clear" w:color="auto" w:fill="FFFFFF"/>
                <w:lang w:val="hy-AM"/>
              </w:rPr>
              <w:t>Այնուամենայնիվ, իրավունքի չարաշահման դրսևորման հնարավոր բոլոր եղանակներն ու ձևերը օրենսդրական կարգավորման ենթարկելու անհնարինության, դատավարական օրենսգրքերում նշված եզրույթի կիրառման և միաժամանակ դատական պրակտիկայում այդ եզրույթի մեկնաբանության առկայության պայմաններում «իրավունքի չարաշահում» եզրույթի հասկացությունն օրենսդրությամբ սահմանելու անհրաժեշտությունը, կարծում ենք, բացակայում է:</w:t>
            </w:r>
            <w:r w:rsidRPr="00F2718E">
              <w:rPr>
                <w:rFonts w:ascii="GHEA Grapalat" w:hAnsi="GHEA Grapalat"/>
                <w:lang w:val="hy-AM"/>
              </w:rPr>
              <w:t xml:space="preserve"> Սահմանադրական դատարանը 12.10.2021 թվականի թիվ ՍԴՈ-1613 որոշմամբ նշել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մասնավորապես նշելով, որ ինչ վերաբերում է դիմողի այն դիտարկմանը, թե լրացումներով «...հստակեցված չեն չափորոշիչները, որոնք պետք է կիրառվեն՝ որոշելու, թե որն է իրավունքի չարաշահումը», ապա Սահմանադրական դատարանն արձանագրում է, որ գործող օրենսդրությամբ դատավարական իրավունքների չարաշահում ներկայումս էլ (անգամ առանց Օրենքով նախատեսվող լրացումների) դիտարկվում է իբրև դատական սանկցիա կիրառելու հիմք («Հայաստանի Հանրապետության դատական օրենսգիրք» սահմանադրական օրենքի 47-րդ հոդվածի 2-րդ մասի 1-ին կետ), իսկ դատարանները նշված հիմքի առկայությունը գնահատելիս, ելնում են ինչպես արդեն իսկ դատական պրակտիկայով ձևավորված, այնպես էլ իրավունքի դոկտրինում տեղ գտած «իրավունքի չարաշահման» հասկացության հատկանիշներից: Ավելին, Սահմանադրական դատարանը սույն թվականի փետրվարի 12-ի ՍԴՈ-1576 որոշմամբ բացահայտել է հենց դիմողի կողմից բարձրացվող այն «չափորոշիչները» որոնց առկայությամբ արարքը կարող է գնահատվել որպես իրավունքի չարաշահում: Մասնավորապես, նշված որոշմամբ հիմք ընդունելով իրավունքի տեսության մեջ առկա մոտեցումներն արձանագրել է. «Իրավունքի տեսության մեջ իրավունքի չարաշահումն արձանագրվում է, երբ առկա է, որպես կանոն, հետևյալ պայմանների համակցությունը. 1. անձը պետք է ունենա համապատասխան իրավունքը, 2. իրավունքի չարաշահումը տեղի է ունենում սուբյեկտիվ իրավունքի իրացման ընթացքում, անձն առերևույթ գործում է իրավական կարգադրագրերին համապատասխան, 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4. իրավունքի չարաշահումը կամային գործընթաց է, այսինքն՝ անձը գիտակցում է, որ ինքն իր սուբյեկտիվ իրավունքը չարաշահում է, հետևաբար՝ պետք է կանխա տեսի, որ կարող է վնաս պատճառել պետության, հանրության կամ այլ անձանց օրինական շահերին: Այդ առումով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կամ տվյալ դեպքում` ամուսնության իրավունքի նպատակին և ոգուն հակառակ, ինչի արդյունքում վնաս է հասցվում այլ անձին, պետությանը, հասարակությանը»: Նման պայմաններում Սահմանադրական դատարանը գտնում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Սահմանադրական դատարանը հայտնում է, որ սույն որոշման 4.5-րդ կետում արված եզրահանգումներն ամբողջությամբ վերաբերելի են նաև դիմողի կողմից բարձրացվող «պարբերաբար» եզրույթի որոշակիության առնչությամբ:»:</w:t>
            </w:r>
          </w:p>
        </w:tc>
      </w:tr>
      <w:tr w:rsidR="00881AD5" w:rsidRPr="00F2718E" w14:paraId="59DF0672" w14:textId="77777777" w:rsidTr="00F260E8">
        <w:trPr>
          <w:gridAfter w:val="1"/>
          <w:wAfter w:w="6" w:type="dxa"/>
        </w:trPr>
        <w:tc>
          <w:tcPr>
            <w:tcW w:w="7879" w:type="dxa"/>
          </w:tcPr>
          <w:p w14:paraId="6694E182" w14:textId="77777777" w:rsidR="00881AD5" w:rsidRPr="00F2718E" w:rsidRDefault="00881AD5" w:rsidP="00A961C5">
            <w:pPr>
              <w:pStyle w:val="BodyText"/>
              <w:spacing w:after="120" w:line="360" w:lineRule="auto"/>
              <w:jc w:val="both"/>
              <w:rPr>
                <w:rFonts w:ascii="GHEA Grapalat" w:hAnsi="GHEA Grapalat"/>
                <w:sz w:val="24"/>
                <w:szCs w:val="24"/>
                <w:lang w:val="hy-AM"/>
              </w:rPr>
            </w:pPr>
            <w:r w:rsidRPr="00F2718E">
              <w:rPr>
                <w:rFonts w:ascii="GHEA Grapalat" w:hAnsi="GHEA Grapalat"/>
                <w:sz w:val="24"/>
                <w:szCs w:val="24"/>
                <w:lang w:val="hy-AM"/>
              </w:rPr>
              <w:t>3. Դատական սանկցիաները ընդհանրապես պետք է կապ  ունենան արդար դատաքննության իրավունքի երաշխավորման հետ. դրանք կարող են կիրառվել բացառապես այն դեպքերում, երբ իրավունքի չարաշահման հետևանքով խաթարվում են արդարադատության շահերը, այդ թվում՝ դատավարության այլ մասնակիցների արդար դատաքննության իրավունքը:</w:t>
            </w:r>
          </w:p>
          <w:p w14:paraId="789C1536" w14:textId="77777777" w:rsidR="00881AD5" w:rsidRPr="00F2718E" w:rsidRDefault="00881AD5" w:rsidP="00A961C5">
            <w:pPr>
              <w:spacing w:line="360" w:lineRule="auto"/>
              <w:jc w:val="center"/>
              <w:rPr>
                <w:rFonts w:ascii="GHEA Grapalat" w:hAnsi="GHEA Grapalat"/>
                <w:lang w:val="hy-AM"/>
              </w:rPr>
            </w:pPr>
          </w:p>
        </w:tc>
        <w:tc>
          <w:tcPr>
            <w:tcW w:w="7022" w:type="dxa"/>
            <w:gridSpan w:val="6"/>
          </w:tcPr>
          <w:p w14:paraId="16E6A26B" w14:textId="77777777" w:rsidR="00881AD5" w:rsidRPr="00F2718E" w:rsidRDefault="00881AD5" w:rsidP="00A961C5">
            <w:pPr>
              <w:keepNext/>
              <w:keepLines/>
              <w:spacing w:line="360" w:lineRule="auto"/>
              <w:jc w:val="center"/>
              <w:outlineLvl w:val="0"/>
              <w:rPr>
                <w:rFonts w:ascii="GHEA Grapalat" w:hAnsi="GHEA Grapalat"/>
                <w:shd w:val="clear" w:color="auto" w:fill="FFFFFF"/>
                <w:lang w:val="hy-AM"/>
              </w:rPr>
            </w:pPr>
            <w:r w:rsidRPr="00F2718E">
              <w:rPr>
                <w:rFonts w:ascii="GHEA Grapalat" w:hAnsi="GHEA Grapalat"/>
                <w:b/>
                <w:shd w:val="clear" w:color="auto" w:fill="FFFFFF"/>
                <w:lang w:val="hy-AM"/>
              </w:rPr>
              <w:t>Չի ընդունվել:</w:t>
            </w:r>
          </w:p>
          <w:p w14:paraId="28F1A8A2"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shd w:val="clear" w:color="auto" w:fill="FFFFFF"/>
                <w:lang w:val="hy-AM"/>
              </w:rPr>
              <w:t>Դատական օրենսգիրքն արդեն իսկ սահմանում է իրավունքի չարաշահումը՝ որպես դատական սանկցիայի կիրառման հիմք՝ ընդ որում չկոնկրետացնելով դրա հետևանքով արդար դատաքննության իրավունքի կամ արդարադատության շահերի խաթարման հանգամանքը: Կարծում ենք, որ իրավունքի չարաշահումը յուրաքանչյուր դեպքում ազդում է արդար դատաքննության, կողմերի մրցակցության և իրավահավասարության սկզբունքների վրա: Այլ կերպ ասած՝ իրավունքի չարաշահումը չի կարող արդարադատության շահերին վնաս չպատճառել: Ուստի, բոլոր դեպքերում, երբ հաստատվում է իրավունքի չարաշահման փաստ, ապա դատավարության այլ մասնակցի կամ արդարադատության շահին վնաս պատճառված լինելն աներկբա է, որպիսի պայմաններում դատական սանկցիայի կիրառման համար որպես հետևանք՝ արդարադատության շահերի խաթարումը սահմանելու անհրաժեշտությունը բացակայում է:</w:t>
            </w:r>
          </w:p>
        </w:tc>
      </w:tr>
      <w:tr w:rsidR="00881AD5" w:rsidRPr="00F2718E" w14:paraId="61FB2264" w14:textId="77777777" w:rsidTr="00F260E8">
        <w:trPr>
          <w:trHeight w:val="534"/>
        </w:trPr>
        <w:tc>
          <w:tcPr>
            <w:tcW w:w="12563" w:type="dxa"/>
            <w:gridSpan w:val="6"/>
            <w:vMerge w:val="restart"/>
            <w:shd w:val="clear" w:color="auto" w:fill="D9D9D9" w:themeFill="background1" w:themeFillShade="D9"/>
          </w:tcPr>
          <w:p w14:paraId="5C073B13" w14:textId="77777777" w:rsidR="00881AD5" w:rsidRPr="00F2718E" w:rsidRDefault="00881AD5" w:rsidP="00A961C5">
            <w:pPr>
              <w:tabs>
                <w:tab w:val="left" w:pos="4297"/>
              </w:tabs>
              <w:spacing w:line="360" w:lineRule="auto"/>
              <w:jc w:val="center"/>
              <w:rPr>
                <w:rFonts w:ascii="GHEA Grapalat" w:hAnsi="GHEA Grapalat"/>
                <w:highlight w:val="lightGray"/>
              </w:rPr>
            </w:pPr>
            <w:r w:rsidRPr="00F2718E">
              <w:rPr>
                <w:rFonts w:ascii="GHEA Grapalat" w:hAnsi="GHEA Grapalat"/>
                <w:b/>
                <w:highlight w:val="lightGray"/>
                <w:shd w:val="clear" w:color="auto" w:fill="FFFFFF"/>
                <w:lang w:val="hy-AM"/>
              </w:rPr>
              <w:t>6. Բարձր տեխնոլոգիական արդյունաբերության նախարարություն</w:t>
            </w:r>
          </w:p>
        </w:tc>
        <w:tc>
          <w:tcPr>
            <w:tcW w:w="2344" w:type="dxa"/>
            <w:gridSpan w:val="2"/>
            <w:shd w:val="clear" w:color="auto" w:fill="D9D9D9" w:themeFill="background1" w:themeFillShade="D9"/>
          </w:tcPr>
          <w:p w14:paraId="1C7224D1" w14:textId="77777777" w:rsidR="00881AD5" w:rsidRPr="00F2718E" w:rsidRDefault="00881AD5"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24.04.2024թ.</w:t>
            </w:r>
          </w:p>
        </w:tc>
      </w:tr>
      <w:tr w:rsidR="00881AD5" w:rsidRPr="00F2718E" w14:paraId="3B97CB05" w14:textId="77777777" w:rsidTr="00F260E8">
        <w:trPr>
          <w:trHeight w:val="488"/>
        </w:trPr>
        <w:tc>
          <w:tcPr>
            <w:tcW w:w="12563" w:type="dxa"/>
            <w:gridSpan w:val="6"/>
            <w:vMerge/>
            <w:shd w:val="clear" w:color="auto" w:fill="D9D9D9" w:themeFill="background1" w:themeFillShade="D9"/>
          </w:tcPr>
          <w:p w14:paraId="7A634691" w14:textId="77777777" w:rsidR="00881AD5" w:rsidRPr="00F2718E" w:rsidRDefault="00881AD5" w:rsidP="00A961C5">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4D972CA0" w14:textId="77777777" w:rsidR="00881AD5" w:rsidRPr="00F2718E" w:rsidRDefault="00881AD5"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01/17.1/3847-2024</w:t>
            </w:r>
          </w:p>
        </w:tc>
      </w:tr>
      <w:tr w:rsidR="00881AD5" w:rsidRPr="00F2718E" w14:paraId="4706E0D1" w14:textId="77777777" w:rsidTr="00F260E8">
        <w:trPr>
          <w:gridAfter w:val="1"/>
          <w:wAfter w:w="6" w:type="dxa"/>
        </w:trPr>
        <w:tc>
          <w:tcPr>
            <w:tcW w:w="7879" w:type="dxa"/>
          </w:tcPr>
          <w:p w14:paraId="495450F0"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 xml:space="preserve">1. Համաձայն Նախագծերի Հայաստանի Հանրապետության վարչական դատավարության օրենսգրքի 101-րդ հոդվածի 1-ին մասը և Հայաստանի Հանրապետության քաղաքացիական դատավարության օրենսգրքի 153-րդ հոդվածի 1-ին մասը լրացվում են 4-րդ կետով, այն է </w:t>
            </w:r>
            <w:r w:rsidRPr="00F2718E">
              <w:rPr>
                <w:rFonts w:ascii="GHEA Grapalat" w:hAnsi="GHEA Grapalat"/>
                <w:i/>
                <w:color w:val="000000"/>
                <w:shd w:val="clear" w:color="auto" w:fill="FFFFFF"/>
                <w:lang w:val="hy-AM"/>
              </w:rPr>
              <w:t xml:space="preserve">«իրավունքի իրականացման սահմանափակում», </w:t>
            </w:r>
            <w:r w:rsidRPr="00F2718E">
              <w:rPr>
                <w:rFonts w:ascii="GHEA Grapalat" w:hAnsi="GHEA Grapalat"/>
                <w:color w:val="000000"/>
                <w:shd w:val="clear" w:color="auto" w:fill="FFFFFF"/>
                <w:lang w:val="hy-AM"/>
              </w:rPr>
              <w:t>մինչդեռ հարկ է նկատել, որ այս եզրույթն անհասկանալի է և շատ ընդհանրական, չի առանձնացվում կամ հստակեցվում, թե սույն կետով անձի որ իրավունքը կարող է սահմանափակվել, և արդյոք իրատեսական է դատավարությամբ սահմանափակել անձի իրավունքների իրականացումը:</w:t>
            </w:r>
          </w:p>
          <w:p w14:paraId="42B1E406" w14:textId="77777777" w:rsidR="00881AD5" w:rsidRPr="00F2718E" w:rsidRDefault="00881AD5" w:rsidP="00A961C5">
            <w:pPr>
              <w:tabs>
                <w:tab w:val="left" w:pos="5086"/>
              </w:tabs>
              <w:spacing w:line="360" w:lineRule="auto"/>
              <w:rPr>
                <w:rFonts w:ascii="GHEA Grapalat" w:hAnsi="GHEA Grapalat"/>
              </w:rPr>
            </w:pPr>
          </w:p>
        </w:tc>
        <w:tc>
          <w:tcPr>
            <w:tcW w:w="7022" w:type="dxa"/>
            <w:gridSpan w:val="6"/>
          </w:tcPr>
          <w:p w14:paraId="3D85960B" w14:textId="77777777" w:rsidR="00881AD5" w:rsidRPr="00F2718E" w:rsidRDefault="00881AD5"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48D9F1FF"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Նախագծերով հստակ սահմանվել է, որ իրավունքի իրականացման սահմանափակումը դատական սանկցիայի տեսակ է, որը ենթադրում է, որ որոշակի իրավունքների պարբերաբար չարաշահման դեպքում դատարանը կիրառում է դրանց իրականացման ժամանակային կամ քանակական պայմաններ: Ընդ որում, սպառիչ ցանկի տեսքով նախատեսված են իրավունքների այն տեսակները, որոնք կարող են ենթակա լինել սահմանափակման: Այսպիսով, Նախագծերով հստակեցվել և առանձնացվել են դատավարական այն իրավունքները, որոնք կարող են ենթարկվել սահմանափակման, նախատեսվել է նման սահմանափակման հիմքը, այն է՝ «իրավունքի պարբերաբար չարաշահում»:</w:t>
            </w:r>
          </w:p>
          <w:p w14:paraId="6C25A0D8"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Ինչ վերաբերում է դատավարությամբ անձի իրավունքների սահմանափակման իրատեսականությանը, ապա թեև դատավարական օրենսդրությունը սահմանում է դատավարության մասնակիցների մի շարք իրավունքներ, սակայն դրանք բացարձակ բնույթ չեն կրում և համաչափության սկզբունքի պահպանման համատեքստում կարող են ենթարկվել սահմանափակումների՝ որպես որոշակի վարքագծի՝ գործողության կամ անգործության հետևանք՝ դրանով իսկ ապահովելով վարույթի արդյունավետությունը, կողմերի իրավահավասարությունը, գործերի առանց ձգձգումների և ողջամիտ ժամկետներում քննությունը:</w:t>
            </w:r>
          </w:p>
          <w:p w14:paraId="7A987D2B"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shd w:val="clear" w:color="auto" w:fill="FFFFFF"/>
                <w:lang w:val="hy-AM"/>
              </w:rPr>
              <w:t>Ընդ որում, իրավունքի իրականացման սահմանափակումը որպես սանկցիայի տեսակ նույն տրամաբանությամբ սահմանված է նաև ՀՀ քրեական դատավարության օրենսգրքով, որի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tc>
      </w:tr>
      <w:tr w:rsidR="00881AD5" w:rsidRPr="00F2718E" w14:paraId="0E4F8EDA" w14:textId="77777777" w:rsidTr="00F260E8">
        <w:trPr>
          <w:gridAfter w:val="1"/>
          <w:wAfter w:w="6" w:type="dxa"/>
        </w:trPr>
        <w:tc>
          <w:tcPr>
            <w:tcW w:w="7879" w:type="dxa"/>
          </w:tcPr>
          <w:p w14:paraId="6DEB980D"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 xml:space="preserve">2. Նախագիծ 1-ի 6-րդ հոդվածով և Նախագիծ 2-ի 3-րդ հոդվածով օրենսգրքերը լրացվել են 155.1-155.4 և 101.3-101.6 հոդվածներով: </w:t>
            </w:r>
          </w:p>
          <w:p w14:paraId="02351AAB"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 xml:space="preserve">155.1-րդ և 101.3-րդ հոդվածները համապատասխանաբար լրացվել է հետևյալ բովադակությամբ. </w:t>
            </w:r>
          </w:p>
          <w:p w14:paraId="4A4CD3FC"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i/>
                <w:color w:val="000000"/>
                <w:shd w:val="clear" w:color="auto" w:fill="FFFFFF"/>
                <w:lang w:val="hy-AM"/>
              </w:rPr>
              <w:t xml:space="preserve">Եթե դատարանը գտնում է, որ դատավարության մասնակիցը դրսևորել է այնպիսի վարքագիծ  կամ կատարել է այնպիսի արարք, որ կարող է հանգեցնել դատական տուգանքի կիրառման, ապա այդ անձից պահանջվում գրավոր պարզաբանում վերոնշյալ վարքագծի կամ արարքի վերաբերյալ:              </w:t>
            </w:r>
          </w:p>
          <w:p w14:paraId="006D376E"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color w:val="000000"/>
                <w:shd w:val="clear" w:color="auto" w:fill="FFFFFF"/>
                <w:lang w:val="hy-AM"/>
              </w:rPr>
              <w:t xml:space="preserve">Հարկ է նկատել, որ ևս հստակեցված չէ՝ ինչպիսի վարքագծի կամ արարքի մասին է ընդհանրապես խոսքը, այսինքն վարքագծի ինչպիսի դրսևորումները, որ արարքները կարող են հանգեցնել տուգանքի կիրառման սահմանված չէ, </w:t>
            </w:r>
            <w:r w:rsidRPr="00F2718E">
              <w:rPr>
                <w:rFonts w:ascii="GHEA Grapalat" w:hAnsi="GHEA Grapalat"/>
                <w:lang w:val="hy-AM"/>
              </w:rPr>
              <w:t>խիստ անորոշ և անհասկանալի է մնում հոդվածի բովանդակությունը:</w:t>
            </w:r>
          </w:p>
        </w:tc>
        <w:tc>
          <w:tcPr>
            <w:tcW w:w="7022" w:type="dxa"/>
            <w:gridSpan w:val="6"/>
          </w:tcPr>
          <w:p w14:paraId="78F42903" w14:textId="77777777" w:rsidR="00881AD5" w:rsidRPr="00F2718E" w:rsidRDefault="00881AD5"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49D63ED1"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Դատական սանկցիաների կիրառման հիմքերը նախատեսված են Դատական օրենսգրքով: Այսպես՝ Դատական օրենսգրքի 47-րդ հոդվածի 2-րդ մասի համաձայն՝ դատարանը դատական սանկցիա կարող է կիրառել, երբ անձը՝ </w:t>
            </w:r>
          </w:p>
          <w:p w14:paraId="3B34BE81"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1) չարաշահում է իր դատավարական իրավունքները կամ չարամտորեն չի կատարում իր դատավարական պարտականությունները. </w:t>
            </w:r>
          </w:p>
          <w:p w14:paraId="717D27E3"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2) չի ենթարկվում դատարանի կարգադրություններին կամ որևէ այլ կերպ խախտում է դատական նիստի կարգը. </w:t>
            </w:r>
          </w:p>
          <w:p w14:paraId="6970252D"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3) դատական նիստի դահլիճում անհարգալից վերաբերմունք է դրսևորում դատարանի նկատմամբ:</w:t>
            </w:r>
          </w:p>
          <w:p w14:paraId="0E4F16FA" w14:textId="77777777" w:rsidR="00881AD5" w:rsidRPr="00F2718E" w:rsidRDefault="00881AD5" w:rsidP="00A961C5">
            <w:pPr>
              <w:keepNext/>
              <w:keepLines/>
              <w:spacing w:line="360" w:lineRule="auto"/>
              <w:jc w:val="both"/>
              <w:outlineLvl w:val="0"/>
              <w:rPr>
                <w:rFonts w:ascii="GHEA Grapalat" w:hAnsi="GHEA Grapalat"/>
                <w:b/>
                <w:shd w:val="clear" w:color="auto" w:fill="FFFFFF"/>
                <w:lang w:val="hy-AM"/>
              </w:rPr>
            </w:pPr>
            <w:r w:rsidRPr="00F2718E">
              <w:rPr>
                <w:rFonts w:ascii="GHEA Grapalat" w:hAnsi="GHEA Grapalat"/>
                <w:shd w:val="clear" w:color="auto" w:fill="FFFFFF"/>
                <w:lang w:val="hy-AM"/>
              </w:rPr>
              <w:t xml:space="preserve">Դատական օրենսգրքով արդեն իսկ նախատեսված են դատական սանկցիայի կիրառման հիմքերը, այսինքն՝ Նախագծերով ոչ թե նախատեսվել են դատական սանկցիայի կիրառման հիմքեր, այլ մասնավորեցվել են </w:t>
            </w:r>
            <w:r w:rsidRPr="00F2718E">
              <w:rPr>
                <w:rFonts w:ascii="GHEA Grapalat" w:hAnsi="GHEA Grapalat"/>
                <w:b/>
                <w:shd w:val="clear" w:color="auto" w:fill="FFFFFF"/>
                <w:lang w:val="hy-AM"/>
              </w:rPr>
              <w:t xml:space="preserve">դատական սանկցիայի կիրառման ընթացակարգերը: </w:t>
            </w:r>
          </w:p>
          <w:p w14:paraId="0B313051" w14:textId="77777777" w:rsidR="00881AD5" w:rsidRPr="00F2718E" w:rsidRDefault="00881AD5" w:rsidP="00A961C5">
            <w:pPr>
              <w:keepNext/>
              <w:keepLines/>
              <w:spacing w:line="360" w:lineRule="auto"/>
              <w:jc w:val="both"/>
              <w:outlineLvl w:val="0"/>
              <w:rPr>
                <w:rFonts w:ascii="GHEA Grapalat" w:hAnsi="GHEA Grapalat"/>
                <w:color w:val="000000"/>
                <w:shd w:val="clear" w:color="auto" w:fill="FFFFFF"/>
                <w:lang w:val="hy-AM"/>
              </w:rPr>
            </w:pPr>
            <w:r w:rsidRPr="00F2718E">
              <w:rPr>
                <w:rFonts w:ascii="GHEA Grapalat" w:hAnsi="GHEA Grapalat"/>
                <w:shd w:val="clear" w:color="auto" w:fill="FFFFFF"/>
                <w:lang w:val="hy-AM"/>
              </w:rPr>
              <w:t xml:space="preserve">Այսպիսով, </w:t>
            </w:r>
            <w:r w:rsidRPr="00F2718E">
              <w:rPr>
                <w:rFonts w:ascii="GHEA Grapalat" w:hAnsi="GHEA Grapalat"/>
                <w:color w:val="000000"/>
                <w:shd w:val="clear" w:color="auto" w:fill="FFFFFF"/>
                <w:lang w:val="hy-AM"/>
              </w:rPr>
              <w:t>155.1-րդ և 101.3-րդ հոդվածները համապատասխանաբար սահմանում են բացառապես դատական նիստից դուրս դատական տուգանք կիրառելու ընթացակարգ այն դեպքում, երբ դատական տուգանքի հանգեցնող վարքագծի տեսակները, այն է՝ դատական տուգանքի կիրառման հիմքերը, նախատեսված են Դատական օրենսգրքով:</w:t>
            </w:r>
          </w:p>
          <w:p w14:paraId="79174F71"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color w:val="000000"/>
                <w:shd w:val="clear" w:color="auto" w:fill="FFFFFF"/>
                <w:lang w:val="hy-AM"/>
              </w:rPr>
              <w:t>Ընդ որում, պարզաբանում պահանջելու ընթացակարգը հնարավորություն է տալիս ապահովել անձի լսված լինելու իրավունքը՝ ներկայացնելու փաստարկներ կատարված վարքագծի պատճառների մասին կամ հայցելու ներողամտություն:</w:t>
            </w:r>
          </w:p>
        </w:tc>
      </w:tr>
      <w:tr w:rsidR="00881AD5" w:rsidRPr="00F2718E" w14:paraId="045EFEAB" w14:textId="77777777" w:rsidTr="00F260E8">
        <w:trPr>
          <w:gridAfter w:val="1"/>
          <w:wAfter w:w="6" w:type="dxa"/>
        </w:trPr>
        <w:tc>
          <w:tcPr>
            <w:tcW w:w="7879" w:type="dxa"/>
          </w:tcPr>
          <w:p w14:paraId="1D27EAC8"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3. Նախագիծ 1-ի 155.3-րդ հոդվածի 1-ին կետի և Նախագիծ 2-ի 101.5-րդ 1-ին կետի լրացումներով սահմանվում է հետևյալը.</w:t>
            </w:r>
          </w:p>
          <w:p w14:paraId="1F66CD3B" w14:textId="77777777" w:rsidR="00881AD5" w:rsidRPr="00F2718E" w:rsidRDefault="00881AD5" w:rsidP="00A961C5">
            <w:pPr>
              <w:spacing w:line="360" w:lineRule="auto"/>
              <w:jc w:val="both"/>
              <w:rPr>
                <w:rFonts w:ascii="GHEA Grapalat" w:hAnsi="GHEA Grapalat"/>
                <w:i/>
                <w:lang w:val="hy-AM"/>
              </w:rPr>
            </w:pPr>
            <w:r w:rsidRPr="00F2718E">
              <w:rPr>
                <w:rFonts w:ascii="GHEA Grapalat" w:hAnsi="GHEA Grapalat"/>
                <w:i/>
                <w:lang w:val="hy-AM"/>
              </w:rPr>
              <w:t>Եթե գործին մասնակցող անձն անբարեխիղճ կերպով անհիմն հայց, վերաքննիչ կամ վճռաբեկ բողոք է ներկայացրել կամ դատավարական այլ վարքագծով չարաշահել է իր իրավունքները և եզրափակիչ դատական ակտով կամ հայցադիմումի ընդունումը մերժելու մասին որոշմամբ հաստատվել է իրավունքի չարաշահման փաստը, ապա դատարանն իրավունքը չարաշահած գործին մասնակցող անձի նկատմամբ կարող է կիրառել դատական տուգանք:</w:t>
            </w:r>
          </w:p>
          <w:p w14:paraId="45DC0A5A"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Մինչդեռ, անհասկանալի է, թե որն է «անբարեխիղճ կերպով անհիմն հայցի» հասկացության բացատրությունը, ինչպես է գնահատվում արդյոք ներկայացված հայցն անբարեխիղճ է, ինչ է իրենից ներկայացնում «</w:t>
            </w:r>
            <w:r w:rsidRPr="00F2718E">
              <w:rPr>
                <w:rFonts w:ascii="GHEA Grapalat" w:hAnsi="GHEA Grapalat"/>
                <w:i/>
                <w:lang w:val="hy-AM"/>
              </w:rPr>
              <w:t xml:space="preserve">դատավարական այլ վարքագծով իրավունքի չարաշահում» </w:t>
            </w:r>
            <w:r w:rsidRPr="00F2718E">
              <w:rPr>
                <w:rFonts w:ascii="GHEA Grapalat" w:hAnsi="GHEA Grapalat"/>
                <w:lang w:val="hy-AM"/>
              </w:rPr>
              <w:t xml:space="preserve">եզրույթը: </w:t>
            </w:r>
          </w:p>
          <w:p w14:paraId="25860832"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color w:val="000000"/>
                <w:shd w:val="clear" w:color="auto" w:fill="FFFFFF"/>
                <w:lang w:val="hy-AM"/>
              </w:rPr>
              <w:t xml:space="preserve">ՀՀ վարչական դավարության օրենսգրքի 3-րդ հոդվածի համաձայն՝ </w:t>
            </w:r>
            <w:r w:rsidRPr="00F2718E">
              <w:rPr>
                <w:rFonts w:ascii="GHEA Grapalat" w:hAnsi="GHEA Grapalat"/>
                <w:i/>
                <w:color w:val="000000"/>
                <w:shd w:val="clear" w:color="auto" w:fill="FFFFFF"/>
                <w:lang w:val="hy-AM"/>
              </w:rPr>
              <w:t>«...Յուրաքանչյուր ֆիզիկական կամ իրավաբանական անձ սույն օրենսգրքով սահմանված կարգով իրավունք ունի դիմելու վարչական դատարան, եթե համարում է, որ պետական կամ տեղական ինքնակառավարման մարմնի կամ դրա պաշտոնատար անձի վարչական ակտով, գործողությամբ կամ անգործությամբ` 1) խախտվել են կամ անմիջականորեն կարող են խախտվել նրա` Հայաստանի Հանրապետության Սահմանադրությամբ (այսուհետ՝ Սահմանադրություն), միջազգային պայմանագրերով, օրենքներով կամ այլ իրավական ակտերով ամրագրված իրավունքները և ազատությունները, ներառյալ, եթե`</w:t>
            </w:r>
          </w:p>
          <w:p w14:paraId="21F5366A"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i/>
                <w:color w:val="000000"/>
                <w:shd w:val="clear" w:color="auto" w:fill="FFFFFF"/>
                <w:lang w:val="hy-AM"/>
              </w:rPr>
              <w:t>ա. խոչընդոտներ են հարուցվել այդ իրավունքների և ազատությունների իրականացման համար,</w:t>
            </w:r>
          </w:p>
          <w:p w14:paraId="57354896"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i/>
                <w:color w:val="000000"/>
                <w:shd w:val="clear" w:color="auto" w:fill="FFFFFF"/>
                <w:lang w:val="hy-AM"/>
              </w:rPr>
              <w:t>բ. չեն ապահովվել անհրաժեշտ պայմաններ այդ իրավունքների իրականացման համար, սակայն դրանք պետք է ապահովվեին Սահմանադրության, միջազգային պայմանագրի, օրենքի կամ այլ իրավական ակտի ուժով.</w:t>
            </w:r>
          </w:p>
          <w:p w14:paraId="322E98A8"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i/>
                <w:color w:val="000000"/>
                <w:shd w:val="clear" w:color="auto" w:fill="FFFFFF"/>
                <w:lang w:val="hy-AM"/>
              </w:rPr>
              <w:t>2) նրա վրա ոչ իրավաչափորեն դրվել է որևէ պարտականություն.</w:t>
            </w:r>
          </w:p>
          <w:p w14:paraId="40A329AA" w14:textId="77777777" w:rsidR="00881AD5" w:rsidRPr="00F2718E" w:rsidRDefault="00881AD5" w:rsidP="00A961C5">
            <w:pPr>
              <w:shd w:val="clear" w:color="auto" w:fill="FFFFFF"/>
              <w:spacing w:line="360" w:lineRule="auto"/>
              <w:jc w:val="both"/>
              <w:rPr>
                <w:rFonts w:ascii="GHEA Grapalat" w:hAnsi="GHEA Grapalat"/>
                <w:i/>
                <w:color w:val="000000"/>
                <w:shd w:val="clear" w:color="auto" w:fill="FFFFFF"/>
                <w:lang w:val="hy-AM"/>
              </w:rPr>
            </w:pPr>
            <w:r w:rsidRPr="00F2718E">
              <w:rPr>
                <w:rFonts w:ascii="GHEA Grapalat" w:hAnsi="GHEA Grapalat"/>
                <w:i/>
                <w:color w:val="000000"/>
                <w:shd w:val="clear" w:color="auto" w:fill="FFFFFF"/>
                <w:lang w:val="hy-AM"/>
              </w:rPr>
              <w:t>3) նա վարչական կարգով ոչ իրավաչափորեն ենթարկվել է վարչական պատասխանատվության...»</w:t>
            </w:r>
          </w:p>
          <w:p w14:paraId="4E824748"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ՀՀ քաղաքացիական դատավարության օրենսգրքի 3-րդ հոդվածի համաձայն՝ յուրաքանչյուր անձ իրավունք ունի սույն օրենսգրքով սահմանված կարգով դիմելու դատարան` Սահմանադրությամբ, օրենքներով և այլ իրավական ակտերով սահմանված կամ պայմանագրով նախատեսված իր իրավունքների և օրինական շահերի պաշտպանության համար:</w:t>
            </w:r>
          </w:p>
          <w:p w14:paraId="76F57DE7"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Օրենքով նախատեսված դեպքերում այլ անձանց իրավունքների ու օրինական շահերի պաշտպանության համար դատարան դիմելու իրավունք ունեն օրենքով այդպիսի իրավունք կամ լիազորություն ունեցող անձինք:</w:t>
            </w:r>
          </w:p>
          <w:p w14:paraId="42EC0493" w14:textId="77777777" w:rsidR="00881AD5" w:rsidRPr="00F2718E" w:rsidRDefault="00881AD5" w:rsidP="00A961C5">
            <w:pPr>
              <w:shd w:val="clear" w:color="auto" w:fill="FFFFFF"/>
              <w:spacing w:line="360" w:lineRule="auto"/>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Այն դեպքերում, երբ օրենքով կամ պայմանագրով նախատեսված է մինչև դատարան դիմելը կողմերի միջև առկա վեճի կարգավորման արտադատական կարգ, վեճը կարող է հանձնվել առաջին ատյանի դատարանի քննության այն արտադատական կարգով լուծելուն ուղղված օրենքով կամ պայմանագրով նախատեսված գործողությունները ձեռնարկելու օրվանից երեսուն օրացուցային օր հետո, եթե այլ կարգ կամ ժամկետ սահմանված չէ օրենքով կամ պայմանագրով:</w:t>
            </w:r>
          </w:p>
          <w:p w14:paraId="73784667"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shd w:val="clear" w:color="auto" w:fill="FFFFFF"/>
                <w:lang w:val="hy-AM"/>
              </w:rPr>
              <w:t>Այսինքն, վերը նշված լրացմամբ սահմանափակվում է անձի դատարան դիմելու իրավունքը:</w:t>
            </w:r>
            <w:r w:rsidRPr="00F2718E">
              <w:rPr>
                <w:rFonts w:ascii="GHEA Grapalat" w:hAnsi="GHEA Grapalat"/>
                <w:color w:val="000000"/>
                <w:lang w:val="hy-AM"/>
              </w:rPr>
              <w:t xml:space="preserve"> Բացի այդ, ՀՀ քաղաքացիական օրենսգրքի 360-րդ հոդվածի համաձայն՝ </w:t>
            </w:r>
          </w:p>
          <w:p w14:paraId="6831D6CD"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Առաջին ատյանի դատարանի վճիռների և սույն օրենսգրքի 361-րդ հոդվածի 1-ին մասով սահմանված որոշումների դեմ վերաքննիչ բողոք բերելու իրավունք ունեն`</w:t>
            </w:r>
          </w:p>
          <w:p w14:paraId="5B0A5A33"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1) գործին մասնակցող անձինք,</w:t>
            </w:r>
          </w:p>
          <w:p w14:paraId="37334DAA"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2) դատախազը` օրենքով նախատեսված դեպքերում,</w:t>
            </w:r>
          </w:p>
          <w:p w14:paraId="46374541"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3) գործին մասնակից չդարձած անձինք, որոնց իրավունքների և պարտականությունների վերաբերյալ կայացվել է դատական ակտ,</w:t>
            </w:r>
          </w:p>
          <w:p w14:paraId="5168A7ED"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4) այն անձինք, որոնց նկատմամբ առաջին ատյանի դատարանի կողմից կիրառվել է դատական տուգանք՝ դատական տուգանք կիրառելու մասին որոշման մասով:</w:t>
            </w:r>
          </w:p>
          <w:p w14:paraId="36FF1CB8"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2. Սույն հոդվածի 1-ին մասի 3-րդ և 4-րդ կետերում նշված անձինք վերաքննիչ դատարանում օգտվում են գործին մասնակցող անձանց իրավունքներից և կրում են նրանց համար սահմանված պարտականությունները։</w:t>
            </w:r>
          </w:p>
          <w:p w14:paraId="73FD8EB7"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3. Վճարման կարգադրության դեմ վերաքննիչ բողոք բերելու իրավունք ունի պարտապանը:</w:t>
            </w:r>
          </w:p>
          <w:p w14:paraId="6158F472"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4. Անձը կարող է վերաքննիչ բողոք ներկայացնել դատական ակտի` միայն իր համար անբարենպաստ մասի դեմ, բացառությամբ օրենքով նախատեսված դեպքերի:</w:t>
            </w:r>
          </w:p>
          <w:p w14:paraId="2CA69DE5"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 xml:space="preserve">ՀՀ վարչական դատավարության օրենսգրքի 130-րդ հոդվածի համաձայն՝ </w:t>
            </w:r>
          </w:p>
          <w:p w14:paraId="0F0423ED"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Վարչական դատարանի՝ գործն ըստ էության լուծող դատական ակտերի, ինչպես նաև սույն օրենսգրքի 131-րդ հոդվածով նախատեսված միջանկյալ դատական ակտերի դեմ վերաքննիչ բողոք բերելու իրավունք ունեն`</w:t>
            </w:r>
          </w:p>
          <w:p w14:paraId="2CE2E462"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1) դատավարության մասնակիցները.</w:t>
            </w:r>
          </w:p>
          <w:p w14:paraId="176060AA"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2) դատավարության մասնակից չդարձված անձինք, որոնց իրավունքների և պարտականությունների վերաբերյալ կայացվել է գործն ըստ էության լուծող դատական ակտ։</w:t>
            </w:r>
          </w:p>
          <w:p w14:paraId="67692429"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2. Սույն հոդվածի 1-ին մասի 2-րդ կետում նշված անձինք վերաքննիչ դատարանում օգտվում են երրորդ անձանց իրավունքներից և կրում են նրանց համար սահմանված պարտականությունները։</w:t>
            </w:r>
          </w:p>
          <w:p w14:paraId="479D20E5"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color w:val="000000"/>
                <w:lang w:val="hy-AM"/>
              </w:rPr>
              <w:t>Վերոգրյալի հաշվառմամբ կարող ենք փաստել, սահմանափակվում է նաև կողմերի վերաքննիչ և համապատասխանաբար վճռաբեկ դատարան դիմելու իրավունքների իրականացումը:</w:t>
            </w:r>
          </w:p>
        </w:tc>
        <w:tc>
          <w:tcPr>
            <w:tcW w:w="7022" w:type="dxa"/>
            <w:gridSpan w:val="6"/>
          </w:tcPr>
          <w:p w14:paraId="7203CF86" w14:textId="77777777" w:rsidR="00881AD5" w:rsidRPr="00F2718E" w:rsidRDefault="00881AD5"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173D3BD2" w14:textId="77777777" w:rsidR="00881AD5" w:rsidRPr="00F2718E" w:rsidRDefault="00881AD5"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232CAFBF" w14:textId="77777777" w:rsidR="00881AD5" w:rsidRPr="00F2718E" w:rsidRDefault="00881AD5" w:rsidP="00A961C5">
            <w:pPr>
              <w:spacing w:line="360" w:lineRule="auto"/>
              <w:jc w:val="center"/>
              <w:rPr>
                <w:rFonts w:ascii="GHEA Grapalat" w:hAnsi="GHEA Grapalat"/>
                <w:lang w:val="hy-AM"/>
              </w:rPr>
            </w:pPr>
          </w:p>
        </w:tc>
      </w:tr>
      <w:tr w:rsidR="00881AD5" w:rsidRPr="00F2718E" w14:paraId="7568B57C" w14:textId="77777777" w:rsidTr="00F260E8">
        <w:trPr>
          <w:gridAfter w:val="1"/>
          <w:wAfter w:w="6" w:type="dxa"/>
        </w:trPr>
        <w:tc>
          <w:tcPr>
            <w:tcW w:w="7879" w:type="dxa"/>
          </w:tcPr>
          <w:p w14:paraId="4B5C9626" w14:textId="77777777" w:rsidR="00881AD5" w:rsidRPr="00F2718E" w:rsidRDefault="00881AD5" w:rsidP="00A961C5">
            <w:pPr>
              <w:shd w:val="clear" w:color="auto" w:fill="FFFFFF"/>
              <w:spacing w:line="360" w:lineRule="auto"/>
              <w:jc w:val="both"/>
              <w:rPr>
                <w:rFonts w:ascii="GHEA Grapalat" w:hAnsi="GHEA Grapalat"/>
                <w:color w:val="000000"/>
                <w:lang w:val="hy-AM"/>
              </w:rPr>
            </w:pPr>
            <w:r w:rsidRPr="00F2718E">
              <w:rPr>
                <w:rFonts w:ascii="GHEA Grapalat" w:hAnsi="GHEA Grapalat"/>
                <w:color w:val="000000"/>
                <w:lang w:val="hy-AM"/>
              </w:rPr>
              <w:t xml:space="preserve">4. </w:t>
            </w:r>
            <w:r w:rsidRPr="00F2718E">
              <w:rPr>
                <w:rFonts w:ascii="GHEA Grapalat" w:hAnsi="GHEA Grapalat"/>
                <w:lang w:val="hy-AM"/>
              </w:rPr>
              <w:t>Համաձայն Նախագիծ 1-ի 155.4-րդ րդ հոդվածի և Նախագիծ 2-ի 101.6-րդ հոդվածի լրացված բովանդակությանը՝</w:t>
            </w:r>
          </w:p>
          <w:p w14:paraId="39F91A34"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Calibri" w:hAnsi="Calibri" w:cs="Calibri"/>
                <w:color w:val="000000"/>
                <w:lang w:val="hy-AM"/>
              </w:rPr>
              <w:t> </w:t>
            </w:r>
            <w:r w:rsidRPr="00F2718E">
              <w:rPr>
                <w:rFonts w:ascii="GHEA Grapalat" w:hAnsi="GHEA Grapalat"/>
                <w:color w:val="000000"/>
                <w:shd w:val="clear" w:color="auto" w:fill="FFFFFF"/>
                <w:lang w:val="hy-AM"/>
              </w:rPr>
              <w:t>1. Իրավունքի իրականացման սահմանափակումը դատավարության մասնակցի`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p>
          <w:p w14:paraId="246F1409"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2. Սույն 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color w:val="000000"/>
                <w:shd w:val="clear" w:color="auto" w:fill="FFFFFF"/>
                <w:lang w:val="hy-AM"/>
              </w:rPr>
              <w:t>․</w:t>
            </w:r>
          </w:p>
          <w:p w14:paraId="54605A43"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1) գործի նյութերին ծանոթանալը, դրանց պատճեններ ստանալը, քաղվածքներ, լուսանկարներ, լուսապատճեններ և պատճեններ անելը,</w:t>
            </w:r>
          </w:p>
          <w:p w14:paraId="0F7390A3"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2) բացարկ հայտնելը.</w:t>
            </w:r>
          </w:p>
          <w:p w14:paraId="5F807DF4"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3) ապացույցներ ներկայացնելը,</w:t>
            </w:r>
          </w:p>
          <w:p w14:paraId="5F6CD115"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4) դատավարության մասնակիցներին հարցեր տալը,</w:t>
            </w:r>
          </w:p>
          <w:p w14:paraId="6C9DEB7E"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5) միջնորդություններ ներկայացնելը,</w:t>
            </w:r>
          </w:p>
          <w:p w14:paraId="01602AF3"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6) դիրքորոշում ներկայացնելը:</w:t>
            </w:r>
          </w:p>
          <w:p w14:paraId="615C6E96" w14:textId="77777777" w:rsidR="00881AD5" w:rsidRPr="00F2718E" w:rsidRDefault="00881AD5" w:rsidP="00A961C5">
            <w:pPr>
              <w:shd w:val="clear" w:color="auto" w:fill="FFFFFF"/>
              <w:spacing w:line="360" w:lineRule="auto"/>
              <w:contextualSpacing/>
              <w:jc w:val="both"/>
              <w:rPr>
                <w:rFonts w:ascii="GHEA Grapalat" w:hAnsi="GHEA Grapalat"/>
                <w:lang w:val="hy-AM"/>
              </w:rPr>
            </w:pPr>
            <w:r w:rsidRPr="00F2718E">
              <w:rPr>
                <w:rFonts w:ascii="GHEA Grapalat" w:hAnsi="GHEA Grapalat"/>
                <w:color w:val="000000"/>
                <w:shd w:val="clear" w:color="auto" w:fill="FFFFFF"/>
                <w:lang w:val="hy-AM"/>
              </w:rPr>
              <w:t>3. Սույն հոդվածով նախատեսված դատավարական սանկցիայի կիրառումը չպետք է բացառի համապատասխան իրավունքի բուն իրացումը:</w:t>
            </w:r>
          </w:p>
          <w:p w14:paraId="320B672E"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 xml:space="preserve">Մասնավորապես, բացակայում են այն չափանիշները, որոնք հիմք կհանդիսանան իրավունքի </w:t>
            </w:r>
            <w:r w:rsidRPr="00F2718E">
              <w:rPr>
                <w:rFonts w:ascii="GHEA Grapalat" w:hAnsi="GHEA Grapalat"/>
                <w:b/>
                <w:lang w:val="hy-AM"/>
              </w:rPr>
              <w:t>բուն իրացումը</w:t>
            </w:r>
            <w:r w:rsidRPr="00F2718E">
              <w:rPr>
                <w:rFonts w:ascii="GHEA Grapalat" w:hAnsi="GHEA Grapalat"/>
                <w:lang w:val="hy-AM"/>
              </w:rPr>
              <w:t xml:space="preserve">՝ </w:t>
            </w:r>
            <w:r w:rsidRPr="00F2718E">
              <w:rPr>
                <w:rFonts w:ascii="GHEA Grapalat" w:hAnsi="GHEA Grapalat"/>
                <w:b/>
                <w:lang w:val="hy-AM"/>
              </w:rPr>
              <w:t>չարաշահման</w:t>
            </w:r>
            <w:r w:rsidRPr="00F2718E">
              <w:rPr>
                <w:rFonts w:ascii="GHEA Grapalat" w:hAnsi="GHEA Grapalat"/>
                <w:lang w:val="hy-AM"/>
              </w:rPr>
              <w:t xml:space="preserve"> դեպքերից սահմանազատելու համար։ </w:t>
            </w:r>
          </w:p>
          <w:p w14:paraId="7A822A39"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Բացի այդ, խնդրո առարկա դատական սանկցիայի կիրառման օբյեկտիվությունը և կանխատեսելիությունը երաշխավորող պայմանները բացակայում են։</w:t>
            </w:r>
          </w:p>
          <w:p w14:paraId="6E9AB6BA"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Այսպես, որպես այն կիրառելու պայման նախատեսվածը չէ համապատասխանում իրավական որոշակիության չափանիշներին։ Օրինակ, դատարանը կարող է քանակական սահմանափակման ենթարկել միջնորդություն հարուցելու անձի իրավունքը՝ հաշվի առնելով դրանց քանակը, մինչդեռ, նման եղանակով անձը կարող է ձգտել առավելագույնս իրացնել իր դատավարական իրավունքները, ընդ որում դա անել բարեխղճորեն։ Ավելին, սանկցիայի հասկացությունից բխում է, որ նշված իրավունքի իրացումը կարող է սահմանափակվել նաև այն դեպքում, երբ միջնորդություններն իրենց բնույթով տարբեր են, սակայն 1-ից ավելի են։ Նման սահմանափակումը ոչ միայն կհանգեցնի արդար դատաքննության իրավունքի սահմանափակման, այլ նաև կարող է գործիք դառնալ մյուս կողմին անհամաչափ արտոնություն տրամադրելու հարցում։</w:t>
            </w:r>
          </w:p>
          <w:p w14:paraId="4060FEAC" w14:textId="77777777" w:rsidR="00881AD5" w:rsidRPr="00F2718E" w:rsidRDefault="00881AD5" w:rsidP="00A961C5">
            <w:pPr>
              <w:spacing w:line="360" w:lineRule="auto"/>
              <w:jc w:val="both"/>
              <w:rPr>
                <w:rFonts w:ascii="GHEA Grapalat" w:hAnsi="GHEA Grapalat"/>
                <w:b/>
                <w:lang w:val="hy-AM"/>
              </w:rPr>
            </w:pPr>
            <w:r w:rsidRPr="00F2718E">
              <w:rPr>
                <w:rFonts w:ascii="GHEA Grapalat" w:hAnsi="GHEA Grapalat"/>
                <w:b/>
                <w:lang w:val="hy-AM"/>
              </w:rPr>
              <w:t>Նախագծով չի սահմանվում չափանիշ, որով անձի համար կարող է կանխատեսելի դառնալ իրավունքն իրացնելու սահմանափակում կիրառելու դատարանի իրավասության սահմանը։</w:t>
            </w:r>
          </w:p>
          <w:p w14:paraId="6416E51F"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 xml:space="preserve">Սահմանադրության 79-րդ հոդվածի 1-ին մասի համաձայն՝ </w:t>
            </w:r>
            <w:r w:rsidRPr="00F2718E">
              <w:rPr>
                <w:rFonts w:ascii="GHEA Grapalat" w:hAnsi="GHEA Grapalat"/>
                <w:i/>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r w:rsidRPr="00F2718E">
              <w:rPr>
                <w:rFonts w:ascii="GHEA Grapalat" w:hAnsi="GHEA Grapalat"/>
                <w:lang w:val="hy-AM"/>
              </w:rPr>
              <w:t>:</w:t>
            </w:r>
          </w:p>
          <w:p w14:paraId="5D60D1E4"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 xml:space="preserve">Սահմանադրության 163-րդ հոդվածի 1-ին մասի համաձայն՝ </w:t>
            </w:r>
            <w:r w:rsidRPr="00F2718E">
              <w:rPr>
                <w:rFonts w:ascii="GHEA Grapalat" w:hAnsi="GHEA Grapalat"/>
                <w:i/>
                <w:lang w:val="hy-AM"/>
              </w:rPr>
              <w:t>Հայաստանի Հանրապետությունում արդարադատությունն իրականացնում են միայն դատարանները` Սահմանադրությանը և օրենքներին համապատասխան</w:t>
            </w:r>
            <w:r w:rsidRPr="00F2718E">
              <w:rPr>
                <w:rFonts w:ascii="GHEA Grapalat" w:hAnsi="GHEA Grapalat"/>
                <w:lang w:val="hy-AM"/>
              </w:rPr>
              <w:t xml:space="preserve">, իսկ 2-րդ մասի համաձայն՝ </w:t>
            </w:r>
            <w:r w:rsidRPr="00F2718E">
              <w:rPr>
                <w:rFonts w:ascii="GHEA Grapalat" w:hAnsi="GHEA Grapalat"/>
                <w:i/>
                <w:lang w:val="hy-AM"/>
              </w:rPr>
              <w:t>արդարադատության իրականացմանը որևէ միջամտություն արգելվում</w:t>
            </w:r>
            <w:r w:rsidRPr="00F2718E">
              <w:rPr>
                <w:rFonts w:ascii="GHEA Grapalat" w:hAnsi="GHEA Grapalat"/>
                <w:lang w:val="hy-AM"/>
              </w:rPr>
              <w:t xml:space="preserve"> է:</w:t>
            </w:r>
          </w:p>
          <w:p w14:paraId="66610CCA" w14:textId="77777777" w:rsidR="00881AD5" w:rsidRPr="00F2718E" w:rsidRDefault="00881AD5" w:rsidP="00A961C5">
            <w:pPr>
              <w:spacing w:line="360" w:lineRule="auto"/>
              <w:jc w:val="both"/>
              <w:rPr>
                <w:rFonts w:ascii="GHEA Grapalat" w:hAnsi="GHEA Grapalat"/>
                <w:lang w:val="hy-AM"/>
              </w:rPr>
            </w:pPr>
            <w:r w:rsidRPr="00F2718E">
              <w:rPr>
                <w:rFonts w:ascii="GHEA Grapalat" w:hAnsi="GHEA Grapalat"/>
                <w:lang w:val="hy-AM"/>
              </w:rPr>
              <w:t xml:space="preserve">Սահմանադրության 164-րդ հոդվածի 1-ին մասի համաձայն՝ </w:t>
            </w:r>
            <w:r w:rsidRPr="00F2718E">
              <w:rPr>
                <w:rFonts w:ascii="GHEA Grapalat" w:hAnsi="GHEA Grapalat"/>
                <w:i/>
                <w:lang w:val="hy-AM"/>
              </w:rPr>
              <w:t>արդարադատություն իրականացնելիս դատավորն անկախ է, անաչառ և գործում է միայն Սահմանադրությանը և օրենքներին համապատասխան</w:t>
            </w:r>
            <w:r w:rsidRPr="00F2718E">
              <w:rPr>
                <w:rFonts w:ascii="GHEA Grapalat" w:hAnsi="GHEA Grapalat"/>
                <w:lang w:val="hy-AM"/>
              </w:rPr>
              <w:t>:</w:t>
            </w:r>
          </w:p>
          <w:p w14:paraId="34348FFA" w14:textId="77777777" w:rsidR="00881AD5" w:rsidRPr="00F2718E" w:rsidRDefault="00881AD5" w:rsidP="00A961C5">
            <w:pPr>
              <w:spacing w:line="360" w:lineRule="auto"/>
              <w:jc w:val="both"/>
              <w:rPr>
                <w:rFonts w:ascii="GHEA Grapalat" w:eastAsia="Calibri" w:hAnsi="GHEA Grapalat"/>
                <w:lang w:val="hy-AM"/>
              </w:rPr>
            </w:pPr>
            <w:r w:rsidRPr="00F2718E">
              <w:rPr>
                <w:rFonts w:ascii="GHEA Grapalat" w:eastAsia="Calibri" w:hAnsi="GHEA Grapalat" w:cs="Arial"/>
                <w:lang w:val="hy-AM"/>
              </w:rPr>
              <w:t>Այսինքն,</w:t>
            </w:r>
            <w:r w:rsidRPr="00F2718E">
              <w:rPr>
                <w:rFonts w:ascii="GHEA Grapalat" w:eastAsia="Calibri" w:hAnsi="GHEA Grapalat"/>
                <w:lang w:val="hy-AM"/>
              </w:rPr>
              <w:t xml:space="preserve"> </w:t>
            </w:r>
            <w:r w:rsidRPr="00F2718E">
              <w:rPr>
                <w:rFonts w:ascii="GHEA Grapalat" w:eastAsia="Calibri" w:hAnsi="GHEA Grapalat" w:cs="Arial"/>
                <w:lang w:val="hy-AM"/>
              </w:rPr>
              <w:t>անձը</w:t>
            </w:r>
            <w:r w:rsidRPr="00F2718E">
              <w:rPr>
                <w:rFonts w:ascii="GHEA Grapalat" w:eastAsia="Calibri" w:hAnsi="GHEA Grapalat"/>
                <w:lang w:val="hy-AM"/>
              </w:rPr>
              <w:t xml:space="preserve">, </w:t>
            </w:r>
            <w:r w:rsidRPr="00F2718E">
              <w:rPr>
                <w:rFonts w:ascii="GHEA Grapalat" w:eastAsia="Calibri" w:hAnsi="GHEA Grapalat" w:cs="Arial"/>
                <w:lang w:val="hy-AM"/>
              </w:rPr>
              <w:t>դիմելով</w:t>
            </w:r>
            <w:r w:rsidRPr="00F2718E">
              <w:rPr>
                <w:rFonts w:ascii="GHEA Grapalat" w:eastAsia="Calibri" w:hAnsi="GHEA Grapalat"/>
                <w:lang w:val="hy-AM"/>
              </w:rPr>
              <w:t xml:space="preserve"> </w:t>
            </w:r>
            <w:r w:rsidRPr="00F2718E">
              <w:rPr>
                <w:rFonts w:ascii="GHEA Grapalat" w:eastAsia="Calibri" w:hAnsi="GHEA Grapalat" w:cs="Arial"/>
                <w:lang w:val="hy-AM"/>
              </w:rPr>
              <w:t>դատարան</w:t>
            </w:r>
            <w:r w:rsidRPr="00F2718E">
              <w:rPr>
                <w:rFonts w:ascii="GHEA Grapalat" w:eastAsia="Calibri" w:hAnsi="GHEA Grapalat"/>
                <w:lang w:val="hy-AM"/>
              </w:rPr>
              <w:t xml:space="preserve">, </w:t>
            </w:r>
            <w:r w:rsidRPr="00F2718E">
              <w:rPr>
                <w:rFonts w:ascii="GHEA Grapalat" w:eastAsia="Calibri" w:hAnsi="GHEA Grapalat" w:cs="Arial"/>
                <w:lang w:val="hy-AM"/>
              </w:rPr>
              <w:t>պետք</w:t>
            </w:r>
            <w:r w:rsidRPr="00F2718E">
              <w:rPr>
                <w:rFonts w:ascii="GHEA Grapalat" w:eastAsia="Calibri" w:hAnsi="GHEA Grapalat"/>
                <w:lang w:val="hy-AM"/>
              </w:rPr>
              <w:t xml:space="preserve"> </w:t>
            </w:r>
            <w:r w:rsidRPr="00F2718E">
              <w:rPr>
                <w:rFonts w:ascii="GHEA Grapalat" w:eastAsia="Calibri" w:hAnsi="GHEA Grapalat" w:cs="Arial"/>
                <w:lang w:val="hy-AM"/>
              </w:rPr>
              <w:t>է</w:t>
            </w:r>
            <w:r w:rsidRPr="00F2718E">
              <w:rPr>
                <w:rFonts w:ascii="GHEA Grapalat" w:eastAsia="Calibri" w:hAnsi="GHEA Grapalat"/>
                <w:lang w:val="hy-AM"/>
              </w:rPr>
              <w:t xml:space="preserve"> </w:t>
            </w:r>
            <w:r w:rsidRPr="00F2718E">
              <w:rPr>
                <w:rFonts w:ascii="GHEA Grapalat" w:eastAsia="Calibri" w:hAnsi="GHEA Grapalat" w:cs="Arial"/>
                <w:lang w:val="hy-AM"/>
              </w:rPr>
              <w:t>լիարժեք</w:t>
            </w:r>
            <w:r w:rsidRPr="00F2718E">
              <w:rPr>
                <w:rFonts w:ascii="GHEA Grapalat" w:eastAsia="Calibri" w:hAnsi="GHEA Grapalat"/>
                <w:lang w:val="hy-AM"/>
              </w:rPr>
              <w:t xml:space="preserve"> </w:t>
            </w:r>
            <w:r w:rsidRPr="00F2718E">
              <w:rPr>
                <w:rFonts w:ascii="GHEA Grapalat" w:eastAsia="Calibri" w:hAnsi="GHEA Grapalat" w:cs="Arial"/>
                <w:lang w:val="hy-AM"/>
              </w:rPr>
              <w:t>դատական</w:t>
            </w:r>
            <w:r w:rsidRPr="00F2718E">
              <w:rPr>
                <w:rFonts w:ascii="GHEA Grapalat" w:eastAsia="Calibri" w:hAnsi="GHEA Grapalat"/>
                <w:lang w:val="hy-AM"/>
              </w:rPr>
              <w:t xml:space="preserve"> </w:t>
            </w:r>
            <w:r w:rsidRPr="00F2718E">
              <w:rPr>
                <w:rFonts w:ascii="GHEA Grapalat" w:eastAsia="Calibri" w:hAnsi="GHEA Grapalat" w:cs="Arial"/>
                <w:lang w:val="hy-AM"/>
              </w:rPr>
              <w:t>պաշտպանության</w:t>
            </w:r>
            <w:r w:rsidRPr="00F2718E">
              <w:rPr>
                <w:rFonts w:ascii="GHEA Grapalat" w:eastAsia="Calibri" w:hAnsi="GHEA Grapalat"/>
                <w:lang w:val="hy-AM"/>
              </w:rPr>
              <w:t xml:space="preserve"> </w:t>
            </w:r>
            <w:r w:rsidRPr="00F2718E">
              <w:rPr>
                <w:rFonts w:ascii="GHEA Grapalat" w:eastAsia="Calibri" w:hAnsi="GHEA Grapalat" w:cs="Arial"/>
                <w:lang w:val="hy-AM"/>
              </w:rPr>
              <w:t>իրավունք</w:t>
            </w:r>
            <w:r w:rsidRPr="00F2718E">
              <w:rPr>
                <w:rFonts w:ascii="GHEA Grapalat" w:eastAsia="Calibri" w:hAnsi="GHEA Grapalat"/>
                <w:lang w:val="hy-AM"/>
              </w:rPr>
              <w:t xml:space="preserve"> </w:t>
            </w:r>
            <w:r w:rsidRPr="00F2718E">
              <w:rPr>
                <w:rFonts w:ascii="GHEA Grapalat" w:eastAsia="Calibri" w:hAnsi="GHEA Grapalat" w:cs="Arial"/>
                <w:lang w:val="hy-AM"/>
              </w:rPr>
              <w:t>ունենա</w:t>
            </w:r>
            <w:r w:rsidRPr="00F2718E">
              <w:rPr>
                <w:rFonts w:ascii="GHEA Grapalat" w:eastAsia="Calibri" w:hAnsi="GHEA Grapalat"/>
                <w:lang w:val="hy-AM"/>
              </w:rPr>
              <w:t xml:space="preserve">, </w:t>
            </w:r>
            <w:r w:rsidRPr="00F2718E">
              <w:rPr>
                <w:rFonts w:ascii="GHEA Grapalat" w:eastAsia="Calibri" w:hAnsi="GHEA Grapalat" w:cs="Arial"/>
                <w:lang w:val="hy-AM"/>
              </w:rPr>
              <w:t>ապահովված</w:t>
            </w:r>
            <w:r w:rsidRPr="00F2718E">
              <w:rPr>
                <w:rFonts w:ascii="GHEA Grapalat" w:eastAsia="Calibri" w:hAnsi="GHEA Grapalat"/>
                <w:lang w:val="hy-AM"/>
              </w:rPr>
              <w:t xml:space="preserve"> </w:t>
            </w:r>
            <w:r w:rsidRPr="00F2718E">
              <w:rPr>
                <w:rFonts w:ascii="GHEA Grapalat" w:eastAsia="Calibri" w:hAnsi="GHEA Grapalat" w:cs="Arial"/>
                <w:lang w:val="hy-AM"/>
              </w:rPr>
              <w:t>լինի</w:t>
            </w:r>
            <w:r w:rsidRPr="00F2718E">
              <w:rPr>
                <w:rFonts w:ascii="GHEA Grapalat" w:eastAsia="Calibri" w:hAnsi="GHEA Grapalat"/>
                <w:lang w:val="hy-AM"/>
              </w:rPr>
              <w:t xml:space="preserve"> </w:t>
            </w:r>
            <w:r w:rsidRPr="00F2718E">
              <w:rPr>
                <w:rFonts w:ascii="GHEA Grapalat" w:eastAsia="Calibri" w:hAnsi="GHEA Grapalat" w:cs="Arial"/>
                <w:lang w:val="hy-AM"/>
              </w:rPr>
              <w:t>արդար</w:t>
            </w:r>
            <w:r w:rsidRPr="00F2718E">
              <w:rPr>
                <w:rFonts w:ascii="GHEA Grapalat" w:eastAsia="Calibri" w:hAnsi="GHEA Grapalat"/>
                <w:lang w:val="hy-AM"/>
              </w:rPr>
              <w:t xml:space="preserve"> </w:t>
            </w:r>
            <w:r w:rsidRPr="00F2718E">
              <w:rPr>
                <w:rFonts w:ascii="GHEA Grapalat" w:eastAsia="Calibri" w:hAnsi="GHEA Grapalat" w:cs="Arial"/>
                <w:lang w:val="hy-AM"/>
              </w:rPr>
              <w:t>դատաքննություն</w:t>
            </w:r>
            <w:r w:rsidRPr="00F2718E">
              <w:rPr>
                <w:rFonts w:ascii="GHEA Grapalat" w:eastAsia="Calibri" w:hAnsi="GHEA Grapalat"/>
                <w:lang w:val="hy-AM"/>
              </w:rPr>
              <w:t xml:space="preserve"> </w:t>
            </w:r>
            <w:r w:rsidRPr="00F2718E">
              <w:rPr>
                <w:rFonts w:ascii="GHEA Grapalat" w:eastAsia="Calibri" w:hAnsi="GHEA Grapalat" w:cs="Arial"/>
                <w:lang w:val="hy-AM"/>
              </w:rPr>
              <w:t>իրականացնելու</w:t>
            </w:r>
            <w:r w:rsidRPr="00F2718E">
              <w:rPr>
                <w:rFonts w:ascii="GHEA Grapalat" w:eastAsia="Calibri" w:hAnsi="GHEA Grapalat"/>
                <w:lang w:val="hy-AM"/>
              </w:rPr>
              <w:t xml:space="preserve">  </w:t>
            </w:r>
            <w:r w:rsidRPr="00F2718E">
              <w:rPr>
                <w:rFonts w:ascii="GHEA Grapalat" w:eastAsia="Calibri" w:hAnsi="GHEA Grapalat" w:cs="Arial"/>
                <w:lang w:val="hy-AM"/>
              </w:rPr>
              <w:t>պետության</w:t>
            </w:r>
            <w:r w:rsidRPr="00F2718E">
              <w:rPr>
                <w:rFonts w:ascii="GHEA Grapalat" w:eastAsia="Calibri" w:hAnsi="GHEA Grapalat"/>
                <w:lang w:val="hy-AM"/>
              </w:rPr>
              <w:t xml:space="preserve"> </w:t>
            </w:r>
            <w:r w:rsidRPr="00F2718E">
              <w:rPr>
                <w:rFonts w:ascii="GHEA Grapalat" w:eastAsia="Calibri" w:hAnsi="GHEA Grapalat" w:cs="Arial"/>
                <w:lang w:val="hy-AM"/>
              </w:rPr>
              <w:t>պարտավորությամբ</w:t>
            </w:r>
            <w:r w:rsidRPr="00F2718E">
              <w:rPr>
                <w:rFonts w:ascii="GHEA Grapalat" w:eastAsia="Calibri" w:hAnsi="GHEA Grapalat"/>
                <w:lang w:val="hy-AM"/>
              </w:rPr>
              <w:t xml:space="preserve">՝ </w:t>
            </w:r>
            <w:r w:rsidRPr="00F2718E">
              <w:rPr>
                <w:rFonts w:ascii="GHEA Grapalat" w:eastAsia="Calibri" w:hAnsi="GHEA Grapalat" w:cs="Arial"/>
                <w:lang w:val="hy-AM"/>
              </w:rPr>
              <w:t>իր</w:t>
            </w:r>
            <w:r w:rsidRPr="00F2718E">
              <w:rPr>
                <w:rFonts w:ascii="GHEA Grapalat" w:eastAsia="Calibri" w:hAnsi="GHEA Grapalat"/>
                <w:lang w:val="hy-AM"/>
              </w:rPr>
              <w:t xml:space="preserve"> </w:t>
            </w:r>
            <w:r w:rsidRPr="00F2718E">
              <w:rPr>
                <w:rFonts w:ascii="GHEA Grapalat" w:eastAsia="Calibri" w:hAnsi="GHEA Grapalat" w:cs="Arial"/>
                <w:lang w:val="hy-AM"/>
              </w:rPr>
              <w:t>իրավունքների</w:t>
            </w:r>
            <w:r w:rsidRPr="00F2718E">
              <w:rPr>
                <w:rFonts w:ascii="GHEA Grapalat" w:eastAsia="Calibri" w:hAnsi="GHEA Grapalat"/>
                <w:lang w:val="hy-AM"/>
              </w:rPr>
              <w:t xml:space="preserve"> </w:t>
            </w:r>
            <w:r w:rsidRPr="00F2718E">
              <w:rPr>
                <w:rFonts w:ascii="GHEA Grapalat" w:eastAsia="Calibri" w:hAnsi="GHEA Grapalat" w:cs="Arial"/>
                <w:lang w:val="hy-AM"/>
              </w:rPr>
              <w:t>լիարժեք</w:t>
            </w:r>
            <w:r w:rsidRPr="00F2718E">
              <w:rPr>
                <w:rFonts w:ascii="GHEA Grapalat" w:eastAsia="Calibri" w:hAnsi="GHEA Grapalat"/>
                <w:lang w:val="hy-AM"/>
              </w:rPr>
              <w:t xml:space="preserve"> </w:t>
            </w:r>
            <w:r w:rsidRPr="00F2718E">
              <w:rPr>
                <w:rFonts w:ascii="GHEA Grapalat" w:eastAsia="Calibri" w:hAnsi="GHEA Grapalat" w:cs="Arial"/>
                <w:lang w:val="hy-AM"/>
              </w:rPr>
              <w:t>պաշտպանության</w:t>
            </w:r>
            <w:r w:rsidRPr="00F2718E">
              <w:rPr>
                <w:rFonts w:ascii="GHEA Grapalat" w:eastAsia="Calibri" w:hAnsi="GHEA Grapalat"/>
                <w:lang w:val="hy-AM"/>
              </w:rPr>
              <w:t xml:space="preserve"> </w:t>
            </w:r>
            <w:r w:rsidRPr="00F2718E">
              <w:rPr>
                <w:rFonts w:ascii="GHEA Grapalat" w:eastAsia="Calibri" w:hAnsi="GHEA Grapalat" w:cs="Arial"/>
                <w:lang w:val="hy-AM"/>
              </w:rPr>
              <w:t>լեգիտիմ</w:t>
            </w:r>
            <w:r w:rsidRPr="00F2718E">
              <w:rPr>
                <w:rFonts w:ascii="GHEA Grapalat" w:eastAsia="Calibri" w:hAnsi="GHEA Grapalat"/>
                <w:lang w:val="hy-AM"/>
              </w:rPr>
              <w:t xml:space="preserve"> </w:t>
            </w:r>
            <w:r w:rsidRPr="00F2718E">
              <w:rPr>
                <w:rFonts w:ascii="GHEA Grapalat" w:eastAsia="Calibri" w:hAnsi="GHEA Grapalat" w:cs="Arial"/>
                <w:lang w:val="hy-AM"/>
              </w:rPr>
              <w:t>ակնկալիքով։</w:t>
            </w:r>
          </w:p>
          <w:p w14:paraId="5F84478E" w14:textId="77777777" w:rsidR="00881AD5" w:rsidRPr="00F2718E" w:rsidRDefault="00881AD5" w:rsidP="00A961C5">
            <w:pPr>
              <w:spacing w:line="360" w:lineRule="auto"/>
              <w:rPr>
                <w:rFonts w:ascii="GHEA Grapalat" w:hAnsi="GHEA Grapalat"/>
                <w:lang w:val="hy-AM"/>
              </w:rPr>
            </w:pPr>
          </w:p>
        </w:tc>
        <w:tc>
          <w:tcPr>
            <w:tcW w:w="7022" w:type="dxa"/>
            <w:gridSpan w:val="6"/>
          </w:tcPr>
          <w:p w14:paraId="70B9F557" w14:textId="77777777" w:rsidR="00881AD5" w:rsidRPr="00F2718E" w:rsidRDefault="00881AD5"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2905F3E2" w14:textId="77777777" w:rsidR="00881AD5" w:rsidRPr="00F2718E" w:rsidRDefault="00881AD5" w:rsidP="00A961C5">
            <w:pPr>
              <w:spacing w:line="360" w:lineRule="auto"/>
              <w:contextualSpacing/>
              <w:jc w:val="both"/>
              <w:rPr>
                <w:rFonts w:ascii="GHEA Grapalat" w:hAnsi="GHEA Grapalat"/>
                <w:lang w:val="hy-AM"/>
              </w:rPr>
            </w:pPr>
            <w:r w:rsidRPr="00F2718E">
              <w:rPr>
                <w:rFonts w:ascii="GHEA Grapalat" w:hAnsi="GHEA Grapalat"/>
                <w:shd w:val="clear" w:color="auto" w:fill="FFFFFF"/>
                <w:lang w:val="hy-AM"/>
              </w:rPr>
              <w:t xml:space="preserve">Նախագծերով առաջարկվող «իրավունքի իրականացման սահմանափակում» սանկցիայի </w:t>
            </w:r>
            <w:r w:rsidRPr="00F2718E">
              <w:rPr>
                <w:rFonts w:ascii="GHEA Grapalat" w:hAnsi="GHEA Grapalat"/>
                <w:lang w:val="hy-AM"/>
              </w:rPr>
              <w:t xml:space="preserve">էությունը կայանում է նրանում, որ երբ դատարանը գտնում է, որ դատավարության մասնակիցն իր դատավարական իրավունքներն 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14:paraId="6469E085" w14:textId="77777777" w:rsidR="00881AD5" w:rsidRPr="00F2718E" w:rsidRDefault="00881AD5" w:rsidP="00A961C5">
            <w:pPr>
              <w:spacing w:line="360" w:lineRule="auto"/>
              <w:contextualSpacing/>
              <w:jc w:val="both"/>
              <w:rPr>
                <w:rFonts w:ascii="GHEA Grapalat" w:hAnsi="GHEA Grapalat"/>
                <w:shd w:val="clear" w:color="auto" w:fill="FFFFFF"/>
                <w:lang w:val="hy-AM"/>
              </w:rPr>
            </w:pPr>
            <w:r w:rsidRPr="00F2718E">
              <w:rPr>
                <w:rFonts w:ascii="GHEA Grapalat" w:hAnsi="GHEA Grapalat"/>
                <w:lang w:val="hy-AM"/>
              </w:rPr>
              <w:t xml:space="preserve">Այսպիսով, Նախագծերով առաջարկվել է սահմանել գործի նյութերին ծանոթանալու, դրանց պատճեններ ստանալու, քաղվածքներ, լուսանկարներ, լուսապատճեններ և պատճեններ անելու, բացարկ հայտնելու, ինքնաբացարկ հայտնելու, միջնորդություններ անելու, ապացույցներ ներկայացնելու, դատավարության մասնակիցներին հարցեր տալու, միջնորդություններ ներկայացնելու, դիրքորոշում ներկայացնելու իրավունքների ժամանակային կամ քանակական սահմանափակումներ կիրառելու դատարանների իրավասությունը: </w:t>
            </w:r>
            <w:r w:rsidRPr="00F2718E">
              <w:rPr>
                <w:rFonts w:ascii="GHEA Grapalat" w:hAnsi="GHEA Grapalat"/>
                <w:shd w:val="clear" w:color="auto" w:fill="FFFFFF"/>
                <w:lang w:val="hy-AM"/>
              </w:rPr>
              <w:t>«Իրավունքները պարբերաբար չարաշահել» եզրույթի կիրառումն արդեն իսկ ենթադրում է, որ դատավարության մասնակցի վարքագիծը պետք է ունենա պարբերական, շարունակական բնույթ՝ չսահմանափակվելով մեկ անգամ կատարված գործողությամբ: Միաժամանակ, պետք է դատարանի կողմից հաստատվի «չարաշահման» փաստը, այսինքն՝ դատավարական իրավունքը ոչ դրա նպատակներին համահունչ օգտագործման փաստը, և դրան զուգահեռ չպետք է իրավունքի բուն իրացումը սահմանափակվի: Իրավունքի իրականացման սահմանափակում սանկցիայի կիրառումը ոչ թե անորոշ, այլ դատարանի կողմից գնահատման ենթակա հասկացություն է, որը ենթադրում է, որ պետք է հաշվի առնվեն դատավարական գործողության կատարման նպատակը, նախատեսված իրավունքի՝ օրենսդրի հետապնդած նպատակներին համահունչ կամ այլ՝ քողարկված նպատակների համար օգտագործելը:</w:t>
            </w:r>
            <w:r w:rsidR="00E828E1" w:rsidRPr="00F2718E">
              <w:rPr>
                <w:rFonts w:ascii="GHEA Grapalat" w:hAnsi="GHEA Grapalat"/>
                <w:shd w:val="clear" w:color="auto" w:fill="FFFFFF"/>
                <w:lang w:val="hy-AM"/>
              </w:rPr>
              <w:t xml:space="preserve"> </w:t>
            </w:r>
            <w:r w:rsidRPr="00F2718E">
              <w:rPr>
                <w:rFonts w:ascii="GHEA Grapalat" w:hAnsi="GHEA Grapalat"/>
                <w:shd w:val="clear" w:color="auto" w:fill="FFFFFF"/>
                <w:lang w:val="hy-AM"/>
              </w:rPr>
              <w:t>Ընդ որում, իրավունքի իրականացման սահմանափակումը որպես սանկցիայի տեսակ նույն տրամաբանությամբ սահմանված է նաև ՀՀ քրեական դատավարության օրենսգրքով, որի սահմանադրականությանը՝ ինչպես համաչափության, այնպես էլ իրավական որոշակիության տեսանկյունից</w:t>
            </w:r>
            <w:r w:rsidR="002865D9" w:rsidRPr="00F2718E">
              <w:rPr>
                <w:rFonts w:ascii="GHEA Grapalat" w:hAnsi="GHEA Grapalat"/>
                <w:shd w:val="clear" w:color="auto" w:fill="FFFFFF"/>
                <w:lang w:val="hy-AM"/>
              </w:rPr>
              <w:t>,</w:t>
            </w:r>
            <w:r w:rsidRPr="00F2718E">
              <w:rPr>
                <w:rFonts w:ascii="GHEA Grapalat" w:hAnsi="GHEA Grapalat"/>
                <w:shd w:val="clear" w:color="auto" w:fill="FFFFFF"/>
                <w:lang w:val="hy-AM"/>
              </w:rPr>
              <w:t xml:space="preserve"> անդրադարձել է Սահմանադրական դատարան</w:t>
            </w:r>
            <w:r w:rsidR="00E828E1" w:rsidRPr="00F2718E">
              <w:rPr>
                <w:rFonts w:ascii="GHEA Grapalat" w:hAnsi="GHEA Grapalat"/>
                <w:shd w:val="clear" w:color="auto" w:fill="FFFFFF"/>
                <w:lang w:val="hy-AM"/>
              </w:rPr>
              <w:t>ը</w:t>
            </w:r>
            <w:r w:rsidRPr="00F2718E">
              <w:rPr>
                <w:rFonts w:ascii="GHEA Grapalat" w:hAnsi="GHEA Grapalat"/>
                <w:shd w:val="clear" w:color="auto" w:fill="FFFFFF"/>
                <w:lang w:val="hy-AM"/>
              </w:rPr>
              <w:t xml:space="preserve">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p w14:paraId="4CD729BA" w14:textId="77777777" w:rsidR="00881AD5" w:rsidRPr="00F2718E" w:rsidRDefault="00881AD5" w:rsidP="00A961C5">
            <w:pPr>
              <w:spacing w:line="360" w:lineRule="auto"/>
              <w:jc w:val="center"/>
              <w:rPr>
                <w:rFonts w:ascii="GHEA Grapalat" w:hAnsi="GHEA Grapalat"/>
                <w:lang w:val="hy-AM"/>
              </w:rPr>
            </w:pPr>
          </w:p>
        </w:tc>
      </w:tr>
      <w:tr w:rsidR="00881AD5" w:rsidRPr="00F2718E" w14:paraId="515B99D8" w14:textId="77777777" w:rsidTr="00F260E8">
        <w:trPr>
          <w:trHeight w:val="581"/>
        </w:trPr>
        <w:tc>
          <w:tcPr>
            <w:tcW w:w="11851" w:type="dxa"/>
            <w:gridSpan w:val="5"/>
            <w:vMerge w:val="restart"/>
            <w:shd w:val="clear" w:color="auto" w:fill="D9D9D9" w:themeFill="background1" w:themeFillShade="D9"/>
          </w:tcPr>
          <w:p w14:paraId="4D074BFC" w14:textId="77777777" w:rsidR="00881AD5" w:rsidRPr="00F2718E" w:rsidRDefault="00881AD5" w:rsidP="00A961C5">
            <w:pPr>
              <w:spacing w:line="360" w:lineRule="auto"/>
              <w:jc w:val="center"/>
              <w:rPr>
                <w:rFonts w:ascii="GHEA Grapalat" w:hAnsi="GHEA Grapalat"/>
                <w:highlight w:val="lightGray"/>
              </w:rPr>
            </w:pPr>
            <w:r w:rsidRPr="00F2718E">
              <w:rPr>
                <w:rFonts w:ascii="GHEA Grapalat" w:hAnsi="GHEA Grapalat"/>
                <w:b/>
                <w:highlight w:val="lightGray"/>
                <w:shd w:val="clear" w:color="auto" w:fill="FFFFFF"/>
                <w:lang w:val="hy-AM"/>
              </w:rPr>
              <w:t>7. Հանրային ծառայությունները կարգավորող հանձնաժողով</w:t>
            </w:r>
          </w:p>
        </w:tc>
        <w:tc>
          <w:tcPr>
            <w:tcW w:w="3056" w:type="dxa"/>
            <w:gridSpan w:val="3"/>
            <w:shd w:val="clear" w:color="auto" w:fill="D9D9D9" w:themeFill="background1" w:themeFillShade="D9"/>
          </w:tcPr>
          <w:p w14:paraId="2BFAD8CA" w14:textId="77777777" w:rsidR="00881AD5" w:rsidRPr="00F2718E" w:rsidRDefault="00881AD5"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19.04.2024թ.</w:t>
            </w:r>
          </w:p>
        </w:tc>
      </w:tr>
      <w:tr w:rsidR="00881AD5" w:rsidRPr="00F2718E" w14:paraId="3E85AED0" w14:textId="77777777" w:rsidTr="00F260E8">
        <w:trPr>
          <w:trHeight w:val="372"/>
        </w:trPr>
        <w:tc>
          <w:tcPr>
            <w:tcW w:w="11851" w:type="dxa"/>
            <w:gridSpan w:val="5"/>
            <w:vMerge/>
            <w:shd w:val="clear" w:color="auto" w:fill="D9D9D9" w:themeFill="background1" w:themeFillShade="D9"/>
          </w:tcPr>
          <w:p w14:paraId="4229D2DA" w14:textId="77777777" w:rsidR="00881AD5" w:rsidRPr="00F2718E" w:rsidRDefault="00881AD5" w:rsidP="00A961C5">
            <w:pPr>
              <w:spacing w:line="360" w:lineRule="auto"/>
              <w:jc w:val="center"/>
              <w:rPr>
                <w:rFonts w:ascii="GHEA Grapalat" w:hAnsi="GHEA Grapalat"/>
                <w:highlight w:val="lightGray"/>
              </w:rPr>
            </w:pPr>
          </w:p>
        </w:tc>
        <w:tc>
          <w:tcPr>
            <w:tcW w:w="3056" w:type="dxa"/>
            <w:gridSpan w:val="3"/>
            <w:shd w:val="clear" w:color="auto" w:fill="D9D9D9" w:themeFill="background1" w:themeFillShade="D9"/>
          </w:tcPr>
          <w:p w14:paraId="598AD7CD" w14:textId="77777777" w:rsidR="00881AD5" w:rsidRPr="00F2718E" w:rsidRDefault="00881AD5"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ԳԲ/34.1-Մ2-2/1596-2024</w:t>
            </w:r>
          </w:p>
        </w:tc>
      </w:tr>
      <w:tr w:rsidR="00881AD5" w:rsidRPr="00F2718E" w14:paraId="59166237" w14:textId="77777777" w:rsidTr="00F260E8">
        <w:trPr>
          <w:gridAfter w:val="1"/>
          <w:wAfter w:w="6" w:type="dxa"/>
        </w:trPr>
        <w:tc>
          <w:tcPr>
            <w:tcW w:w="7879" w:type="dxa"/>
          </w:tcPr>
          <w:p w14:paraId="29902526" w14:textId="77777777" w:rsidR="00881AD5" w:rsidRPr="00F2718E" w:rsidRDefault="001E39D6" w:rsidP="00A961C5">
            <w:pPr>
              <w:spacing w:line="360" w:lineRule="auto"/>
              <w:jc w:val="both"/>
              <w:rPr>
                <w:rFonts w:ascii="GHEA Grapalat" w:hAnsi="GHEA Grapalat"/>
              </w:rPr>
            </w:pPr>
            <w:r w:rsidRPr="00F2718E">
              <w:rPr>
                <w:rFonts w:ascii="GHEA Grapalat" w:hAnsi="GHEA Grapalat" w:cs="Arial"/>
                <w:bCs/>
                <w:iCs/>
                <w:noProof/>
                <w:spacing w:val="-4"/>
                <w:lang w:val="hy-AM" w:eastAsia="en-US"/>
              </w:rPr>
              <w:t>1. ՀՀ հանրային ծառայությունները կարգավորող հանձնաժողովը</w:t>
            </w:r>
            <w:r w:rsidRPr="00F2718E">
              <w:rPr>
                <w:rFonts w:ascii="GHEA Grapalat" w:hAnsi="GHEA Grapalat"/>
                <w:iCs/>
                <w:lang w:val="hy-AM"/>
              </w:rPr>
              <w:t>, ուսումնասիրելով «Հայաստանի Հանրապետության վարչական դատավարության օրենսգրքում լրացումներ և փոփոխություններ կատարելու մասին» և «Հայաստանի Հանրապետության քաղաքացիական դատավարության օրենսգրքում փոփոխություններ և լրացումներ կատարելու մասին» օրենքների նախագծերը, հայտնում է, որ, ընդհանուր առմամբ, չունի առարկություններ առաջարկվող փոփոխությունների վերաբերյալ:</w:t>
            </w:r>
          </w:p>
        </w:tc>
        <w:tc>
          <w:tcPr>
            <w:tcW w:w="7022" w:type="dxa"/>
            <w:gridSpan w:val="6"/>
          </w:tcPr>
          <w:p w14:paraId="19EDF681" w14:textId="77777777" w:rsidR="00881AD5" w:rsidRPr="00F2718E" w:rsidRDefault="001E39D6" w:rsidP="00A961C5">
            <w:pPr>
              <w:spacing w:line="360" w:lineRule="auto"/>
              <w:jc w:val="center"/>
              <w:rPr>
                <w:rFonts w:ascii="GHEA Grapalat" w:hAnsi="GHEA Grapalat"/>
              </w:rPr>
            </w:pPr>
            <w:r w:rsidRPr="00F2718E">
              <w:rPr>
                <w:rFonts w:ascii="GHEA Grapalat" w:hAnsi="GHEA Grapalat"/>
                <w:b/>
                <w:shd w:val="clear" w:color="auto" w:fill="FFFFFF"/>
                <w:lang w:val="hy-AM"/>
              </w:rPr>
              <w:t>Ընդունվել է:</w:t>
            </w:r>
          </w:p>
        </w:tc>
      </w:tr>
      <w:tr w:rsidR="00881AD5" w:rsidRPr="00F2718E" w14:paraId="626A37B1" w14:textId="77777777" w:rsidTr="00F260E8">
        <w:trPr>
          <w:gridAfter w:val="1"/>
          <w:wAfter w:w="6" w:type="dxa"/>
        </w:trPr>
        <w:tc>
          <w:tcPr>
            <w:tcW w:w="7879" w:type="dxa"/>
          </w:tcPr>
          <w:p w14:paraId="4AC2D064"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iCs/>
                <w:lang w:val="hy-AM"/>
              </w:rPr>
              <w:t>2. Միաժամանակ,</w:t>
            </w:r>
            <w:r w:rsidRPr="00F2718E">
              <w:rPr>
                <w:rFonts w:ascii="GHEA Grapalat" w:hAnsi="GHEA Grapalat"/>
                <w:lang w:val="hy-AM"/>
              </w:rPr>
              <w:t xml:space="preserve"> իրավական որոշակիության սկզբունքից ելնելով, առաջարկում ենք «Հայաստանի Հանրապետության վարչական դատավարության օրենսգրքում լրացումներ և փոփոխություններ կատարելու մասին» օրենքի նախագծի 3-րդ հոդվածով նույն օրենքում լրացվող 101</w:t>
            </w:r>
            <w:r w:rsidRPr="00F2718E">
              <w:rPr>
                <w:rFonts w:ascii="Cambria Math" w:hAnsi="Cambria Math" w:cs="Cambria Math"/>
                <w:lang w:val="hy-AM"/>
              </w:rPr>
              <w:t>․</w:t>
            </w:r>
            <w:r w:rsidRPr="00F2718E">
              <w:rPr>
                <w:rFonts w:ascii="GHEA Grapalat" w:hAnsi="GHEA Grapalat"/>
                <w:lang w:val="hy-AM"/>
              </w:rPr>
              <w:t>5-րդ հոդվածի առաջին մասում հստակ սահմանել դատավարության մասնակցի կողմից անբարեխիղճ կերպով անհիմն հայց, վերաքննիչ կամ վճռաբեկ բողոք ներկայացնելու կամ դատավարական այլ վարքագծով իր իրավունքները չարաշահելու սահմանները։ Նշվածը, մեր կարծիքով, կարող է նպաստել համապատասխան դատական ակտերի իրավաչափության վիճարկման հնարավոր ռիսկերի նվազեցմանը, ինչպես նաև դատական գործընթացների՝ անհարկի ձգձգումներից խուսափելուն։ Ընդ որում, վերոնշյալ առաջարկությունը վերաբերում է նաև «Հայաստանի Հանրապետության քաղաքացիական դատավարության օրենսգրքում փոփոխություններ և լրացումներ կատարելու մասին» օրենքի նախագծի 6-րդ հոդվածով տվյալ օրենքում լրացվող 155</w:t>
            </w:r>
            <w:r w:rsidRPr="00F2718E">
              <w:rPr>
                <w:rFonts w:ascii="Cambria Math" w:hAnsi="Cambria Math" w:cs="Cambria Math"/>
                <w:lang w:val="hy-AM"/>
              </w:rPr>
              <w:t>․</w:t>
            </w:r>
            <w:r w:rsidRPr="00F2718E">
              <w:rPr>
                <w:rFonts w:ascii="GHEA Grapalat" w:hAnsi="GHEA Grapalat"/>
                <w:lang w:val="hy-AM"/>
              </w:rPr>
              <w:t>3-րդ հոդվածի առաջին մասին։</w:t>
            </w:r>
          </w:p>
        </w:tc>
        <w:tc>
          <w:tcPr>
            <w:tcW w:w="7022" w:type="dxa"/>
            <w:gridSpan w:val="6"/>
          </w:tcPr>
          <w:p w14:paraId="2EC16233" w14:textId="77777777" w:rsidR="001E39D6" w:rsidRPr="00F2718E" w:rsidRDefault="001E39D6"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4BE0F826" w14:textId="77777777" w:rsidR="001E39D6" w:rsidRPr="00F2718E" w:rsidRDefault="001E39D6"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109C976F" w14:textId="77777777" w:rsidR="00881AD5" w:rsidRPr="00F2718E" w:rsidRDefault="00881AD5" w:rsidP="00A961C5">
            <w:pPr>
              <w:spacing w:line="360" w:lineRule="auto"/>
              <w:jc w:val="center"/>
              <w:rPr>
                <w:rFonts w:ascii="GHEA Grapalat" w:hAnsi="GHEA Grapalat"/>
                <w:lang w:val="hy-AM"/>
              </w:rPr>
            </w:pPr>
          </w:p>
        </w:tc>
      </w:tr>
      <w:tr w:rsidR="001E39D6" w:rsidRPr="00F2718E" w14:paraId="3CC42A42" w14:textId="77777777" w:rsidTr="00F260E8">
        <w:trPr>
          <w:trHeight w:val="651"/>
        </w:trPr>
        <w:tc>
          <w:tcPr>
            <w:tcW w:w="12563" w:type="dxa"/>
            <w:gridSpan w:val="6"/>
            <w:vMerge w:val="restart"/>
            <w:shd w:val="clear" w:color="auto" w:fill="D9D9D9" w:themeFill="background1" w:themeFillShade="D9"/>
          </w:tcPr>
          <w:p w14:paraId="1FE76E40" w14:textId="77777777" w:rsidR="001E39D6" w:rsidRPr="00F2718E" w:rsidRDefault="001E39D6" w:rsidP="00A961C5">
            <w:pPr>
              <w:spacing w:line="360" w:lineRule="auto"/>
              <w:jc w:val="center"/>
              <w:rPr>
                <w:rFonts w:ascii="GHEA Grapalat" w:hAnsi="GHEA Grapalat"/>
                <w:highlight w:val="lightGray"/>
              </w:rPr>
            </w:pPr>
            <w:r w:rsidRPr="00F2718E">
              <w:rPr>
                <w:rFonts w:ascii="GHEA Grapalat" w:hAnsi="GHEA Grapalat"/>
                <w:b/>
                <w:highlight w:val="lightGray"/>
                <w:shd w:val="clear" w:color="auto" w:fill="FFFFFF"/>
                <w:lang w:val="hy-AM"/>
              </w:rPr>
              <w:t>8</w:t>
            </w:r>
            <w:r w:rsidRPr="00F2718E">
              <w:rPr>
                <w:rFonts w:ascii="GHEA Grapalat" w:hAnsi="GHEA Grapalat"/>
                <w:b/>
                <w:highlight w:val="lightGray"/>
                <w:shd w:val="clear" w:color="auto" w:fill="FFFFFF"/>
                <w:lang w:val="en-US"/>
              </w:rPr>
              <w:t xml:space="preserve">. </w:t>
            </w:r>
            <w:r w:rsidRPr="00F2718E">
              <w:rPr>
                <w:rFonts w:ascii="GHEA Grapalat" w:hAnsi="GHEA Grapalat"/>
                <w:b/>
                <w:highlight w:val="lightGray"/>
                <w:shd w:val="clear" w:color="auto" w:fill="FFFFFF"/>
                <w:lang w:val="hy-AM"/>
              </w:rPr>
              <w:t>Ջրային կոմիտե</w:t>
            </w:r>
          </w:p>
        </w:tc>
        <w:tc>
          <w:tcPr>
            <w:tcW w:w="2344" w:type="dxa"/>
            <w:gridSpan w:val="2"/>
            <w:shd w:val="clear" w:color="auto" w:fill="D9D9D9" w:themeFill="background1" w:themeFillShade="D9"/>
          </w:tcPr>
          <w:p w14:paraId="0C7D44C6" w14:textId="77777777" w:rsidR="001E39D6" w:rsidRPr="00F2718E" w:rsidRDefault="001E39D6" w:rsidP="00A961C5">
            <w:pPr>
              <w:spacing w:line="360" w:lineRule="auto"/>
              <w:rPr>
                <w:rFonts w:ascii="GHEA Grapalat" w:hAnsi="GHEA Grapalat"/>
                <w:highlight w:val="lightGray"/>
              </w:rPr>
            </w:pPr>
            <w:r w:rsidRPr="00F2718E">
              <w:rPr>
                <w:rFonts w:ascii="GHEA Grapalat" w:hAnsi="GHEA Grapalat"/>
                <w:b/>
                <w:highlight w:val="lightGray"/>
                <w:lang w:val="hy-AM"/>
              </w:rPr>
              <w:t>19.04.2024թ.</w:t>
            </w:r>
          </w:p>
        </w:tc>
      </w:tr>
      <w:tr w:rsidR="001E39D6" w:rsidRPr="00F2718E" w14:paraId="01CE6A7B" w14:textId="77777777" w:rsidTr="00F260E8">
        <w:trPr>
          <w:trHeight w:val="625"/>
        </w:trPr>
        <w:tc>
          <w:tcPr>
            <w:tcW w:w="12563" w:type="dxa"/>
            <w:gridSpan w:val="6"/>
            <w:vMerge/>
            <w:shd w:val="clear" w:color="auto" w:fill="D9D9D9" w:themeFill="background1" w:themeFillShade="D9"/>
          </w:tcPr>
          <w:p w14:paraId="4C960702" w14:textId="77777777" w:rsidR="001E39D6" w:rsidRPr="00F2718E" w:rsidRDefault="001E39D6" w:rsidP="00A961C5">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3297BA2F" w14:textId="77777777" w:rsidR="001E39D6" w:rsidRPr="00F2718E" w:rsidRDefault="001E39D6"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ԳՍ//12725-2024</w:t>
            </w:r>
          </w:p>
        </w:tc>
      </w:tr>
      <w:tr w:rsidR="00881AD5" w:rsidRPr="00F2718E" w14:paraId="6C82C398" w14:textId="77777777" w:rsidTr="00F260E8">
        <w:trPr>
          <w:gridAfter w:val="1"/>
          <w:wAfter w:w="6" w:type="dxa"/>
        </w:trPr>
        <w:tc>
          <w:tcPr>
            <w:tcW w:w="7879" w:type="dxa"/>
          </w:tcPr>
          <w:p w14:paraId="66D79625"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Arial"/>
                <w:bCs/>
                <w:iCs/>
                <w:noProof/>
                <w:spacing w:val="-4"/>
                <w:lang w:val="hy-AM" w:eastAsia="en-US"/>
              </w:rPr>
              <w:t>1. «Հայաստանի Հանրապետության քաղաքացիական դատավարության օրենսգրքում լրացումներ և փոփոխություններ կատարելու մասին» օրենքի նախագծի (այսուհետ՝ Նախագիծ) հոդված 3-ում խմբագրված Հոդված 147.1-ից հանել 2-րդ և 3-րդ մասերը։ Գտնում ենք, որ նույն հոդվածի 1-ին մասում նշված հոդվածներով դատավարության մասնակցի կողմից դատական նիստին չներկայանալը որևէ կերպ չի կարող դիտվել վերջինիս կողմից դատավարական իրավունքներն օգտագործելիս չարաշահում։ Ավելին, գտնում ենք, որ համանման կարգավորումների դեպքում կխախտվի դատավարության մասնակիցների կողմից դատական նիստերին ներկայանալու հայեցողական իրավունքը։</w:t>
            </w:r>
          </w:p>
        </w:tc>
        <w:tc>
          <w:tcPr>
            <w:tcW w:w="7022" w:type="dxa"/>
            <w:gridSpan w:val="6"/>
          </w:tcPr>
          <w:p w14:paraId="07DE456C" w14:textId="77777777" w:rsidR="001B2CA0" w:rsidRPr="00F2718E" w:rsidRDefault="001B2CA0" w:rsidP="001B2CA0">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7519F19C" w14:textId="77777777" w:rsidR="001B2CA0" w:rsidRPr="00F2718E" w:rsidRDefault="001B2CA0" w:rsidP="001B2CA0">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w:t>
            </w:r>
            <w:r w:rsidRPr="00F2718E">
              <w:rPr>
                <w:rFonts w:ascii="GHEA Grapalat" w:hAnsi="GHEA Grapalat"/>
                <w:lang w:val="hy-AM"/>
              </w:rPr>
              <w:t>.</w:t>
            </w:r>
            <w:r>
              <w:rPr>
                <w:rFonts w:ascii="GHEA Grapalat" w:hAnsi="GHEA Grapalat"/>
                <w:lang w:val="hy-AM"/>
              </w:rPr>
              <w:t>1</w:t>
            </w:r>
            <w:r w:rsidRPr="00F2718E">
              <w:rPr>
                <w:rFonts w:ascii="GHEA Grapalat" w:hAnsi="GHEA Grapalat"/>
                <w:lang w:val="hy-AM"/>
              </w:rPr>
              <w:t>-</w:t>
            </w:r>
            <w:r>
              <w:rPr>
                <w:rFonts w:ascii="GHEA Grapalat" w:hAnsi="GHEA Grapalat"/>
                <w:lang w:val="hy-AM"/>
              </w:rPr>
              <w:t>ին</w:t>
            </w:r>
            <w:r w:rsidRPr="00F2718E">
              <w:rPr>
                <w:rFonts w:ascii="GHEA Grapalat" w:hAnsi="GHEA Grapalat"/>
                <w:lang w:val="hy-AM"/>
              </w:rPr>
              <w:t xml:space="preserve"> </w:t>
            </w:r>
            <w:r>
              <w:rPr>
                <w:rFonts w:ascii="GHEA Grapalat" w:hAnsi="GHEA Grapalat"/>
                <w:lang w:val="hy-AM"/>
              </w:rPr>
              <w:t>հոդվածը:</w:t>
            </w:r>
          </w:p>
          <w:p w14:paraId="32045D79" w14:textId="3DB348B0" w:rsidR="00881AD5" w:rsidRPr="00F2718E" w:rsidRDefault="00881AD5" w:rsidP="00A961C5">
            <w:pPr>
              <w:spacing w:line="360" w:lineRule="auto"/>
              <w:jc w:val="both"/>
              <w:rPr>
                <w:rFonts w:ascii="GHEA Grapalat" w:hAnsi="GHEA Grapalat"/>
                <w:lang w:val="hy-AM"/>
              </w:rPr>
            </w:pPr>
          </w:p>
        </w:tc>
      </w:tr>
      <w:tr w:rsidR="00881AD5" w:rsidRPr="00F2718E" w14:paraId="66474B11" w14:textId="77777777" w:rsidTr="00F260E8">
        <w:trPr>
          <w:gridAfter w:val="1"/>
          <w:wAfter w:w="6" w:type="dxa"/>
        </w:trPr>
        <w:tc>
          <w:tcPr>
            <w:tcW w:w="7879" w:type="dxa"/>
          </w:tcPr>
          <w:p w14:paraId="6F9699D9"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Arial"/>
                <w:bCs/>
                <w:iCs/>
                <w:noProof/>
                <w:spacing w:val="-4"/>
                <w:lang w:val="hy-AM" w:eastAsia="en-US"/>
              </w:rPr>
              <w:t>2. Նախագծի հոդված 6-ում խմբագրված Հոդված 155.4 2-րդ մասից առաջարկում ենք հանել 3-6-րդ կետերը։ Գտնում ենք, որ ցանկացած դատական գործով ապացույցներ ներկայացնելը, դիրքորոշում հայտնելը (գրավոր կամ բանավոր), միջնորդություններ ներկայացնելը չի կարող դիտվել որպես դատավարական իրավունքներն օգտագործելիս պարբերաբար չարաշահման դեպքեր:</w:t>
            </w:r>
          </w:p>
        </w:tc>
        <w:tc>
          <w:tcPr>
            <w:tcW w:w="7022" w:type="dxa"/>
            <w:gridSpan w:val="6"/>
          </w:tcPr>
          <w:p w14:paraId="7F990EF1" w14:textId="77777777" w:rsidR="001E39D6" w:rsidRPr="00F2718E" w:rsidRDefault="001E39D6"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2DDF3028"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shd w:val="clear" w:color="auto" w:fill="FFFFFF"/>
                <w:lang w:val="hy-AM"/>
              </w:rPr>
              <w:t xml:space="preserve">Իրավունքի իրականացման սահմանափակում սանկցիայի տեսակի </w:t>
            </w:r>
            <w:r w:rsidR="002865D9" w:rsidRPr="00F2718E">
              <w:rPr>
                <w:rFonts w:ascii="GHEA Grapalat" w:hAnsi="GHEA Grapalat"/>
                <w:shd w:val="clear" w:color="auto" w:fill="FFFFFF"/>
                <w:lang w:val="hy-AM"/>
              </w:rPr>
              <w:t>սահմանման</w:t>
            </w:r>
            <w:r w:rsidRPr="00F2718E">
              <w:rPr>
                <w:rFonts w:ascii="GHEA Grapalat" w:hAnsi="GHEA Grapalat"/>
                <w:shd w:val="clear" w:color="auto" w:fill="FFFFFF"/>
                <w:lang w:val="hy-AM"/>
              </w:rPr>
              <w:t xml:space="preserve"> նպատակը եղել է դատավարության բնականոն ընթացքն, արդյունավետ և ողջամիտ ժամկետներում գործերի քննության ապահովումը: Ընդ որում, </w:t>
            </w:r>
            <w:r w:rsidRPr="00F2718E">
              <w:rPr>
                <w:rFonts w:ascii="GHEA Grapalat" w:hAnsi="GHEA Grapalat" w:cs="Arial"/>
                <w:bCs/>
                <w:iCs/>
                <w:noProof/>
                <w:spacing w:val="-4"/>
                <w:lang w:val="hy-AM" w:eastAsia="en-US"/>
              </w:rPr>
              <w:t>ապացույցներ ներկայացնելը, դիրքորոշում հայտնելը (գրավոր կամ բանավոր), միջնորդություններ ներկայացնելը բացարձակ և սահմանափակման ոչ ենթակա իրավունքներ չեն: Ապացույց ներկայացնելու, դիրքորոշում հայտնելու, միջնորդություն ներկայացնելու իրավունքները թեև դատավարական կարևորագույն իրավունքներ են, սակայն դրանցից անբարեխղճորեն օգտվելը կարող է հանգեցնել դատական սանկցիայի կիրառման:</w:t>
            </w:r>
          </w:p>
        </w:tc>
      </w:tr>
      <w:tr w:rsidR="00881AD5" w:rsidRPr="00F2718E" w14:paraId="60A2E68A" w14:textId="77777777" w:rsidTr="00F260E8">
        <w:trPr>
          <w:gridAfter w:val="1"/>
          <w:wAfter w:w="6" w:type="dxa"/>
        </w:trPr>
        <w:tc>
          <w:tcPr>
            <w:tcW w:w="7879" w:type="dxa"/>
          </w:tcPr>
          <w:p w14:paraId="5817B187"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Arial"/>
                <w:bCs/>
                <w:iCs/>
                <w:noProof/>
                <w:spacing w:val="-4"/>
                <w:lang w:val="hy-AM" w:eastAsia="en-US"/>
              </w:rPr>
              <w:t>3. «Հայաստանի Հանրապետության վարչական դատավարության օրենսգրքում լրացումներ և փոփոխություններ կատարելու մասին» օրենքի նախագծի հոդված 3-ում խմբագրված Հոդված 101.6 2-րդ մասից առաջարկում ենք հանել 3-6-րդ կետերը։ Գտնում ենք, որ ցանկացած դատական գործով ապացույցներ ներկայացնելը, դիրքորոշում հայտնելը (գրավոր կամ բանավոր), միջնորդություններ ներկայացնելը չի կարող դիտվել որպես դատավարական իրավունքներն օգտագործելիս պարբերաբար չարաշահման դեպքեր:</w:t>
            </w:r>
          </w:p>
        </w:tc>
        <w:tc>
          <w:tcPr>
            <w:tcW w:w="7022" w:type="dxa"/>
            <w:gridSpan w:val="6"/>
          </w:tcPr>
          <w:p w14:paraId="20026688" w14:textId="77777777" w:rsidR="001E39D6" w:rsidRPr="00F2718E" w:rsidRDefault="001E39D6"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172424C2"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shd w:val="clear" w:color="auto" w:fill="FFFFFF"/>
                <w:lang w:val="hy-AM"/>
              </w:rPr>
              <w:t xml:space="preserve">Իրավունքի իրականացման սահմանափակում սանկցիայի տեսակի կիրառման նպատակը եղել է դատավարության բնականոն ընթացքն, արդյունավետ և ողջամիտ ժամկետներում գործերի քննության ապահովումը: Ընդ որում, </w:t>
            </w:r>
            <w:r w:rsidRPr="00F2718E">
              <w:rPr>
                <w:rFonts w:ascii="GHEA Grapalat" w:hAnsi="GHEA Grapalat" w:cs="Arial"/>
                <w:bCs/>
                <w:iCs/>
                <w:noProof/>
                <w:spacing w:val="-4"/>
                <w:lang w:val="hy-AM" w:eastAsia="en-US"/>
              </w:rPr>
              <w:t>ապացույցներ ներկայացնելը, դիրքորոշում հայտնելը (գրավոր կամ բանավոր), միջնորդություններ ներկայացնելը բացարձակ և սահմանափակման ոչ ենթակա իրավունքներ չեն: Ապացույց ներկայացնելու, դիրքորոշում հայտնելու, միջնորդություն ներկայացնելու իրավունքները թեև դատավարական կարևորագույն իրավունքներ են, սակայն դրանցից անբարեխղճորեն օգտվելը կարող է հանգեցնել իրավական ներգործության միջոցների կիրառման:</w:t>
            </w:r>
          </w:p>
        </w:tc>
      </w:tr>
      <w:tr w:rsidR="001E39D6" w:rsidRPr="00F2718E" w14:paraId="31D2BF6F" w14:textId="77777777" w:rsidTr="00F260E8">
        <w:trPr>
          <w:trHeight w:val="604"/>
        </w:trPr>
        <w:tc>
          <w:tcPr>
            <w:tcW w:w="12563" w:type="dxa"/>
            <w:gridSpan w:val="6"/>
            <w:vMerge w:val="restart"/>
            <w:shd w:val="clear" w:color="auto" w:fill="D9D9D9" w:themeFill="background1" w:themeFillShade="D9"/>
          </w:tcPr>
          <w:p w14:paraId="64732195" w14:textId="77777777" w:rsidR="001E39D6" w:rsidRPr="00F2718E" w:rsidRDefault="001E39D6" w:rsidP="00A961C5">
            <w:pPr>
              <w:spacing w:line="360" w:lineRule="auto"/>
              <w:jc w:val="center"/>
              <w:rPr>
                <w:rFonts w:ascii="GHEA Grapalat" w:hAnsi="GHEA Grapalat"/>
                <w:highlight w:val="lightGray"/>
              </w:rPr>
            </w:pPr>
            <w:r w:rsidRPr="00F2718E">
              <w:rPr>
                <w:rFonts w:ascii="GHEA Grapalat" w:hAnsi="GHEA Grapalat"/>
                <w:b/>
                <w:highlight w:val="lightGray"/>
                <w:shd w:val="clear" w:color="auto" w:fill="FFFFFF"/>
                <w:lang w:val="hy-AM"/>
              </w:rPr>
              <w:t>9. Կադաստրի կոմիտե</w:t>
            </w:r>
          </w:p>
        </w:tc>
        <w:tc>
          <w:tcPr>
            <w:tcW w:w="2344" w:type="dxa"/>
            <w:gridSpan w:val="2"/>
            <w:shd w:val="clear" w:color="auto" w:fill="D9D9D9" w:themeFill="background1" w:themeFillShade="D9"/>
          </w:tcPr>
          <w:p w14:paraId="2FDC4F16" w14:textId="77777777" w:rsidR="001E39D6" w:rsidRPr="00F2718E" w:rsidRDefault="001E39D6"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10.04.2024թ.</w:t>
            </w:r>
          </w:p>
        </w:tc>
      </w:tr>
      <w:tr w:rsidR="001E39D6" w:rsidRPr="00F2718E" w14:paraId="5E32AB2C" w14:textId="77777777" w:rsidTr="00F260E8">
        <w:trPr>
          <w:trHeight w:val="519"/>
        </w:trPr>
        <w:tc>
          <w:tcPr>
            <w:tcW w:w="12563" w:type="dxa"/>
            <w:gridSpan w:val="6"/>
            <w:vMerge/>
            <w:shd w:val="clear" w:color="auto" w:fill="D9D9D9" w:themeFill="background1" w:themeFillShade="D9"/>
          </w:tcPr>
          <w:p w14:paraId="7D06C0E4" w14:textId="77777777" w:rsidR="001E39D6" w:rsidRPr="00F2718E" w:rsidRDefault="001E39D6" w:rsidP="00A961C5">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0722D42E" w14:textId="77777777" w:rsidR="001E39D6" w:rsidRPr="00F2718E" w:rsidRDefault="001E39D6" w:rsidP="00A961C5">
            <w:pPr>
              <w:spacing w:line="360" w:lineRule="auto"/>
              <w:rPr>
                <w:rFonts w:ascii="GHEA Grapalat" w:hAnsi="GHEA Grapalat"/>
                <w:highlight w:val="lightGray"/>
              </w:rPr>
            </w:pPr>
            <w:r w:rsidRPr="00F2718E">
              <w:rPr>
                <w:rFonts w:ascii="GHEA Grapalat" w:hAnsi="GHEA Grapalat"/>
                <w:b/>
                <w:highlight w:val="lightGray"/>
                <w:shd w:val="clear" w:color="auto" w:fill="FFFFFF"/>
                <w:lang w:val="hy-AM"/>
              </w:rPr>
              <w:t>ՍԹ/6197-2024</w:t>
            </w:r>
          </w:p>
        </w:tc>
      </w:tr>
      <w:tr w:rsidR="00881AD5" w:rsidRPr="00F2718E" w14:paraId="465E7117" w14:textId="77777777" w:rsidTr="00F260E8">
        <w:trPr>
          <w:gridAfter w:val="1"/>
          <w:wAfter w:w="6" w:type="dxa"/>
        </w:trPr>
        <w:tc>
          <w:tcPr>
            <w:tcW w:w="7879" w:type="dxa"/>
          </w:tcPr>
          <w:p w14:paraId="58DD953E" w14:textId="77777777" w:rsidR="00881AD5" w:rsidRPr="00F2718E" w:rsidRDefault="001E39D6" w:rsidP="00A961C5">
            <w:pPr>
              <w:spacing w:line="360" w:lineRule="auto"/>
              <w:ind w:right="-143"/>
              <w:jc w:val="both"/>
              <w:rPr>
                <w:rFonts w:ascii="GHEA Grapalat" w:hAnsi="GHEA Grapalat" w:cs="Arial"/>
                <w:bCs/>
                <w:iCs/>
                <w:noProof/>
                <w:spacing w:val="-4"/>
                <w:lang w:val="hy-AM" w:eastAsia="en-US"/>
              </w:rPr>
            </w:pPr>
            <w:r w:rsidRPr="00F2718E">
              <w:rPr>
                <w:rFonts w:ascii="GHEA Grapalat" w:hAnsi="GHEA Grapalat" w:cs="Arial"/>
                <w:bCs/>
                <w:iCs/>
                <w:noProof/>
                <w:spacing w:val="-4"/>
                <w:lang w:val="hy-AM" w:eastAsia="en-US"/>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ՀՀ օրենքների նախագծերի վերաբերյալ առաջարկություններ չունենք։</w:t>
            </w:r>
          </w:p>
        </w:tc>
        <w:tc>
          <w:tcPr>
            <w:tcW w:w="7022" w:type="dxa"/>
            <w:gridSpan w:val="6"/>
          </w:tcPr>
          <w:p w14:paraId="47B358B2" w14:textId="77777777" w:rsidR="00881AD5" w:rsidRPr="00F2718E" w:rsidRDefault="001E39D6" w:rsidP="00A961C5">
            <w:pPr>
              <w:spacing w:line="360" w:lineRule="auto"/>
              <w:jc w:val="center"/>
              <w:rPr>
                <w:rFonts w:ascii="GHEA Grapalat" w:hAnsi="GHEA Grapalat"/>
              </w:rPr>
            </w:pPr>
            <w:r w:rsidRPr="00F2718E">
              <w:rPr>
                <w:rFonts w:ascii="GHEA Grapalat" w:hAnsi="GHEA Grapalat"/>
                <w:b/>
                <w:shd w:val="clear" w:color="auto" w:fill="FFFFFF"/>
                <w:lang w:val="hy-AM"/>
              </w:rPr>
              <w:t>Ընդունվել է:</w:t>
            </w:r>
          </w:p>
        </w:tc>
      </w:tr>
      <w:tr w:rsidR="001E39D6" w:rsidRPr="00F2718E" w14:paraId="0AD167D4" w14:textId="77777777" w:rsidTr="00F260E8">
        <w:trPr>
          <w:trHeight w:val="459"/>
        </w:trPr>
        <w:tc>
          <w:tcPr>
            <w:tcW w:w="12563" w:type="dxa"/>
            <w:gridSpan w:val="6"/>
            <w:vMerge w:val="restart"/>
            <w:shd w:val="clear" w:color="auto" w:fill="D9D9D9" w:themeFill="background1" w:themeFillShade="D9"/>
          </w:tcPr>
          <w:p w14:paraId="302563B0" w14:textId="77777777" w:rsidR="001E39D6" w:rsidRPr="00F2718E" w:rsidRDefault="001E39D6" w:rsidP="00A961C5">
            <w:pPr>
              <w:spacing w:line="360" w:lineRule="auto"/>
              <w:ind w:right="-137"/>
              <w:jc w:val="center"/>
              <w:rPr>
                <w:rFonts w:ascii="GHEA Grapalat" w:hAnsi="GHEA Grapalat"/>
              </w:rPr>
            </w:pPr>
            <w:r w:rsidRPr="00F2718E">
              <w:rPr>
                <w:rFonts w:ascii="GHEA Grapalat" w:hAnsi="GHEA Grapalat"/>
                <w:b/>
                <w:shd w:val="clear" w:color="auto" w:fill="D9D9D9" w:themeFill="background1" w:themeFillShade="D9"/>
                <w:lang w:val="hy-AM"/>
              </w:rPr>
              <w:t>10</w:t>
            </w:r>
            <w:r w:rsidRPr="00F2718E">
              <w:rPr>
                <w:rFonts w:ascii="GHEA Grapalat" w:hAnsi="GHEA Grapalat"/>
                <w:b/>
                <w:shd w:val="clear" w:color="auto" w:fill="D9D9D9" w:themeFill="background1" w:themeFillShade="D9"/>
                <w:lang w:val="en-US"/>
              </w:rPr>
              <w:t>. Կոռուպցիայի կանխարգելման հանձնաժողով</w:t>
            </w:r>
          </w:p>
        </w:tc>
        <w:tc>
          <w:tcPr>
            <w:tcW w:w="2344" w:type="dxa"/>
            <w:gridSpan w:val="2"/>
            <w:shd w:val="clear" w:color="auto" w:fill="D9D9D9" w:themeFill="background1" w:themeFillShade="D9"/>
          </w:tcPr>
          <w:p w14:paraId="256E12BB" w14:textId="77777777" w:rsidR="001E39D6" w:rsidRPr="00F2718E" w:rsidRDefault="001E39D6" w:rsidP="00A961C5">
            <w:pPr>
              <w:tabs>
                <w:tab w:val="left" w:pos="279"/>
              </w:tabs>
              <w:spacing w:line="360" w:lineRule="auto"/>
              <w:rPr>
                <w:rFonts w:ascii="GHEA Grapalat" w:hAnsi="GHEA Grapalat"/>
              </w:rPr>
            </w:pPr>
            <w:r w:rsidRPr="00F2718E">
              <w:rPr>
                <w:rFonts w:ascii="GHEA Grapalat" w:hAnsi="GHEA Grapalat"/>
                <w:b/>
                <w:shd w:val="clear" w:color="auto" w:fill="D9D9D9" w:themeFill="background1" w:themeFillShade="D9"/>
                <w:lang w:val="hy-AM"/>
              </w:rPr>
              <w:t>19.04.2024թ.</w:t>
            </w:r>
          </w:p>
        </w:tc>
      </w:tr>
      <w:tr w:rsidR="001E39D6" w:rsidRPr="00F2718E" w14:paraId="4758D732" w14:textId="77777777" w:rsidTr="00F260E8">
        <w:trPr>
          <w:trHeight w:val="511"/>
        </w:trPr>
        <w:tc>
          <w:tcPr>
            <w:tcW w:w="12563" w:type="dxa"/>
            <w:gridSpan w:val="6"/>
            <w:vMerge/>
            <w:shd w:val="clear" w:color="auto" w:fill="D9D9D9" w:themeFill="background1" w:themeFillShade="D9"/>
          </w:tcPr>
          <w:p w14:paraId="1E88E5F7" w14:textId="77777777" w:rsidR="001E39D6" w:rsidRPr="00F2718E" w:rsidRDefault="001E39D6" w:rsidP="00A961C5">
            <w:pPr>
              <w:spacing w:line="360" w:lineRule="auto"/>
              <w:ind w:right="-137"/>
              <w:jc w:val="center"/>
              <w:rPr>
                <w:rFonts w:ascii="GHEA Grapalat" w:hAnsi="GHEA Grapalat"/>
              </w:rPr>
            </w:pPr>
          </w:p>
        </w:tc>
        <w:tc>
          <w:tcPr>
            <w:tcW w:w="2344" w:type="dxa"/>
            <w:gridSpan w:val="2"/>
            <w:shd w:val="clear" w:color="auto" w:fill="D9D9D9" w:themeFill="background1" w:themeFillShade="D9"/>
          </w:tcPr>
          <w:p w14:paraId="04EB062E" w14:textId="77777777" w:rsidR="001E39D6" w:rsidRPr="00F2718E" w:rsidRDefault="001E39D6" w:rsidP="00A961C5">
            <w:pPr>
              <w:spacing w:line="360" w:lineRule="auto"/>
              <w:rPr>
                <w:rFonts w:ascii="GHEA Grapalat" w:hAnsi="GHEA Grapalat"/>
              </w:rPr>
            </w:pPr>
            <w:r w:rsidRPr="00F2718E">
              <w:rPr>
                <w:rFonts w:ascii="GHEA Grapalat" w:hAnsi="GHEA Grapalat"/>
                <w:b/>
                <w:shd w:val="clear" w:color="auto" w:fill="D9D9D9" w:themeFill="background1" w:themeFillShade="D9"/>
                <w:lang w:val="en-US"/>
              </w:rPr>
              <w:t>01/1271-2024</w:t>
            </w:r>
          </w:p>
        </w:tc>
      </w:tr>
      <w:tr w:rsidR="00881AD5" w:rsidRPr="00F2718E" w14:paraId="3DBB58AB" w14:textId="77777777" w:rsidTr="00F260E8">
        <w:trPr>
          <w:gridAfter w:val="1"/>
          <w:wAfter w:w="6" w:type="dxa"/>
        </w:trPr>
        <w:tc>
          <w:tcPr>
            <w:tcW w:w="7879" w:type="dxa"/>
          </w:tcPr>
          <w:p w14:paraId="364473C1" w14:textId="77777777" w:rsidR="001E39D6" w:rsidRPr="00F2718E" w:rsidRDefault="001E39D6" w:rsidP="00A961C5">
            <w:pPr>
              <w:spacing w:line="360" w:lineRule="auto"/>
              <w:jc w:val="both"/>
              <w:rPr>
                <w:rFonts w:ascii="GHEA Grapalat" w:hAnsi="GHEA Grapalat" w:cs="Segoe UI"/>
                <w:color w:val="222222"/>
                <w:lang w:val="hy-AM"/>
              </w:rPr>
            </w:pPr>
            <w:r w:rsidRPr="00F2718E">
              <w:rPr>
                <w:rFonts w:ascii="GHEA Grapalat" w:hAnsi="GHEA Grapalat" w:cs="Segoe UI"/>
                <w:color w:val="222222"/>
                <w:lang w:val="hy-AM"/>
              </w:rPr>
              <w:t>1. «Հայաստանի Հանրապետության վարչական դատավարության օրենսգրքում լրացումներ և փոփոխություններ կատարելու մասին» օրենքի նախագծի 3-րդ հոդվածով ՀՀ վարչական դատավարության օրենսգրքում լրացվող 101.6-րդ հոդվածով սահմանված են իրավունքի իրականացման սահմանափակում կիրառելու առանձնահատկությունները, որի 2-րդ մասի համաձայն՝ սույն 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color w:val="222222"/>
                <w:lang w:val="hy-AM"/>
              </w:rPr>
              <w:t>․</w:t>
            </w:r>
          </w:p>
          <w:p w14:paraId="7B197DBD"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1) գործի նյութերին ծանոթանալը, դրանց պատճեններ ստանալը, քաղվածքներ, լուսանկարներ, լուսապատճեններ և պատճեններ անելը,</w:t>
            </w:r>
          </w:p>
          <w:p w14:paraId="1BF9B891"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2) ինքնաբացարկ հայտնելու միջնորդություններ անելը.</w:t>
            </w:r>
          </w:p>
          <w:p w14:paraId="562A64B9"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3) ապացույցներ ներկայացնելը,</w:t>
            </w:r>
          </w:p>
          <w:p w14:paraId="3366E313"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4) հարցեր տալը,</w:t>
            </w:r>
          </w:p>
          <w:p w14:paraId="0D222FE4"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5) միջնորդություններ ներկայացնելը,</w:t>
            </w:r>
          </w:p>
          <w:p w14:paraId="7393E516"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6) դիրքորոշում ներկայացնելը:</w:t>
            </w:r>
          </w:p>
          <w:p w14:paraId="0BC88417"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Segoe UI"/>
                <w:color w:val="222222"/>
                <w:lang w:val="hy-AM"/>
              </w:rPr>
              <w:t>Հաշվի առնելով դատավարության մասնակիցների միջև առկա իրավական վեճի շրջանակում ապացուցների դատավարական նշանակությունը, որոնց միջոցով են, ըստ էության, հաստատվում գործի լուծման համար նշանակություն ունեցող փաստերը, առաջարկվում է վերոնշյալ հոդվածի 2-րդ մասով սահմանված իրավունքների պարբերաբար չարաշահելու դեպքերի շրջանակից հանել դատավարության մասնակցի կողմից ապացույցներ ներկայացնելը: Նշված առաջարկը, մասնավորապես, պայմանավորված է այն իրողությամբ, որ ապացույցներ ներկայացնելու դատավարական իրավունքի իրացմամբ է հնարավոր ապահովել գործի բոլոր փաստական հանգամանքները պարզելու և գնահատելու համար անհրաժեշտ և բացառապես կողմի տիրապետման ներքո գտնվող ապացույցները դատարան ներկայացնելու հնարավորությունը:</w:t>
            </w:r>
          </w:p>
        </w:tc>
        <w:tc>
          <w:tcPr>
            <w:tcW w:w="7022" w:type="dxa"/>
            <w:gridSpan w:val="6"/>
          </w:tcPr>
          <w:p w14:paraId="26802D04" w14:textId="77777777" w:rsidR="001E39D6" w:rsidRPr="00F2718E" w:rsidRDefault="001E39D6"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1E4BB0F2" w14:textId="77777777" w:rsidR="001E39D6" w:rsidRPr="00F2718E" w:rsidRDefault="001E39D6"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Իրավունքի իրականացման սահմանափակում սանկցիայի տեսակի կիրառման նպատակը եղել է դատավարության բնականոն ընթացքն, արդյունավետ և ողջամիտ ժամկետներում գործերի քննության ապահովումը: Նախագծերով հստակ սահմանվել է, որ իրավունքի իրականացման սահմանափակում եզրույթը դատական սանկցիայի տեսակ է, որը ենթադրում է, որ որոշակի իրավունքների պարբերաբար չարաշահման դեպքում դատարանը կիրառում է դրանց իրականացման ժամանակային կամ քանակական պայմաններ: Այսպիսով, Նախագծով հստակեցվել և առանձնացվել են դատավարական այն իրավունքները, որոնք կարող են ենթարկվել սահմանափակման, նախատեսվել է նման սահմանափակման հիմքը, այն է՝ «իրավունքի պարբերաբար չարաշահում»:</w:t>
            </w:r>
          </w:p>
          <w:p w14:paraId="58CFFA1F"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shd w:val="clear" w:color="auto" w:fill="FFFFFF"/>
                <w:lang w:val="hy-AM"/>
              </w:rPr>
              <w:t xml:space="preserve">Ընդ որում, </w:t>
            </w:r>
            <w:r w:rsidRPr="00F2718E">
              <w:rPr>
                <w:rFonts w:ascii="GHEA Grapalat" w:hAnsi="GHEA Grapalat" w:cs="Arial"/>
                <w:bCs/>
                <w:iCs/>
                <w:noProof/>
                <w:spacing w:val="-4"/>
                <w:lang w:val="hy-AM" w:eastAsia="en-US"/>
              </w:rPr>
              <w:t xml:space="preserve">ապացույցներ ներկայացնելը բացարձակ և սահմանափակման ոչ ենթակա իրավունք չէ </w:t>
            </w:r>
            <w:r w:rsidRPr="00F2718E">
              <w:rPr>
                <w:rFonts w:ascii="GHEA Grapalat" w:hAnsi="GHEA Grapalat"/>
                <w:shd w:val="clear" w:color="auto" w:fill="FFFFFF"/>
                <w:lang w:val="hy-AM"/>
              </w:rPr>
              <w:t>և համաչափության սկզբունքի պահպանման համատեքստում կարող է ենթարկվել սահմանափակումների՝ որպես որոշակի վարքագծի՝ գործողության կամ անգործության հետևանք:</w:t>
            </w:r>
            <w:r w:rsidRPr="00F2718E">
              <w:rPr>
                <w:rFonts w:ascii="GHEA Grapalat" w:hAnsi="GHEA Grapalat" w:cs="Arial"/>
                <w:bCs/>
                <w:iCs/>
                <w:noProof/>
                <w:spacing w:val="-4"/>
                <w:lang w:val="hy-AM" w:eastAsia="en-US"/>
              </w:rPr>
              <w:t xml:space="preserve"> Ապացույց ներկայացնելու իրավունքը թեև դատավարական կարևորագույն իրավունք է, սակայն դրանցից անբարեխղճորեն օգտվելը կարող է հանգեցնել բացասական հետևանքի՝ դատական սանկցիայի եղանակով: </w:t>
            </w:r>
            <w:r w:rsidRPr="00F2718E">
              <w:rPr>
                <w:rFonts w:ascii="GHEA Grapalat" w:hAnsi="GHEA Grapalat"/>
                <w:shd w:val="clear" w:color="auto" w:fill="FFFFFF"/>
                <w:lang w:val="hy-AM"/>
              </w:rPr>
              <w:t>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tc>
      </w:tr>
      <w:tr w:rsidR="00881AD5" w:rsidRPr="00F2718E" w14:paraId="0C8413C7" w14:textId="77777777" w:rsidTr="00F260E8">
        <w:trPr>
          <w:gridAfter w:val="1"/>
          <w:wAfter w:w="6" w:type="dxa"/>
        </w:trPr>
        <w:tc>
          <w:tcPr>
            <w:tcW w:w="7879" w:type="dxa"/>
          </w:tcPr>
          <w:p w14:paraId="5745770E"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2. Նույն հոդվածի 4-րդ մասի համաձայն՝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p>
          <w:p w14:paraId="1EF5333F"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Segoe UI"/>
                <w:color w:val="222222"/>
                <w:lang w:val="hy-AM"/>
              </w:rPr>
              <w:t>Առաջարկվում է դատավարության մասնակցի իրավունքների իրականացման սահմանափակմանն ուղղված դատարանի որոշումները նախատեսել ընդունել բացառապես դատարանի պատճառաբանված և հիմնավորված գրավոր որոշմամբ՝ ապահովելու համար դատավարության մասնակցի կողմից արդյունավետ բողոքարկման կառուցակարգերը:</w:t>
            </w:r>
          </w:p>
        </w:tc>
        <w:tc>
          <w:tcPr>
            <w:tcW w:w="7022" w:type="dxa"/>
            <w:gridSpan w:val="6"/>
          </w:tcPr>
          <w:p w14:paraId="3FBBC596" w14:textId="77777777" w:rsidR="001E39D6" w:rsidRPr="00F2718E" w:rsidRDefault="001E39D6"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2197F332"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 xml:space="preserve">Դատարանների կողմից կայացվող որոշումները ձևի տեսանկյունից կայացվում են կա՛մ գրավոր՝ առանձին դատական ակտի ձևով կամ արձանագրային՝ դատական նիստի ընթացքում: </w:t>
            </w:r>
          </w:p>
          <w:p w14:paraId="5D5987A0"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Պատճառաբանվածության պահանջը վերաբերում է բոլոր որոշումներին, այդ թվում՝ արձանագրային, ինչը ենթադրում է, որ հետաձգված բողոքարկման շրջանակներում վերադաս դատարաններն ունենալու են որոշման կայացման համար հիմք հանդիսացած դատարանի պատճառաբանություններին ծանոթանալու և դրանք գնահատելու հնարավորություն:</w:t>
            </w:r>
          </w:p>
          <w:p w14:paraId="4EB4E362"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Ինչ վերաբերում է արդյունավետ բողոքարկման կառուցակարգ ապահովելու նպատակով գրավոր որոշման կայացմանը, ապա այս որոշումն անմիջական բողոքարկման ենթակա դատական ակտ չի համարվում և հետաձգված բողոքարկման շրջանակներում վերադաս դատարանները յուրաքանչյուր դեպքում հնարավորություն են ունենալու գնահատել դատարանի կողմից կիրառված սահմանափակման իրավաչափությունը: Ընդ որում, որպես անմիջական բողոքարկման ենթակա դատական ակտ նշված որոշումը չի սահմանվել՝ հաշվի առնելով, որ անմիջական բողոքարկման ենթակա դատական ակտերի շարքում, որպես կանոն, սահմանվում են այն դատական ակտերը, որոնք խոչընդոտում են վարույթի հետագա ընթացքին, մինչդեռ նման միջանկյալ սահմանափակումը վարույթի ընթացքին խոչընդոտող չի հանդիսանում:</w:t>
            </w:r>
          </w:p>
        </w:tc>
      </w:tr>
      <w:tr w:rsidR="00881AD5" w:rsidRPr="001310A8" w14:paraId="6A501316" w14:textId="77777777" w:rsidTr="00F260E8">
        <w:trPr>
          <w:gridAfter w:val="1"/>
          <w:wAfter w:w="6" w:type="dxa"/>
        </w:trPr>
        <w:tc>
          <w:tcPr>
            <w:tcW w:w="7879" w:type="dxa"/>
          </w:tcPr>
          <w:p w14:paraId="41F75F5B"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 xml:space="preserve">3. «Հայաստանի Հանրապետության քաղաքացիական դատավարության օրենսգրքում փոփոխություններ և լրացումներ կատարելու մասին» օրենքի նախագծի 3-րդ հոդվածով ՀՀ քաղաքացիական դատավարության օրենսգրքում լրացվող 147.1-րդ հոդվածով սահմանվում է </w:t>
            </w:r>
            <w:r w:rsidRPr="00F2718E">
              <w:rPr>
                <w:rFonts w:ascii="GHEA Grapalat" w:hAnsi="GHEA Grapalat" w:cs="Segoe UI"/>
                <w:bCs/>
                <w:color w:val="222222"/>
                <w:lang w:val="hy-AM"/>
              </w:rPr>
              <w:t xml:space="preserve">դատական նիստին դատավարության մասնակիցների ներկայության պարտադիրությունը, որի 1-ին մասով թվարկված են ՀՀ քաղաքացիական դատավարության օրենսգրքի այն դրույթները, որոնցով նախատեսված դեպքերում </w:t>
            </w:r>
            <w:r w:rsidRPr="00F2718E">
              <w:rPr>
                <w:rFonts w:ascii="GHEA Grapalat" w:hAnsi="GHEA Grapalat" w:cs="Segoe UI"/>
                <w:color w:val="222222"/>
                <w:lang w:val="hy-AM"/>
              </w:rPr>
              <w:t>դատարանը դատավարության մասնակիցներին ուղղված ծանուցագրում նշում է կատարում դատական նիստին մասնակցելու անհրաժեշտության մասին:</w:t>
            </w:r>
          </w:p>
          <w:p w14:paraId="4A120A63"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bCs/>
                <w:color w:val="222222"/>
                <w:lang w:val="hy-AM"/>
              </w:rPr>
              <w:t xml:space="preserve">Նույն հոդվածի 2-րդ մասի համաձայն՝ </w:t>
            </w:r>
            <w:r w:rsidRPr="00F2718E">
              <w:rPr>
                <w:rFonts w:ascii="GHEA Grapalat" w:hAnsi="GHEA Grapalat" w:cs="Segoe UI"/>
                <w:color w:val="222222"/>
                <w:lang w:val="hy-AM"/>
              </w:rPr>
              <w:t>եթե դատավարության մասնակիցը, ծանուցված լինելով դատական նիստին ներկայանալու անհրաժեշտության մասին, չի ներկայանում դատական նիստին կամ չի ներկայացնում դատական նիստը հետաձգելու մասին հիմնավորված միջնորդություն, ապա դատարանը դատական նիստին չմասնակցող դատավարության մասնակցի նկատմամբ կիրառում է դատական տուգանք:</w:t>
            </w:r>
          </w:p>
          <w:p w14:paraId="31255A1F"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Այսպես, գործող ՀՀ քաղաքացիական դատավարության օրենսգրքի 95-րդ հոդվածի 5-րդ մասի համաձայն՝ եթե դատավարության մասնակիցը հրաժարվել է ստանալ ծանուցագիրը, կամ նրա հայտնած հասցեով ուղարկված ծանուցագիրը վերադարձվել է դատարան, կամ ուղարկելու օրվանից երկշաբաթյա ժամկետում դատարանը չի ստացել հետադարձ ծանուցումը (ծանուցման մասին անդորրագիրը), կամ</w:t>
            </w:r>
            <w:r w:rsidRPr="00F2718E">
              <w:rPr>
                <w:rFonts w:ascii="Calibri" w:hAnsi="Calibri" w:cs="Calibri"/>
                <w:color w:val="222222"/>
                <w:lang w:val="hy-AM"/>
              </w:rPr>
              <w:t> </w:t>
            </w:r>
            <w:r w:rsidRPr="00F2718E">
              <w:rPr>
                <w:rFonts w:ascii="GHEA Grapalat" w:hAnsi="GHEA Grapalat" w:cs="Segoe UI"/>
                <w:color w:val="222222"/>
                <w:lang w:val="hy-AM"/>
              </w:rPr>
              <w:t>դատավարության մասնակցի հասցեն անհայտ է, ապա դատարանը դատական ծանուցագիրը ուղարկում է՝</w:t>
            </w:r>
          </w:p>
          <w:p w14:paraId="00FF2F28"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1) ֆիզիկական անձի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գործի նյութերում ֆիզիկական անձի այլ հասցեների, այդ թվում՝ էլեկտրոնային փոստի վերաբերյալ տվյալների առկայության դեպքում՝ նաև այդ հասցեներով.</w:t>
            </w:r>
          </w:p>
          <w:p w14:paraId="58C0C77A"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2) իրավաբանական անձի դեպքում՝ այդ անձի մշտապես գործող մարմնի գտնվելու վայրի հասցեով, իսկ գործի նյութերում իրավաբանական անձի այլ հասցեների, այդ թվում՝ էլեկտրոնային փոստի վերաբերյալ տվյալների առկայության դեպքում՝ նաև այդ հասցեներով:</w:t>
            </w:r>
          </w:p>
          <w:p w14:paraId="76B18B21" w14:textId="77777777" w:rsidR="001E39D6" w:rsidRPr="00F2718E" w:rsidRDefault="001E39D6" w:rsidP="00A961C5">
            <w:pPr>
              <w:shd w:val="clear" w:color="auto" w:fill="FFFFFF"/>
              <w:spacing w:line="360" w:lineRule="auto"/>
              <w:jc w:val="both"/>
              <w:rPr>
                <w:rFonts w:ascii="GHEA Grapalat" w:hAnsi="GHEA Grapalat" w:cs="Segoe UI"/>
                <w:b/>
                <w:bCs/>
                <w:color w:val="222222"/>
                <w:lang w:val="hy-AM"/>
              </w:rPr>
            </w:pPr>
            <w:r w:rsidRPr="00F2718E">
              <w:rPr>
                <w:rFonts w:ascii="GHEA Grapalat" w:hAnsi="GHEA Grapalat" w:cs="Segoe UI"/>
                <w:color w:val="222222"/>
                <w:lang w:val="hy-AM"/>
              </w:rPr>
              <w:t>Նույն հոդվածի 6-րդ մասի համաձայն՝ սույն հոդվածի 5-րդ մասով սահմանված գործողությունները կատարելու հետ միաժամանակ դատական ծանուցագիրը 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յոթերորդ օրն անձը համարվում է ծանուցված:</w:t>
            </w:r>
          </w:p>
          <w:p w14:paraId="1433674E"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Հաշվի առնելով հրապարակային ծանուցումների վերաբերյալ իրավակարգավորումները, որի գործողության պարագայում դատավարության մասնակիցը օրենքի իմաստով համարվում է ծանուցված ՀՀ քաղաքացիական դատավարության օրենսգրքի 95-րդ հոդվածի 5-րդ մասով սահմանված կարգով և դեպքերում, մինչդեռ, գործնականում շատ են դեպքերը, երբ դատավարության մասնակիցը հրապարակային ծանուցումների միջոցով փաստացի ծանուցված չի լինում, առաջարկվում է ՀՀ քաղաքացիական դատավարության օրենսգրքի 95-րդ հոդվածի 5-րդ մասով սահմանված կարգով օրենքի ուժով անձի ծանուցված լինելու պարագայում սահմանել բացառություն  դատական նիստին չմասնակցող դատավարության մասնակցի նկատմամբ դատական տուգանքի կիրառման առումով:</w:t>
            </w:r>
          </w:p>
          <w:p w14:paraId="130EC79F" w14:textId="77777777" w:rsidR="001E39D6" w:rsidRPr="00F2718E" w:rsidRDefault="001E39D6" w:rsidP="00A961C5">
            <w:pPr>
              <w:shd w:val="clear" w:color="auto" w:fill="FFFFFF"/>
              <w:spacing w:line="360" w:lineRule="auto"/>
              <w:jc w:val="both"/>
              <w:rPr>
                <w:rFonts w:ascii="GHEA Grapalat" w:hAnsi="GHEA Grapalat" w:cs="Segoe UI"/>
                <w:color w:val="222222"/>
                <w:lang w:val="hy-AM"/>
              </w:rPr>
            </w:pPr>
            <w:r w:rsidRPr="00F2718E">
              <w:rPr>
                <w:rFonts w:ascii="GHEA Grapalat" w:hAnsi="GHEA Grapalat" w:cs="Segoe UI"/>
                <w:color w:val="222222"/>
                <w:lang w:val="hy-AM"/>
              </w:rPr>
              <w:t>Առաջարկվող բացառությունը, գտնում եմ, որ համահունչ է ՀՀ Սահմանադրության 78-րդ հոդվածով սահմանված համաչափության սկզբունքին,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14:paraId="390CDFA6"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s="Segoe UI"/>
                <w:color w:val="222222"/>
                <w:lang w:val="hy-AM"/>
              </w:rPr>
              <w:t xml:space="preserve"> Նշվածի համատեքստում անհրաժեշտ եմ համարում նշել նաև, որ ՀՀ քաղաքացիական դատավարության օրենսգրքով սահմանված ընթացակարգային կանոնների ընդհանուր տրամաբանությունից արդեն իսկ բխում է, որ դատավարության մասնակցի բացակայության դեպքում հնարավոր բացասական հետևանքները կրում է վերջինս:</w:t>
            </w:r>
          </w:p>
        </w:tc>
        <w:tc>
          <w:tcPr>
            <w:tcW w:w="7022" w:type="dxa"/>
            <w:gridSpan w:val="6"/>
          </w:tcPr>
          <w:p w14:paraId="7F56E268" w14:textId="77777777" w:rsidR="001B2CA0" w:rsidRPr="00F2718E" w:rsidRDefault="001B2CA0" w:rsidP="001B2CA0">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4338AFFC" w14:textId="77777777" w:rsidR="001B2CA0" w:rsidRPr="00F2718E" w:rsidRDefault="001B2CA0" w:rsidP="001B2CA0">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w:t>
            </w:r>
            <w:r w:rsidRPr="00F2718E">
              <w:rPr>
                <w:rFonts w:ascii="GHEA Grapalat" w:hAnsi="GHEA Grapalat"/>
                <w:lang w:val="hy-AM"/>
              </w:rPr>
              <w:t>.</w:t>
            </w:r>
            <w:r>
              <w:rPr>
                <w:rFonts w:ascii="GHEA Grapalat" w:hAnsi="GHEA Grapalat"/>
                <w:lang w:val="hy-AM"/>
              </w:rPr>
              <w:t>1</w:t>
            </w:r>
            <w:r w:rsidRPr="00F2718E">
              <w:rPr>
                <w:rFonts w:ascii="GHEA Grapalat" w:hAnsi="GHEA Grapalat"/>
                <w:lang w:val="hy-AM"/>
              </w:rPr>
              <w:t>-</w:t>
            </w:r>
            <w:r>
              <w:rPr>
                <w:rFonts w:ascii="GHEA Grapalat" w:hAnsi="GHEA Grapalat"/>
                <w:lang w:val="hy-AM"/>
              </w:rPr>
              <w:t>ին</w:t>
            </w:r>
            <w:r w:rsidRPr="00F2718E">
              <w:rPr>
                <w:rFonts w:ascii="GHEA Grapalat" w:hAnsi="GHEA Grapalat"/>
                <w:lang w:val="hy-AM"/>
              </w:rPr>
              <w:t xml:space="preserve"> </w:t>
            </w:r>
            <w:r>
              <w:rPr>
                <w:rFonts w:ascii="GHEA Grapalat" w:hAnsi="GHEA Grapalat"/>
                <w:lang w:val="hy-AM"/>
              </w:rPr>
              <w:t>հոդվածը:</w:t>
            </w:r>
          </w:p>
          <w:p w14:paraId="3FDBB233" w14:textId="5E1A879D" w:rsidR="00881AD5" w:rsidRPr="00C3304A" w:rsidRDefault="00881AD5" w:rsidP="00A961C5">
            <w:pPr>
              <w:spacing w:line="360" w:lineRule="auto"/>
              <w:jc w:val="both"/>
              <w:rPr>
                <w:rFonts w:ascii="GHEA Grapalat" w:hAnsi="GHEA Grapalat"/>
                <w:lang w:val="en-US"/>
              </w:rPr>
            </w:pPr>
          </w:p>
        </w:tc>
      </w:tr>
      <w:tr w:rsidR="00881AD5" w:rsidRPr="00F2718E" w14:paraId="23A8229A" w14:textId="77777777" w:rsidTr="00F260E8">
        <w:trPr>
          <w:gridAfter w:val="1"/>
          <w:wAfter w:w="6" w:type="dxa"/>
        </w:trPr>
        <w:tc>
          <w:tcPr>
            <w:tcW w:w="7879" w:type="dxa"/>
          </w:tcPr>
          <w:p w14:paraId="1CF9148D"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 xml:space="preserve">4. «Հայաստանի Հանրապետության քաղաքացիական դատավարության օրենսգրքում լրացումներ և փոփոխություններ կատարելու մասին» օրենքի նախագծի 6-րդ հոդվածով ՀՀ քաղաքացիական դատավարության օրենսգրքում լրացվող՝  155.4-րդ հոդվածի 2-րդ մասով սահմանված են </w:t>
            </w:r>
            <w:r w:rsidRPr="00F2718E">
              <w:rPr>
                <w:rFonts w:ascii="GHEA Grapalat" w:hAnsi="GHEA Grapalat"/>
                <w:color w:val="000000"/>
                <w:shd w:val="clear" w:color="auto" w:fill="FFFFFF"/>
                <w:lang w:val="hy-AM"/>
              </w:rPr>
              <w:t>իրավունքի իրականացման սահմանափակման դեպքերը, որոնք համանման են «</w:t>
            </w:r>
            <w:r w:rsidRPr="00F2718E">
              <w:rPr>
                <w:rFonts w:ascii="GHEA Grapalat" w:hAnsi="GHEA Grapalat"/>
                <w:lang w:val="hy-AM"/>
              </w:rPr>
              <w:t>Հայաստանի Հանրապետության վարչական դատավարության օրենսգրքում լրացումներ և փոփոխություններ կատարելու մասին» օրենքի նախագծի 3-րդ հոդվածով առաջարկվող՝</w:t>
            </w:r>
            <w:r w:rsidRPr="00F2718E">
              <w:rPr>
                <w:rFonts w:ascii="GHEA Grapalat" w:hAnsi="GHEA Grapalat"/>
                <w:b/>
                <w:bCs/>
                <w:lang w:val="hy-AM"/>
              </w:rPr>
              <w:t xml:space="preserve"> </w:t>
            </w:r>
            <w:r w:rsidRPr="00F2718E">
              <w:rPr>
                <w:rFonts w:ascii="GHEA Grapalat" w:hAnsi="GHEA Grapalat"/>
                <w:lang w:val="hy-AM"/>
              </w:rPr>
              <w:t>101.6-րդ հոդվածի 2-րդ մասով սահմանված իրավունքի իրականացման սահմանափակման դեպքերի շրջանակին: Նշվածով պայմանավորված՝ առաջարկում եմ սույն գրության 1-ին կետով նշված  կարծիքը դիտարկել նաև քննարկվող դրույթի համատեքստում:</w:t>
            </w:r>
          </w:p>
        </w:tc>
        <w:tc>
          <w:tcPr>
            <w:tcW w:w="7022" w:type="dxa"/>
            <w:gridSpan w:val="6"/>
          </w:tcPr>
          <w:p w14:paraId="1A962BBC" w14:textId="77777777" w:rsidR="001E39D6" w:rsidRPr="00F2718E" w:rsidRDefault="001E39D6" w:rsidP="00A961C5">
            <w:pPr>
              <w:spacing w:line="360" w:lineRule="auto"/>
              <w:ind w:firstLine="720"/>
              <w:jc w:val="center"/>
              <w:rPr>
                <w:rFonts w:ascii="GHEA Grapalat" w:hAnsi="GHEA Grapalat"/>
                <w:b/>
                <w:lang w:val="hy-AM"/>
              </w:rPr>
            </w:pPr>
            <w:r w:rsidRPr="00F2718E">
              <w:rPr>
                <w:rFonts w:ascii="GHEA Grapalat" w:hAnsi="GHEA Grapalat"/>
                <w:b/>
                <w:lang w:val="hy-AM"/>
              </w:rPr>
              <w:t>Չի ընդունվել:</w:t>
            </w:r>
          </w:p>
          <w:p w14:paraId="0E187BDB"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Իրավունքի իրականացման սահմանափակում սանկցիայի տեսակի կիրառման նպատակը եղել է դատավարության բնականոն ընթացքն, արդյունավետ և ողջամիտ ժամկետներում գործերի քննության ապահովումը: Նախագծերով հստակ սահմանվել է, որ իրավունքի իրականացման սահմանափակում եզրույթը դատական սանկցիայի տեսակ է, որը ենթադրում է, որ որոշակի իրավունքների պարբերաբար չարաշահման դեպքում դատարանը կիրառում է դրանց իրականացման ժամանակային կամ քանակական պայմաններ: Այսպիսով, Նախագծով հստակեցվել և առանձնացվել են դատավարական այն իրավունքները, որոնք կարող են ենթարկվել սահմանափակման, նախատեսվել է նման սահմանափակման հիմքը, այն է՝ «իրավունքի պարբերաբար չարաշահում»:</w:t>
            </w:r>
          </w:p>
          <w:p w14:paraId="5C5428A5"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Ընդ որում, ապացույցներ ներկայացնելը բացարձակ և սահմանափակման ոչ ենթակա իրավունք չէ և համաչափության սկզբունքի պահպանման համատեքստում կարող են ենթարկվել սահմանափակումների՝ որպես որոշակի վարքագծի՝ գործողության կամ անգործության հետևանք: Ապացույց ներկայացնելու իրավունքը թեև դատավարական կարևորագույն իրավունքներ են, սակայն դրանցից անբարեխղճորեն օգտվելը կարող է հանգեցնել իրավական ներգործության միջոցների կիրառման:</w:t>
            </w:r>
            <w:r w:rsidRPr="00F2718E">
              <w:rPr>
                <w:rFonts w:ascii="GHEA Grapalat" w:hAnsi="GHEA Grapalat"/>
                <w:shd w:val="clear" w:color="auto" w:fill="FFFFFF"/>
                <w:lang w:val="hy-AM"/>
              </w:rPr>
              <w:t xml:space="preserve"> 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tc>
      </w:tr>
      <w:tr w:rsidR="00881AD5" w:rsidRPr="00F2718E" w14:paraId="41DFA4D1" w14:textId="77777777" w:rsidTr="00F260E8">
        <w:trPr>
          <w:gridAfter w:val="1"/>
          <w:wAfter w:w="6" w:type="dxa"/>
          <w:trHeight w:val="3045"/>
        </w:trPr>
        <w:tc>
          <w:tcPr>
            <w:tcW w:w="7879" w:type="dxa"/>
          </w:tcPr>
          <w:p w14:paraId="04442D90" w14:textId="77777777" w:rsidR="001E39D6" w:rsidRPr="00F2718E" w:rsidRDefault="001E39D6"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5. Նույն հոդվածով ՀՀ քաղաքացիական դատավարության օրենսգրքում լրացվող՝ 155.4-րդ հոդվածի 4-րդ մասով սահմանված իրավակարգավորումները </w:t>
            </w:r>
            <w:r w:rsidRPr="00F2718E">
              <w:rPr>
                <w:rFonts w:ascii="GHEA Grapalat" w:hAnsi="GHEA Grapalat"/>
                <w:color w:val="000000"/>
                <w:shd w:val="clear" w:color="auto" w:fill="FFFFFF"/>
                <w:lang w:val="hy-AM"/>
              </w:rPr>
              <w:t>համանման են «</w:t>
            </w:r>
            <w:r w:rsidRPr="00F2718E">
              <w:rPr>
                <w:rFonts w:ascii="GHEA Grapalat" w:hAnsi="GHEA Grapalat"/>
                <w:lang w:val="hy-AM"/>
              </w:rPr>
              <w:t>Հայաստանի Հանրապետության վարչական դատավարության օրենսգրքում լրացումներ և փոփոխություններ կատարելու մասին» օրենքի նախագծի 3-րդ հոդվածով առաջարկվող՝</w:t>
            </w:r>
            <w:r w:rsidRPr="00F2718E">
              <w:rPr>
                <w:rFonts w:ascii="GHEA Grapalat" w:hAnsi="GHEA Grapalat"/>
                <w:b/>
                <w:bCs/>
                <w:lang w:val="hy-AM"/>
              </w:rPr>
              <w:t xml:space="preserve"> </w:t>
            </w:r>
            <w:r w:rsidRPr="00F2718E">
              <w:rPr>
                <w:rFonts w:ascii="GHEA Grapalat" w:hAnsi="GHEA Grapalat"/>
                <w:lang w:val="hy-AM"/>
              </w:rPr>
              <w:t>101.6-րդ հոդված</w:t>
            </w:r>
            <w:r w:rsidRPr="00F2718E">
              <w:rPr>
                <w:rFonts w:ascii="GHEA Grapalat" w:hAnsi="GHEA Grapalat"/>
                <w:color w:val="000000"/>
                <w:shd w:val="clear" w:color="auto" w:fill="FFFFFF"/>
                <w:lang w:val="hy-AM"/>
              </w:rPr>
              <w:t xml:space="preserve">ի 4-րդ մասով </w:t>
            </w:r>
            <w:r w:rsidRPr="00F2718E">
              <w:rPr>
                <w:rFonts w:ascii="GHEA Grapalat" w:hAnsi="GHEA Grapalat"/>
                <w:lang w:val="hy-AM"/>
              </w:rPr>
              <w:t>սահմանված իրավակարգավորումների շրջանակին: Նշվածով պայմանավորված՝ առաջարկում եմ սույն գրության 2-րդ կետով նշված  կարծիքը դիտարկել նաև քննարկվող դրույթի համատեքստում:</w:t>
            </w:r>
          </w:p>
          <w:p w14:paraId="4694A8F5" w14:textId="77777777" w:rsidR="00881AD5" w:rsidRPr="00F2718E" w:rsidRDefault="00881AD5" w:rsidP="00A961C5">
            <w:pPr>
              <w:spacing w:line="360" w:lineRule="auto"/>
              <w:jc w:val="center"/>
              <w:rPr>
                <w:rFonts w:ascii="GHEA Grapalat" w:hAnsi="GHEA Grapalat"/>
                <w:lang w:val="hy-AM"/>
              </w:rPr>
            </w:pPr>
          </w:p>
        </w:tc>
        <w:tc>
          <w:tcPr>
            <w:tcW w:w="7022" w:type="dxa"/>
            <w:gridSpan w:val="6"/>
          </w:tcPr>
          <w:p w14:paraId="502288F5" w14:textId="77777777" w:rsidR="001E39D6" w:rsidRPr="00F2718E" w:rsidRDefault="001E39D6"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57ED038E"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 xml:space="preserve">Դատարանների կողմից կայացվող որոշումները ձևի տեսանկյունից կայացվում են կա՛մ գրավոր՝ առանձին դատական ակտի ձևով կամ արձանագրային՝ դատական նիստի ընթացքում: </w:t>
            </w:r>
          </w:p>
          <w:p w14:paraId="3AAE55A6"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Պատճառաբանվածության պահանջը վերաբերում է բոլոր որոշումներին, այդ թվում՝ արձանագրային, ինչը ենթադրում է, որ հետաձգված բողոքարկման շրջանակներում վերադաս դատարաններն ունենալու են որոշման կայացման համար հիմք հանդիսացած դատարանի պատճառաբանություններին ծանոթանալու և դրանք գնահատելու հնարավորություն:</w:t>
            </w:r>
          </w:p>
          <w:p w14:paraId="4D188CD5"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Ինչ վերաբերում է արդյունավետ բողոքարկման կառուցակարգ ապահովելու նպատակով գրավոր որոշման կայացմանը, ապա այս որոշումն անմիջական բողոքարկման ենթակա դատական ակտ չի համարվում և հետաձգված բողոքարկման շրջանակներում վերադաս դատարանները յուրաքանչյուր դեպքում հնարավորություն են ունենալու գնահատել դատարանի կողմից կիրառված սահմանափակման իրավաչափությունը: Ընդ որում, որպես անմիջական բողոքարկման ենթակա դատական ակտ նշված որոշումը չի սահմանվել՝ հաշվի առնելով, որ անմիջական բողոքարկման ենթակա դատական ակտերի շարքում, որպես կանոն, սահմանվում են այն դատական ակտերը, որոնք խոչընդոտում են վարույթի հետագա ընթացքին, մինչդեռ նման միջանկյալ սահմանափակումը վարույթի ընթացքին խոչընդոտող չի հանդիսանում:</w:t>
            </w:r>
          </w:p>
        </w:tc>
      </w:tr>
      <w:tr w:rsidR="001E39D6" w:rsidRPr="00F2718E" w14:paraId="74F62B6C" w14:textId="77777777" w:rsidTr="00F260E8">
        <w:trPr>
          <w:trHeight w:val="511"/>
        </w:trPr>
        <w:tc>
          <w:tcPr>
            <w:tcW w:w="12563" w:type="dxa"/>
            <w:gridSpan w:val="6"/>
            <w:vMerge w:val="restart"/>
            <w:shd w:val="clear" w:color="auto" w:fill="D9D9D9" w:themeFill="background1" w:themeFillShade="D9"/>
          </w:tcPr>
          <w:p w14:paraId="3BC2ACCF"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lang w:val="hy-AM"/>
              </w:rPr>
              <w:t>11. Կենտրոնական ընտրական հանձնաժողով</w:t>
            </w:r>
          </w:p>
        </w:tc>
        <w:tc>
          <w:tcPr>
            <w:tcW w:w="2344" w:type="dxa"/>
            <w:gridSpan w:val="2"/>
            <w:shd w:val="clear" w:color="auto" w:fill="D9D9D9" w:themeFill="background1" w:themeFillShade="D9"/>
          </w:tcPr>
          <w:p w14:paraId="366C5498"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lang w:val="hy-AM"/>
              </w:rPr>
              <w:t>19.04.2024թ.</w:t>
            </w:r>
          </w:p>
        </w:tc>
      </w:tr>
      <w:tr w:rsidR="001E39D6" w:rsidRPr="00F2718E" w14:paraId="43A62E00" w14:textId="77777777" w:rsidTr="00F260E8">
        <w:trPr>
          <w:trHeight w:val="432"/>
        </w:trPr>
        <w:tc>
          <w:tcPr>
            <w:tcW w:w="12563" w:type="dxa"/>
            <w:gridSpan w:val="6"/>
            <w:vMerge/>
            <w:shd w:val="clear" w:color="auto" w:fill="D9D9D9" w:themeFill="background1" w:themeFillShade="D9"/>
          </w:tcPr>
          <w:p w14:paraId="22ECD721" w14:textId="77777777" w:rsidR="001E39D6" w:rsidRPr="00F2718E" w:rsidRDefault="001E39D6"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7305E16E"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rPr>
              <w:t>01/11/125-2024</w:t>
            </w:r>
          </w:p>
        </w:tc>
      </w:tr>
      <w:tr w:rsidR="00881AD5" w:rsidRPr="00F2718E" w14:paraId="1144267D" w14:textId="77777777" w:rsidTr="00F260E8">
        <w:trPr>
          <w:gridAfter w:val="1"/>
          <w:wAfter w:w="6" w:type="dxa"/>
        </w:trPr>
        <w:tc>
          <w:tcPr>
            <w:tcW w:w="7879" w:type="dxa"/>
          </w:tcPr>
          <w:p w14:paraId="593F8559" w14:textId="77777777" w:rsidR="001E39D6" w:rsidRPr="00F2718E" w:rsidRDefault="001E39D6"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Կենտրոնական ընտրական հանձնաժողովը դիտողություններ և առաջարկություններ չունի:</w:t>
            </w:r>
          </w:p>
          <w:p w14:paraId="74EB8EE1" w14:textId="77777777" w:rsidR="00881AD5" w:rsidRPr="00F2718E" w:rsidRDefault="00881AD5" w:rsidP="00A961C5">
            <w:pPr>
              <w:spacing w:line="360" w:lineRule="auto"/>
              <w:jc w:val="center"/>
              <w:rPr>
                <w:rFonts w:ascii="GHEA Grapalat" w:hAnsi="GHEA Grapalat"/>
              </w:rPr>
            </w:pPr>
          </w:p>
        </w:tc>
        <w:tc>
          <w:tcPr>
            <w:tcW w:w="7022" w:type="dxa"/>
            <w:gridSpan w:val="6"/>
          </w:tcPr>
          <w:p w14:paraId="0BD54EFE" w14:textId="77777777" w:rsidR="00881AD5" w:rsidRPr="00F2718E" w:rsidRDefault="001E39D6" w:rsidP="00A961C5">
            <w:pPr>
              <w:spacing w:line="360" w:lineRule="auto"/>
              <w:jc w:val="center"/>
              <w:rPr>
                <w:rFonts w:ascii="GHEA Grapalat" w:hAnsi="GHEA Grapalat"/>
              </w:rPr>
            </w:pPr>
            <w:r w:rsidRPr="00F2718E">
              <w:rPr>
                <w:rFonts w:ascii="GHEA Grapalat" w:hAnsi="GHEA Grapalat"/>
                <w:b/>
                <w:lang w:val="hy-AM"/>
              </w:rPr>
              <w:t>Ընդունվել է:</w:t>
            </w:r>
          </w:p>
        </w:tc>
      </w:tr>
      <w:tr w:rsidR="001E39D6" w:rsidRPr="00F2718E" w14:paraId="4A8CFEE5" w14:textId="77777777" w:rsidTr="00F260E8">
        <w:trPr>
          <w:trHeight w:val="517"/>
        </w:trPr>
        <w:tc>
          <w:tcPr>
            <w:tcW w:w="12563" w:type="dxa"/>
            <w:gridSpan w:val="6"/>
            <w:vMerge w:val="restart"/>
            <w:shd w:val="clear" w:color="auto" w:fill="D9D9D9" w:themeFill="background1" w:themeFillShade="D9"/>
          </w:tcPr>
          <w:p w14:paraId="7E85566F"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lang w:val="en-US"/>
              </w:rPr>
              <w:t>1</w:t>
            </w:r>
            <w:r w:rsidRPr="00F2718E">
              <w:rPr>
                <w:rFonts w:ascii="GHEA Grapalat" w:hAnsi="GHEA Grapalat"/>
                <w:b/>
                <w:lang w:val="hy-AM"/>
              </w:rPr>
              <w:t>2</w:t>
            </w:r>
            <w:r w:rsidRPr="00F2718E">
              <w:rPr>
                <w:rFonts w:ascii="GHEA Grapalat" w:hAnsi="GHEA Grapalat"/>
                <w:b/>
                <w:lang w:val="en-US"/>
              </w:rPr>
              <w:t xml:space="preserve">. </w:t>
            </w:r>
            <w:r w:rsidRPr="00F2718E">
              <w:rPr>
                <w:rFonts w:ascii="GHEA Grapalat" w:hAnsi="GHEA Grapalat"/>
                <w:b/>
                <w:lang w:val="hy-AM"/>
              </w:rPr>
              <w:t>Մրցակցության պաշտպանության հանձնաժողով</w:t>
            </w:r>
          </w:p>
        </w:tc>
        <w:tc>
          <w:tcPr>
            <w:tcW w:w="2344" w:type="dxa"/>
            <w:gridSpan w:val="2"/>
            <w:shd w:val="clear" w:color="auto" w:fill="D9D9D9" w:themeFill="background1" w:themeFillShade="D9"/>
          </w:tcPr>
          <w:p w14:paraId="5C51D609"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lang w:val="hy-AM"/>
              </w:rPr>
              <w:t>24.04.2024թ.</w:t>
            </w:r>
          </w:p>
        </w:tc>
      </w:tr>
      <w:tr w:rsidR="001E39D6" w:rsidRPr="00F2718E" w14:paraId="50397675" w14:textId="77777777" w:rsidTr="00F260E8">
        <w:trPr>
          <w:trHeight w:val="534"/>
        </w:trPr>
        <w:tc>
          <w:tcPr>
            <w:tcW w:w="12563" w:type="dxa"/>
            <w:gridSpan w:val="6"/>
            <w:vMerge/>
            <w:shd w:val="clear" w:color="auto" w:fill="D9D9D9" w:themeFill="background1" w:themeFillShade="D9"/>
          </w:tcPr>
          <w:p w14:paraId="1E1B790D" w14:textId="77777777" w:rsidR="001E39D6" w:rsidRPr="00F2718E" w:rsidRDefault="001E39D6"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1EFFA3BE" w14:textId="77777777" w:rsidR="001E39D6" w:rsidRPr="00F2718E" w:rsidRDefault="001E39D6" w:rsidP="00A961C5">
            <w:pPr>
              <w:spacing w:line="360" w:lineRule="auto"/>
              <w:jc w:val="center"/>
              <w:rPr>
                <w:rFonts w:ascii="GHEA Grapalat" w:hAnsi="GHEA Grapalat"/>
              </w:rPr>
            </w:pPr>
            <w:r w:rsidRPr="00F2718E">
              <w:rPr>
                <w:rFonts w:ascii="GHEA Grapalat" w:hAnsi="GHEA Grapalat"/>
                <w:b/>
                <w:lang w:val="hy-AM"/>
              </w:rPr>
              <w:t>/409-2024</w:t>
            </w:r>
          </w:p>
        </w:tc>
      </w:tr>
      <w:tr w:rsidR="00881AD5" w:rsidRPr="00F2718E" w14:paraId="26BE7678" w14:textId="77777777" w:rsidTr="00F260E8">
        <w:trPr>
          <w:gridAfter w:val="1"/>
          <w:wAfter w:w="6" w:type="dxa"/>
        </w:trPr>
        <w:tc>
          <w:tcPr>
            <w:tcW w:w="7879" w:type="dxa"/>
          </w:tcPr>
          <w:p w14:paraId="47823674" w14:textId="77777777" w:rsidR="001E39D6" w:rsidRPr="00F2718E" w:rsidRDefault="001E39D6"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lang w:val="hy-AM"/>
              </w:rPr>
              <w:t xml:space="preserve">1. «Հայաստանի Հանրապետության վարչական դատավարության օրենսգրքում լրացումներ և փոփոխություններ կատարելու մասին» օրենքի նախագծի (այսուհետ նաև՝ </w:t>
            </w:r>
            <w:r w:rsidRPr="00F2718E">
              <w:rPr>
                <w:rFonts w:ascii="GHEA Grapalat" w:hAnsi="GHEA Grapalat"/>
                <w:b/>
                <w:bCs/>
                <w:lang w:val="hy-AM"/>
              </w:rPr>
              <w:t>Նախագիծ</w:t>
            </w:r>
            <w:r w:rsidRPr="00F2718E">
              <w:rPr>
                <w:rFonts w:ascii="GHEA Grapalat" w:hAnsi="GHEA Grapalat"/>
                <w:lang w:val="hy-AM"/>
              </w:rPr>
              <w:t xml:space="preserve">) 3-րդ հոդվածով առաջարկվում է Հայաստանի Հանրապետության վարչական դատավարության օրենսգիրքը (այսուհետ նաև՝ </w:t>
            </w:r>
            <w:r w:rsidRPr="00F2718E">
              <w:rPr>
                <w:rFonts w:ascii="GHEA Grapalat" w:hAnsi="GHEA Grapalat"/>
                <w:b/>
                <w:bCs/>
                <w:lang w:val="hy-AM"/>
              </w:rPr>
              <w:t>Օրենսգիրք</w:t>
            </w:r>
            <w:r w:rsidRPr="00F2718E">
              <w:rPr>
                <w:rFonts w:ascii="GHEA Grapalat" w:hAnsi="GHEA Grapalat"/>
                <w:lang w:val="hy-AM"/>
              </w:rPr>
              <w:t xml:space="preserve">) լրացնել 101.3-րդ հոդվածով, որով սահմանվում է դատական նիստից դուրս դատական տուգանք սանկցիայի տեսակի կիրառման առանձնահատկությունները։ </w:t>
            </w:r>
          </w:p>
          <w:p w14:paraId="696FD2B6" w14:textId="77777777" w:rsidR="001E39D6" w:rsidRPr="00F2718E" w:rsidRDefault="001E39D6"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Նշվածի համատեքստում առաջարկում ենք դատական տուգանք սանկցիայի կիրառման հնարավորություն նախատեսել ոչ միայն դատավարության մասնակցի (ինչպես նախատեսված է Նախագծում), այլև այլ անձանց դրսևորած այնպիսի վարքագծի կամ կատարած այնպիսի արարքի նկատմամբ, որը կարող է հանգեցնել դատական տուգանքի կիրառման։ </w:t>
            </w:r>
          </w:p>
          <w:p w14:paraId="01F37067" w14:textId="77777777" w:rsidR="001E39D6" w:rsidRPr="00F2718E" w:rsidRDefault="001E39D6"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Ինչ վերաբերում է դատական նիստից դուրս դատական տուգանքի կիրառման դեպքում պարզաբանում ստանալու վերաբերյալ դատարանի պարտականությունը սահմանող օրենսդրական պահանջին՝ առաջարկում ենք նշված պահանջն ամրագրել միայն այն դեպքում, երբ դատարանը հանգում է դրա անհրաժեշտության վերաբերյալ եզրահանգմանը։ Մասնավորապես, գործնականում կարող են հանդիպել այնպիսի իրավիճակներ (օրինակ՝ դատավարական փաստաթղթում դատարանի նկատմամբ անհարգալից վերաբերմունք պարունակող արտահայտություններ կատարելը), երբ պարզաբանում ստանալու անհրաժեշտությունը օբյեկտիվորեն բացակայում է և, ըստ էության, կրում է ձևական բնույթ։</w:t>
            </w:r>
          </w:p>
          <w:p w14:paraId="732BE28D"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olor w:val="000000"/>
                <w:shd w:val="clear" w:color="auto" w:fill="FFFFFF"/>
                <w:lang w:val="hy-AM"/>
              </w:rPr>
              <w:t xml:space="preserve">Սույն դիտարկումը վերաբերում է նաև </w:t>
            </w:r>
            <w:r w:rsidRPr="00F2718E">
              <w:rPr>
                <w:rFonts w:ascii="GHEA Grapalat" w:hAnsi="GHEA Grapalat" w:cs="GHEA Grapalat"/>
                <w:color w:val="222222"/>
                <w:lang w:val="hy-AM"/>
              </w:rPr>
              <w:t>«</w:t>
            </w: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օրենքի նախագծի 6-րդ հոդվածով լրացվող 155.1-րդ հոդվածին։</w:t>
            </w:r>
          </w:p>
        </w:tc>
        <w:tc>
          <w:tcPr>
            <w:tcW w:w="7022" w:type="dxa"/>
            <w:gridSpan w:val="6"/>
          </w:tcPr>
          <w:p w14:paraId="759F31D5" w14:textId="32745224" w:rsidR="001E39D6" w:rsidRPr="00F2718E" w:rsidRDefault="001E39D6" w:rsidP="00A961C5">
            <w:pPr>
              <w:spacing w:line="360" w:lineRule="auto"/>
              <w:jc w:val="center"/>
              <w:rPr>
                <w:rFonts w:ascii="GHEA Grapalat" w:hAnsi="GHEA Grapalat"/>
                <w:b/>
                <w:lang w:val="hy-AM"/>
              </w:rPr>
            </w:pPr>
            <w:r w:rsidRPr="00F2718E">
              <w:rPr>
                <w:rFonts w:ascii="GHEA Grapalat" w:hAnsi="GHEA Grapalat"/>
                <w:b/>
                <w:lang w:val="hy-AM"/>
              </w:rPr>
              <w:t>Մասամբ է ընդունվել</w:t>
            </w:r>
            <w:r w:rsidR="00635019" w:rsidRPr="00F2718E">
              <w:rPr>
                <w:rFonts w:ascii="GHEA Grapalat" w:hAnsi="GHEA Grapalat"/>
                <w:b/>
                <w:lang w:val="hy-AM"/>
              </w:rPr>
              <w:t>:</w:t>
            </w:r>
          </w:p>
          <w:p w14:paraId="7747BDD3"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 xml:space="preserve">Նախագծերով առաջարկվել է սահմանել դատական նիստից դուրս դատական տուգանքի կիրառում դատավարության մասնակիցների նկատմամբ, ինչը ենթադրում է, որ նիստից դուրս տուգանքի կիրառման հնարավորությունը կարող է քննարկվել վարչական դատավարության դեպքում՝ կողմերի, երրորդ անձանց, իսկ քաղաքացիական դատավարության դեպքում՝  գործին մասնակցող անձանց, նրանց ներկայացուցիչների, վկայի, փորձագետի, մասնագետի, թարգմանիչի, իրավասու անձանց և մարմինների նկատմամբ: </w:t>
            </w:r>
          </w:p>
          <w:p w14:paraId="164A34D3" w14:textId="7777777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Վարչական դատավարության օրենսգրքում դատավարությանը մասնակցող անձանց նկատմամբ դատական նիստից դուրս դատական սանկցիա կիրառելու հնարավորության մասով նախագիծը լրամշակվել է:</w:t>
            </w:r>
          </w:p>
          <w:p w14:paraId="37D94F28"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Ինչ վերաբերում է առանց պարզաբանում պահանջելու տուգանքի կիրառման հնարավորությանը, ապա կարծում ենք, որ նման կարգավորումը կարող է խնդրահարույց լինել անձի լսված լինելու իրավունքի տեսանկյունից՝ հաշվի առնելով, որ անձը կարող է ընդունել իր արարքի հակաիրավականությունը, հայցել դատարանի ներողամտությունը կամ ներկայացնել այլ փաստարկներ, որոնց գնահատման արդյունքում դատարանը դատական տուգանք չի կիրառի:</w:t>
            </w:r>
          </w:p>
        </w:tc>
      </w:tr>
      <w:tr w:rsidR="00881AD5" w:rsidRPr="00F2718E" w14:paraId="1A3AF371" w14:textId="77777777" w:rsidTr="00F260E8">
        <w:trPr>
          <w:gridAfter w:val="1"/>
          <w:wAfter w:w="6" w:type="dxa"/>
        </w:trPr>
        <w:tc>
          <w:tcPr>
            <w:tcW w:w="7879" w:type="dxa"/>
          </w:tcPr>
          <w:p w14:paraId="73D39143" w14:textId="77777777" w:rsidR="001E39D6" w:rsidRPr="00F2718E" w:rsidRDefault="001E39D6" w:rsidP="00A961C5">
            <w:pPr>
              <w:pStyle w:val="Default"/>
              <w:tabs>
                <w:tab w:val="left" w:pos="851"/>
              </w:tabs>
              <w:spacing w:line="360" w:lineRule="auto"/>
              <w:jc w:val="both"/>
              <w:rPr>
                <w:rFonts w:ascii="GHEA Grapalat" w:hAnsi="GHEA Grapalat"/>
                <w:shd w:val="clear" w:color="auto" w:fill="FFFFFF"/>
                <w:lang w:val="hy-AM"/>
              </w:rPr>
            </w:pPr>
            <w:r w:rsidRPr="00F2718E">
              <w:rPr>
                <w:rFonts w:ascii="GHEA Grapalat" w:hAnsi="GHEA Grapalat"/>
                <w:lang w:val="hy-AM"/>
              </w:rPr>
              <w:t xml:space="preserve">2. </w:t>
            </w:r>
            <w:r w:rsidRPr="00F2718E">
              <w:rPr>
                <w:rFonts w:ascii="GHEA Grapalat" w:hAnsi="GHEA Grapalat" w:cs="GHEA Grapalat"/>
                <w:color w:val="222222"/>
                <w:lang w:val="hy-AM" w:eastAsia="en-US"/>
              </w:rPr>
              <w:t xml:space="preserve">Նախագծի </w:t>
            </w:r>
            <w:r w:rsidRPr="00F2718E">
              <w:rPr>
                <w:rFonts w:ascii="GHEA Grapalat" w:hAnsi="GHEA Grapalat"/>
                <w:lang w:val="hy-AM"/>
              </w:rPr>
              <w:t xml:space="preserve">3-րդ հոդվածով առաջարկվում է Օրենսգիրքը լրացնել </w:t>
            </w:r>
            <w:r w:rsidRPr="00F2718E">
              <w:rPr>
                <w:rFonts w:ascii="GHEA Grapalat" w:hAnsi="GHEA Grapalat"/>
                <w:shd w:val="clear" w:color="auto" w:fill="FFFFFF"/>
                <w:lang w:val="hy-AM"/>
              </w:rPr>
              <w:t xml:space="preserve">101.4-րդ հոդվածով, որի համաձայն՝ </w:t>
            </w:r>
          </w:p>
          <w:p w14:paraId="1678B5F9" w14:textId="77777777" w:rsidR="001E39D6" w:rsidRPr="00F2718E" w:rsidRDefault="001E39D6" w:rsidP="00A961C5">
            <w:pPr>
              <w:pStyle w:val="ListParagraph"/>
              <w:tabs>
                <w:tab w:val="left" w:pos="851"/>
              </w:tabs>
              <w:spacing w:after="0" w:line="360" w:lineRule="auto"/>
              <w:ind w:left="0"/>
              <w:jc w:val="both"/>
              <w:rPr>
                <w:rFonts w:ascii="GHEA Grapalat" w:hAnsi="GHEA Grapalat"/>
                <w:i/>
                <w:iCs/>
                <w:color w:val="000000"/>
                <w:sz w:val="24"/>
                <w:szCs w:val="24"/>
                <w:shd w:val="clear" w:color="auto" w:fill="FFFFFF"/>
                <w:lang w:val="hy-AM"/>
              </w:rPr>
            </w:pPr>
            <w:r w:rsidRPr="00F2718E">
              <w:rPr>
                <w:rFonts w:ascii="GHEA Grapalat" w:hAnsi="GHEA Grapalat"/>
                <w:i/>
                <w:iCs/>
                <w:color w:val="000000"/>
                <w:sz w:val="24"/>
                <w:szCs w:val="24"/>
                <w:shd w:val="clear" w:color="auto" w:fill="FFFFFF"/>
                <w:lang w:val="hy-AM"/>
              </w:rPr>
              <w:t>1. Դատարանը կարող է դատական տուգանքի չափը նվազեցնել կամ այն վերացնել այն անձի կամ նրա ներկայացուցչի միջնորդությամբ, ում նկատմամբ կիրառվել է տուգանքը, բացառությամբ սույն օրենսգրքի 101.5-րդ հոդվածով սահմանված դեպքերի:</w:t>
            </w:r>
          </w:p>
          <w:p w14:paraId="2FE9C409"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2. Դատական տուգանքի չափը նվազեցնելու կամ այն վերացնելու միջնորդությունը կարող է ներկայացվել դատական տուգանք կիրառելու մասին որոշումը ստանալու պահից յոթնօրյա ժամկետում:</w:t>
            </w:r>
          </w:p>
          <w:p w14:paraId="3612580D"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3. Դատական տուգանքի չափը նվազեցնելու կամ այն վերացնելու միջնորդությունը լուծվում է առանց դատական նիստ հրավիրելու՝ այն ստանալու օրվանից տասնօրյա ժամկետում:</w:t>
            </w:r>
          </w:p>
          <w:p w14:paraId="78C8A8D6"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4. Դատական տուգանքի չափը նվազեցնելու կամ այն վերացնելու միջնորդության քննության արդյունքներով կայացվում է որոշում:</w:t>
            </w:r>
          </w:p>
          <w:p w14:paraId="450209D6"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5. Դատական տուգանքի չափը նվազեցնելու կամ այն վերացնելու միջնորդությունը մերժելու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w:t>
            </w:r>
          </w:p>
          <w:p w14:paraId="7A402663"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6. Դատական տուգանքի չափը նվազեցնելու կամ այն վերացնելու միջնորդությունը մերժելու մասին դատարանի որոշումն ուժի մեջ է մտնում կայացման պահից, և դրա հիման վրա կազմված կատարողական թերթը ուղարկվում է հարկադիր կատարման, եթե ուժի մեջ մտնելու օրվանից մեկ ամսվա ընթացքում կամովին չի կատարվում: Որոշումը կատարվում է «Դատական ակտերի հարկադիր կատարման մասին» օրենքով սահմանված կարգով:</w:t>
            </w:r>
          </w:p>
          <w:p w14:paraId="0A0DA765"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 xml:space="preserve">7. Դատական տուգանքի չափը նվազեցնելու կամ այն վերացնելու միջնորդությունը մերժելու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w:t>
            </w:r>
          </w:p>
          <w:p w14:paraId="48DB71E2" w14:textId="77777777" w:rsidR="001E39D6" w:rsidRPr="00F2718E" w:rsidRDefault="001E39D6" w:rsidP="00A961C5">
            <w:pPr>
              <w:tabs>
                <w:tab w:val="left" w:pos="851"/>
              </w:tabs>
              <w:spacing w:line="360" w:lineRule="auto"/>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8. Եթե վերաքննիչ կամ Վճռաբեկ դատարանը վերացնում է դատական տուգանքի չափը նվազեցնելու կամ վերացնելու միջնորդությունը մերժելու մասին որոշումը և վերացնում կամ նվազեցնում է դատական տուգանքը, ապա դատական ակտով լուծում է նաև նախապես վճարված տուգանքի կամ դրա ավել մասի վերադարձի հարցը:</w:t>
            </w:r>
          </w:p>
          <w:p w14:paraId="25ACBAAD" w14:textId="77777777" w:rsidR="001E39D6" w:rsidRPr="00F2718E" w:rsidRDefault="001E39D6" w:rsidP="00A961C5">
            <w:pPr>
              <w:pStyle w:val="ListParagraph"/>
              <w:tabs>
                <w:tab w:val="left" w:pos="851"/>
              </w:tabs>
              <w:spacing w:line="360" w:lineRule="auto"/>
              <w:ind w:left="0"/>
              <w:jc w:val="both"/>
              <w:rPr>
                <w:rFonts w:ascii="GHEA Grapalat" w:hAnsi="GHEA Grapalat"/>
                <w:sz w:val="24"/>
                <w:szCs w:val="24"/>
                <w:lang w:val="hy-AM"/>
              </w:rPr>
            </w:pPr>
            <w:r w:rsidRPr="00F2718E">
              <w:rPr>
                <w:rFonts w:ascii="GHEA Grapalat" w:hAnsi="GHEA Grapalat"/>
                <w:sz w:val="24"/>
                <w:szCs w:val="24"/>
                <w:lang w:val="hy-AM"/>
              </w:rPr>
              <w:t>Վերոգրյալ դրույթների համակարգային վերլուծությունից հետևում է, որ դատական տուգանքի չափը նվազեցնելու կամ այն վերացնելու վերաբերյալ միջնորդությունն անձը կամ նրա ներկայացուցիչը պետք է ներկայացնի դատական տուգանք կիրառելու մասին որոշումը կայացրած դատարան, որից հետո միայն դատական տուգանքի չափը նվազեցնելու կամ այն վերացնելու միջնորդությունը մերժելու մասին առաջին ատյանի դատարանի կամ վերաքննիչ դատարանի որոշումը կարող է բողոքարկվել համապատասխանաբար վերաքննիչ կամ Վճռաբեկ դատարան։</w:t>
            </w:r>
          </w:p>
          <w:p w14:paraId="6E8254F0" w14:textId="77777777" w:rsidR="001E39D6" w:rsidRPr="00F2718E" w:rsidRDefault="001E39D6" w:rsidP="00A961C5">
            <w:pPr>
              <w:pStyle w:val="ListParagraph"/>
              <w:tabs>
                <w:tab w:val="left" w:pos="851"/>
              </w:tabs>
              <w:spacing w:line="360" w:lineRule="auto"/>
              <w:ind w:left="0"/>
              <w:jc w:val="both"/>
              <w:rPr>
                <w:rFonts w:ascii="GHEA Grapalat" w:hAnsi="GHEA Grapalat"/>
                <w:sz w:val="24"/>
                <w:szCs w:val="24"/>
                <w:lang w:val="hy-AM"/>
              </w:rPr>
            </w:pPr>
            <w:r w:rsidRPr="00F2718E">
              <w:rPr>
                <w:rFonts w:ascii="GHEA Grapalat" w:hAnsi="GHEA Grapalat"/>
                <w:sz w:val="24"/>
                <w:szCs w:val="24"/>
                <w:lang w:val="hy-AM"/>
              </w:rPr>
              <w:t>Նշված դրույթի նախատեսումը խնդրահարույց է այն տեսանկյունից, որ նոր փաստարկների և (կամ) հիմքերի բացակայության պայմաններում դատական տուգանք կիրառած դատարանին համապատասխան միջնորդություն ներակայացնելու դեպքում տվյալ դատարանը դառնում է իր իսկ կայացրած որոշումը վերանայող մարմին` ըստ այդմ անհարկի հանգեցնելով նաև դատարանների ծանրաբեռնվածության։ Մինչդեռ, Նախագծով անհրաժեշտ է նախատեսել այն հիմքերի շրջանակը, որի պայմաններում անձը հնարավորություն կունենա ներկայացնելու համապատասխան միջնորդությունը, քանի որ, ըստ էության, տուգանքի կիրառման փաստարկների և հիմքերի նույնական լինելու պայմաններում նշված միջնորդության ներկայացումը այն կիրառած դատարանին դառնում է իմաստազուրկ։ Ըստ այդմ՝ առաջարկում ենք նախատեսել իրավակարգավորման հետևյալ երկու մեխանիզմները.</w:t>
            </w:r>
          </w:p>
          <w:p w14:paraId="19017014" w14:textId="77777777" w:rsidR="001E39D6" w:rsidRPr="00F2718E" w:rsidRDefault="001E39D6" w:rsidP="00A961C5">
            <w:pPr>
              <w:pStyle w:val="ListParagraph"/>
              <w:numPr>
                <w:ilvl w:val="0"/>
                <w:numId w:val="1"/>
              </w:numPr>
              <w:tabs>
                <w:tab w:val="left" w:pos="851"/>
              </w:tabs>
              <w:spacing w:line="360" w:lineRule="auto"/>
              <w:ind w:left="0" w:firstLine="0"/>
              <w:jc w:val="both"/>
              <w:rPr>
                <w:rFonts w:ascii="GHEA Grapalat" w:hAnsi="GHEA Grapalat"/>
                <w:sz w:val="24"/>
                <w:szCs w:val="24"/>
                <w:lang w:val="hy-AM"/>
              </w:rPr>
            </w:pPr>
            <w:r w:rsidRPr="00F2718E">
              <w:rPr>
                <w:rFonts w:ascii="GHEA Grapalat" w:hAnsi="GHEA Grapalat"/>
                <w:sz w:val="24"/>
                <w:szCs w:val="24"/>
                <w:lang w:val="hy-AM"/>
              </w:rPr>
              <w:t>արդեն իսկ քննարկված և դատական սանկցիա կիրառելու հիմքում դրված փաստերի շրջանակում դատական տուգանքի իրավաչափության վիճարկումն իրականացնել վերադաս դատական ատյանում.</w:t>
            </w:r>
          </w:p>
          <w:p w14:paraId="67357087" w14:textId="77777777" w:rsidR="001E39D6" w:rsidRPr="00F2718E" w:rsidRDefault="001E39D6" w:rsidP="00A961C5">
            <w:pPr>
              <w:pStyle w:val="ListParagraph"/>
              <w:numPr>
                <w:ilvl w:val="0"/>
                <w:numId w:val="1"/>
              </w:numPr>
              <w:tabs>
                <w:tab w:val="left" w:pos="851"/>
              </w:tabs>
              <w:spacing w:line="360" w:lineRule="auto"/>
              <w:ind w:left="0" w:firstLine="0"/>
              <w:jc w:val="both"/>
              <w:rPr>
                <w:rFonts w:ascii="GHEA Grapalat" w:hAnsi="GHEA Grapalat"/>
                <w:sz w:val="24"/>
                <w:szCs w:val="24"/>
                <w:lang w:val="hy-AM"/>
              </w:rPr>
            </w:pPr>
            <w:r w:rsidRPr="00F2718E">
              <w:rPr>
                <w:rFonts w:ascii="GHEA Grapalat" w:hAnsi="GHEA Grapalat"/>
                <w:sz w:val="24"/>
                <w:szCs w:val="24"/>
                <w:lang w:val="hy-AM"/>
              </w:rPr>
              <w:t>նոր փաստերի ներկայացման դեպքում, որոնք կարող են հանգեցնել դատարանի համոզմունքի փոփոխման, նշանակված դատական տուգանքի չափը նվազեցնելու կամ այն վերացնելու վերաբերյալ միջնորդության քննությունն իրականացնել նշված դատական սանկցիան կիրառած դատարանի կողմից։</w:t>
            </w:r>
          </w:p>
          <w:p w14:paraId="082ACCE7" w14:textId="77777777" w:rsidR="001E39D6" w:rsidRPr="00F2718E" w:rsidRDefault="001E39D6" w:rsidP="00A961C5">
            <w:pPr>
              <w:pStyle w:val="ListParagraph"/>
              <w:tabs>
                <w:tab w:val="left" w:pos="851"/>
              </w:tabs>
              <w:spacing w:line="360" w:lineRule="auto"/>
              <w:ind w:left="0"/>
              <w:jc w:val="both"/>
              <w:rPr>
                <w:rFonts w:ascii="GHEA Grapalat" w:hAnsi="GHEA Grapalat"/>
                <w:sz w:val="24"/>
                <w:szCs w:val="24"/>
                <w:lang w:val="hy-AM"/>
              </w:rPr>
            </w:pPr>
            <w:r w:rsidRPr="00F2718E">
              <w:rPr>
                <w:rFonts w:ascii="GHEA Grapalat" w:hAnsi="GHEA Grapalat"/>
                <w:sz w:val="24"/>
                <w:szCs w:val="24"/>
                <w:lang w:val="hy-AM"/>
              </w:rPr>
              <w:t>Ընդ որում, առաջարկում ենք նախատեսել նաև համապատասխան կարգավորում այն մասին, թե դատական տուգանք կիրառելու մասին որոշումը վերադաս դատարան բողոքարկվելու դեպքում ինչ տեսակի որոշումներ կարող են կայացվել վերջինիս կողմից, մասնավորապես՝ կայացված միջանկյալ դատական ակտի փոփոխման, ինչպես նաև կիրառված դատական տուգանքի վերացման և փոփոխության մասով։</w:t>
            </w:r>
          </w:p>
          <w:p w14:paraId="6D0375EF" w14:textId="77777777" w:rsidR="001E39D6" w:rsidRPr="00F2718E" w:rsidRDefault="001E39D6" w:rsidP="00A961C5">
            <w:pPr>
              <w:pStyle w:val="ListParagraph"/>
              <w:tabs>
                <w:tab w:val="left" w:pos="851"/>
              </w:tabs>
              <w:spacing w:line="360" w:lineRule="auto"/>
              <w:ind w:left="0"/>
              <w:jc w:val="both"/>
              <w:rPr>
                <w:rFonts w:ascii="GHEA Grapalat" w:hAnsi="GHEA Grapalat"/>
                <w:sz w:val="24"/>
                <w:szCs w:val="24"/>
                <w:lang w:val="hy-AM"/>
              </w:rPr>
            </w:pPr>
            <w:r w:rsidRPr="00F2718E">
              <w:rPr>
                <w:rFonts w:ascii="GHEA Grapalat" w:hAnsi="GHEA Grapalat"/>
                <w:sz w:val="24"/>
                <w:szCs w:val="24"/>
                <w:lang w:val="hy-AM"/>
              </w:rPr>
              <w:t xml:space="preserve">Սույն դիտարկումը վերաբերում է նաև </w:t>
            </w:r>
            <w:r w:rsidRPr="00F2718E">
              <w:rPr>
                <w:rFonts w:ascii="GHEA Grapalat" w:hAnsi="GHEA Grapalat" w:cs="GHEA Grapalat"/>
                <w:color w:val="222222"/>
                <w:sz w:val="24"/>
                <w:szCs w:val="24"/>
                <w:lang w:val="hy-AM"/>
              </w:rPr>
              <w:t>«</w:t>
            </w:r>
            <w:r w:rsidRPr="00F2718E">
              <w:rPr>
                <w:rFonts w:ascii="GHEA Grapalat" w:hAnsi="GHEA Grapalat"/>
                <w:sz w:val="24"/>
                <w:szCs w:val="24"/>
                <w:lang w:val="hy-AM"/>
              </w:rPr>
              <w:t>Հայաստանի Հանրապետության քաղաքացիական դատավարության օրենսգրքում փոփոխություններ և լրացումներ կատարելու մասին» օրենքի նախագծի 6-րդ հոդվածով լրացվող 155.2-րդ հոդվածին։</w:t>
            </w:r>
          </w:p>
          <w:p w14:paraId="38D03E9F" w14:textId="77777777" w:rsidR="00881AD5" w:rsidRPr="00F2718E" w:rsidRDefault="001E39D6" w:rsidP="00A961C5">
            <w:pPr>
              <w:pStyle w:val="ListParagraph"/>
              <w:tabs>
                <w:tab w:val="left" w:pos="851"/>
              </w:tabs>
              <w:spacing w:line="360" w:lineRule="auto"/>
              <w:ind w:left="0"/>
              <w:jc w:val="both"/>
              <w:rPr>
                <w:rFonts w:ascii="GHEA Grapalat" w:hAnsi="GHEA Grapalat"/>
                <w:sz w:val="24"/>
                <w:szCs w:val="24"/>
                <w:lang w:val="hy-AM"/>
              </w:rPr>
            </w:pPr>
            <w:r w:rsidRPr="00F2718E">
              <w:rPr>
                <w:rFonts w:ascii="GHEA Grapalat" w:hAnsi="GHEA Grapalat"/>
                <w:sz w:val="24"/>
                <w:szCs w:val="24"/>
                <w:lang w:val="hy-AM"/>
              </w:rPr>
              <w:t>Միաժամանակ առաջարկում ենք նշված դրույթի 5-րդ և 7-րդ մասերը համապատասխանաբար ճշգրտել՝ հաշվի առնելով դրանց նույնական լինելը։</w:t>
            </w:r>
          </w:p>
        </w:tc>
        <w:tc>
          <w:tcPr>
            <w:tcW w:w="7022" w:type="dxa"/>
            <w:gridSpan w:val="6"/>
          </w:tcPr>
          <w:p w14:paraId="3ABFF590"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713C6F60" w14:textId="0C8F754F"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Նախագծերից հանվել են</w:t>
            </w:r>
            <w:r w:rsidRPr="00F2718E">
              <w:rPr>
                <w:rFonts w:ascii="GHEA Grapalat" w:hAnsi="GHEA Grapalat"/>
                <w:shd w:val="clear" w:color="auto" w:fill="FFFFFF"/>
                <w:lang w:val="hy-AM"/>
              </w:rPr>
              <w:t xml:space="preserve"> առաջարկվող </w:t>
            </w:r>
            <w:r>
              <w:rPr>
                <w:rFonts w:ascii="GHEA Grapalat" w:hAnsi="GHEA Grapalat"/>
                <w:lang w:val="hy-AM"/>
              </w:rPr>
              <w:t>101</w:t>
            </w:r>
            <w:r w:rsidRPr="00F2718E">
              <w:rPr>
                <w:rFonts w:ascii="GHEA Grapalat" w:hAnsi="GHEA Grapalat"/>
                <w:lang w:val="hy-AM"/>
              </w:rPr>
              <w:t>.</w:t>
            </w:r>
            <w:r>
              <w:rPr>
                <w:rFonts w:ascii="GHEA Grapalat" w:hAnsi="GHEA Grapalat"/>
                <w:lang w:val="hy-AM"/>
              </w:rPr>
              <w:t>4</w:t>
            </w:r>
            <w:r w:rsidRPr="00F2718E">
              <w:rPr>
                <w:rFonts w:ascii="GHEA Grapalat" w:hAnsi="GHEA Grapalat"/>
                <w:lang w:val="hy-AM"/>
              </w:rPr>
              <w:t>-</w:t>
            </w:r>
            <w:r>
              <w:rPr>
                <w:rFonts w:ascii="GHEA Grapalat" w:hAnsi="GHEA Grapalat"/>
                <w:lang w:val="hy-AM"/>
              </w:rPr>
              <w:t xml:space="preserve">րդ և </w:t>
            </w:r>
            <w:r>
              <w:rPr>
                <w:rFonts w:ascii="GHEA Grapalat" w:hAnsi="GHEA Grapalat"/>
                <w:lang w:val="en-US"/>
              </w:rPr>
              <w:t>155.2-</w:t>
            </w:r>
            <w:r>
              <w:rPr>
                <w:rFonts w:ascii="GHEA Grapalat" w:hAnsi="GHEA Grapalat"/>
                <w:lang w:val="hy-AM"/>
              </w:rPr>
              <w:t>րդ</w:t>
            </w:r>
            <w:r w:rsidRPr="00F2718E">
              <w:rPr>
                <w:rFonts w:ascii="GHEA Grapalat" w:hAnsi="GHEA Grapalat"/>
                <w:lang w:val="hy-AM"/>
              </w:rPr>
              <w:t xml:space="preserve"> </w:t>
            </w:r>
            <w:r>
              <w:rPr>
                <w:rFonts w:ascii="GHEA Grapalat" w:hAnsi="GHEA Grapalat"/>
                <w:lang w:val="hy-AM"/>
              </w:rPr>
              <w:t>հոդվածները:</w:t>
            </w:r>
          </w:p>
          <w:p w14:paraId="3AC16FB8" w14:textId="77777777" w:rsidR="002865D9" w:rsidRPr="00F2718E" w:rsidRDefault="002865D9" w:rsidP="00A961C5">
            <w:pPr>
              <w:pStyle w:val="ListParagraph"/>
              <w:tabs>
                <w:tab w:val="left" w:pos="851"/>
              </w:tabs>
              <w:spacing w:line="360" w:lineRule="auto"/>
              <w:ind w:left="0"/>
              <w:jc w:val="both"/>
              <w:rPr>
                <w:rFonts w:ascii="GHEA Grapalat" w:hAnsi="GHEA Grapalat"/>
                <w:sz w:val="24"/>
                <w:szCs w:val="24"/>
                <w:lang w:val="hy-AM"/>
              </w:rPr>
            </w:pPr>
          </w:p>
          <w:p w14:paraId="29E7CB39" w14:textId="77777777" w:rsidR="002865D9" w:rsidRPr="00F2718E" w:rsidRDefault="002865D9" w:rsidP="00A961C5">
            <w:pPr>
              <w:pStyle w:val="ListParagraph"/>
              <w:tabs>
                <w:tab w:val="left" w:pos="851"/>
              </w:tabs>
              <w:spacing w:line="360" w:lineRule="auto"/>
              <w:ind w:left="0"/>
              <w:jc w:val="both"/>
              <w:rPr>
                <w:rFonts w:ascii="GHEA Grapalat" w:hAnsi="GHEA Grapalat"/>
                <w:sz w:val="24"/>
                <w:szCs w:val="24"/>
                <w:lang w:val="hy-AM"/>
              </w:rPr>
            </w:pPr>
          </w:p>
          <w:p w14:paraId="3C6C1A55" w14:textId="77777777" w:rsidR="00881AD5" w:rsidRPr="00F2718E" w:rsidRDefault="00881AD5" w:rsidP="00A961C5">
            <w:pPr>
              <w:spacing w:line="360" w:lineRule="auto"/>
              <w:jc w:val="center"/>
              <w:rPr>
                <w:rFonts w:ascii="GHEA Grapalat" w:hAnsi="GHEA Grapalat"/>
                <w:lang w:val="hy-AM"/>
              </w:rPr>
            </w:pPr>
          </w:p>
        </w:tc>
      </w:tr>
      <w:tr w:rsidR="00881AD5" w:rsidRPr="00F2718E" w14:paraId="28224B1B" w14:textId="77777777" w:rsidTr="00F260E8">
        <w:trPr>
          <w:gridAfter w:val="1"/>
          <w:wAfter w:w="6" w:type="dxa"/>
        </w:trPr>
        <w:tc>
          <w:tcPr>
            <w:tcW w:w="7879" w:type="dxa"/>
          </w:tcPr>
          <w:p w14:paraId="6299F13E" w14:textId="77777777" w:rsidR="001E39D6" w:rsidRPr="00F2718E" w:rsidRDefault="001E39D6" w:rsidP="00A961C5">
            <w:pPr>
              <w:shd w:val="clear" w:color="auto" w:fill="FFFFFF"/>
              <w:tabs>
                <w:tab w:val="left" w:pos="851"/>
              </w:tabs>
              <w:spacing w:line="360" w:lineRule="auto"/>
              <w:jc w:val="both"/>
              <w:rPr>
                <w:rFonts w:ascii="GHEA Grapalat" w:hAnsi="GHEA Grapalat"/>
                <w:lang w:val="hy-AM"/>
              </w:rPr>
            </w:pPr>
            <w:r w:rsidRPr="00F2718E">
              <w:rPr>
                <w:rFonts w:ascii="GHEA Grapalat" w:hAnsi="GHEA Grapalat"/>
                <w:lang w:val="hy-AM"/>
              </w:rPr>
              <w:t xml:space="preserve">3. Նախագծի 3-րդ հոդվածով առաջարկվում է Օրենսգիրքը լրացնել 101.6-րդ հոդվածով, որով սահմանվում է իրավունքի իրականացման սահմանափակում կիրառելու առանձնահատկությունները։ </w:t>
            </w:r>
          </w:p>
          <w:p w14:paraId="46C8C465" w14:textId="77777777" w:rsidR="001E39D6" w:rsidRPr="00F2718E" w:rsidRDefault="001E39D6" w:rsidP="00A961C5">
            <w:pPr>
              <w:shd w:val="clear" w:color="auto" w:fill="FFFFFF"/>
              <w:tabs>
                <w:tab w:val="left" w:pos="851"/>
              </w:tabs>
              <w:spacing w:line="360" w:lineRule="auto"/>
              <w:jc w:val="both"/>
              <w:rPr>
                <w:rFonts w:ascii="GHEA Grapalat" w:hAnsi="GHEA Grapalat"/>
                <w:lang w:val="hy-AM"/>
              </w:rPr>
            </w:pPr>
            <w:r w:rsidRPr="00F2718E">
              <w:rPr>
                <w:rFonts w:ascii="GHEA Grapalat" w:hAnsi="GHEA Grapalat"/>
                <w:lang w:val="hy-AM"/>
              </w:rPr>
              <w:t xml:space="preserve">Մասնավորապես՝ Օրենսգրքի 101.6-րդ հոդվածի համաձայն՝ </w:t>
            </w:r>
          </w:p>
          <w:p w14:paraId="1F232D9C"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1. Իրավունքի իրականացման սահմանափակումը դատավարության մասնակցի`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p>
          <w:p w14:paraId="23998820"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2. Սույն 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i/>
                <w:iCs/>
                <w:color w:val="000000"/>
                <w:shd w:val="clear" w:color="auto" w:fill="FFFFFF"/>
                <w:lang w:val="hy-AM"/>
              </w:rPr>
              <w:t>․</w:t>
            </w:r>
          </w:p>
          <w:p w14:paraId="5407EDEB"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1) գործի նյութերին ծանոթանալը, դրանց պատճեններ ստանալը, քաղվածքներ, լուսանկարներ, լուսապատճեններ և պատճեններ անելը,</w:t>
            </w:r>
          </w:p>
          <w:p w14:paraId="4F3F3659"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2) ինքնաբացարկ հայտնելու միջնորդություններ անելը.</w:t>
            </w:r>
          </w:p>
          <w:p w14:paraId="4714D657"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3) ապացույցներ ներկայացնելը,</w:t>
            </w:r>
          </w:p>
          <w:p w14:paraId="056F9190"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4) հարցեր տալը,</w:t>
            </w:r>
          </w:p>
          <w:p w14:paraId="242FFF81"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5) միջնորդություններ ներկայացնելը,</w:t>
            </w:r>
          </w:p>
          <w:p w14:paraId="6069C88F"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6) դիրքորոշում ներկայացնելը:</w:t>
            </w:r>
          </w:p>
          <w:p w14:paraId="554007D7" w14:textId="77777777" w:rsidR="001E39D6" w:rsidRPr="00F2718E" w:rsidRDefault="001E39D6" w:rsidP="00A961C5">
            <w:pPr>
              <w:shd w:val="clear" w:color="auto" w:fill="FFFFFF"/>
              <w:spacing w:line="360" w:lineRule="auto"/>
              <w:contextualSpacing/>
              <w:jc w:val="both"/>
              <w:rPr>
                <w:rFonts w:ascii="GHEA Grapalat" w:hAnsi="GHEA Grapalat"/>
                <w:i/>
                <w:iCs/>
                <w:lang w:val="hy-AM"/>
              </w:rPr>
            </w:pPr>
            <w:r w:rsidRPr="00F2718E">
              <w:rPr>
                <w:rFonts w:ascii="GHEA Grapalat" w:hAnsi="GHEA Grapalat"/>
                <w:i/>
                <w:iCs/>
                <w:color w:val="000000"/>
                <w:shd w:val="clear" w:color="auto" w:fill="FFFFFF"/>
                <w:lang w:val="hy-AM"/>
              </w:rPr>
              <w:t>3. Սույն հոդվածով նախատեսված դատավարական սանկցիայի կիրառումը չպետք է բացառի համապատասխան իրավունքի բուն իրացումը:</w:t>
            </w:r>
          </w:p>
          <w:p w14:paraId="1479A08B" w14:textId="77777777" w:rsidR="001E39D6" w:rsidRPr="00F2718E" w:rsidRDefault="001E39D6" w:rsidP="00A961C5">
            <w:pPr>
              <w:shd w:val="clear" w:color="auto" w:fill="FFFFFF"/>
              <w:spacing w:line="360" w:lineRule="auto"/>
              <w:contextualSpacing/>
              <w:jc w:val="both"/>
              <w:rPr>
                <w:rFonts w:ascii="GHEA Grapalat" w:hAnsi="GHEA Grapalat"/>
                <w:i/>
                <w:iCs/>
                <w:color w:val="000000"/>
                <w:shd w:val="clear" w:color="auto" w:fill="FFFFFF"/>
                <w:lang w:val="hy-AM"/>
              </w:rPr>
            </w:pPr>
            <w:r w:rsidRPr="00F2718E">
              <w:rPr>
                <w:rFonts w:ascii="GHEA Grapalat" w:hAnsi="GHEA Grapalat"/>
                <w:i/>
                <w:iCs/>
                <w:color w:val="000000"/>
                <w:shd w:val="clear" w:color="auto" w:fill="FFFFFF"/>
                <w:lang w:val="hy-AM"/>
              </w:rPr>
              <w:t>4.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p>
          <w:p w14:paraId="1910BB62" w14:textId="77777777" w:rsidR="001E39D6" w:rsidRPr="00F2718E" w:rsidRDefault="001E39D6" w:rsidP="00A961C5">
            <w:pPr>
              <w:shd w:val="clear" w:color="auto" w:fill="FFFFFF"/>
              <w:spacing w:line="360" w:lineRule="auto"/>
              <w:contextualSpacing/>
              <w:jc w:val="both"/>
              <w:rPr>
                <w:rFonts w:ascii="GHEA Grapalat" w:hAnsi="GHEA Grapalat"/>
                <w:color w:val="000000"/>
                <w:shd w:val="clear" w:color="auto" w:fill="FFFFFF"/>
                <w:lang w:val="hy-AM"/>
              </w:rPr>
            </w:pPr>
            <w:r w:rsidRPr="00F2718E">
              <w:rPr>
                <w:rFonts w:ascii="GHEA Grapalat" w:hAnsi="GHEA Grapalat"/>
                <w:color w:val="000000"/>
                <w:shd w:val="clear" w:color="auto" w:fill="FFFFFF"/>
                <w:lang w:val="hy-AM"/>
              </w:rPr>
              <w:t>Վերոնշյալից հետևում է, որ Նախագծով իրավունքի իրականացման սահմանափակումը որպես դատական սանկցիա կիրառելի է հետևյալ պայմանների միաժամանակյա առկայության դեպքում.</w:t>
            </w:r>
          </w:p>
          <w:p w14:paraId="31F14BA2" w14:textId="77777777" w:rsidR="001E39D6" w:rsidRPr="00F2718E" w:rsidRDefault="001E39D6" w:rsidP="00A961C5">
            <w:pPr>
              <w:pStyle w:val="ListParagraph"/>
              <w:numPr>
                <w:ilvl w:val="0"/>
                <w:numId w:val="2"/>
              </w:numPr>
              <w:shd w:val="clear" w:color="auto" w:fill="FFFFFF"/>
              <w:tabs>
                <w:tab w:val="left" w:pos="851"/>
              </w:tabs>
              <w:spacing w:after="0" w:line="360" w:lineRule="auto"/>
              <w:ind w:left="0" w:firstLine="0"/>
              <w:jc w:val="both"/>
              <w:rPr>
                <w:rFonts w:ascii="GHEA Grapalat" w:hAnsi="GHEA Grapalat"/>
                <w:color w:val="000000"/>
                <w:sz w:val="24"/>
                <w:szCs w:val="24"/>
                <w:shd w:val="clear" w:color="auto" w:fill="FFFFFF"/>
                <w:lang w:val="hy-AM"/>
              </w:rPr>
            </w:pPr>
            <w:r w:rsidRPr="00F2718E">
              <w:rPr>
                <w:rFonts w:ascii="GHEA Grapalat" w:hAnsi="GHEA Grapalat"/>
                <w:color w:val="000000"/>
                <w:sz w:val="24"/>
                <w:szCs w:val="24"/>
                <w:shd w:val="clear" w:color="auto" w:fill="FFFFFF"/>
                <w:lang w:val="hy-AM"/>
              </w:rPr>
              <w:t>դատավարության մասնակցի կողմից իրավունքների չարաշահումն իրականացվում է պարբերաբար.</w:t>
            </w:r>
          </w:p>
          <w:p w14:paraId="10EF6610" w14:textId="77777777" w:rsidR="001E39D6" w:rsidRPr="00F2718E" w:rsidRDefault="001E39D6" w:rsidP="00A961C5">
            <w:pPr>
              <w:pStyle w:val="ListParagraph"/>
              <w:numPr>
                <w:ilvl w:val="0"/>
                <w:numId w:val="2"/>
              </w:numPr>
              <w:shd w:val="clear" w:color="auto" w:fill="FFFFFF"/>
              <w:tabs>
                <w:tab w:val="left" w:pos="851"/>
              </w:tabs>
              <w:spacing w:after="0" w:line="360" w:lineRule="auto"/>
              <w:ind w:left="0" w:firstLine="0"/>
              <w:jc w:val="both"/>
              <w:rPr>
                <w:rFonts w:ascii="GHEA Grapalat" w:hAnsi="GHEA Grapalat"/>
                <w:color w:val="000000"/>
                <w:sz w:val="24"/>
                <w:szCs w:val="24"/>
                <w:shd w:val="clear" w:color="auto" w:fill="FFFFFF"/>
                <w:lang w:val="hy-AM"/>
              </w:rPr>
            </w:pPr>
            <w:r w:rsidRPr="00F2718E">
              <w:rPr>
                <w:rFonts w:ascii="GHEA Grapalat" w:hAnsi="GHEA Grapalat"/>
                <w:color w:val="000000"/>
                <w:sz w:val="24"/>
                <w:szCs w:val="24"/>
                <w:shd w:val="clear" w:color="auto" w:fill="FFFFFF"/>
                <w:lang w:val="hy-AM"/>
              </w:rPr>
              <w:t>իրավունքի իրականացման սահմանափակման՝ որպես դատական սանկցիայի կիրառումը չի բացառում համապատասխան իրավունքի բուն իրացումը.</w:t>
            </w:r>
          </w:p>
          <w:p w14:paraId="4B2B2FFB" w14:textId="77777777" w:rsidR="001E39D6" w:rsidRPr="00F2718E" w:rsidRDefault="001E39D6" w:rsidP="00A961C5">
            <w:pPr>
              <w:pStyle w:val="ListParagraph"/>
              <w:numPr>
                <w:ilvl w:val="0"/>
                <w:numId w:val="2"/>
              </w:numPr>
              <w:shd w:val="clear" w:color="auto" w:fill="FFFFFF"/>
              <w:tabs>
                <w:tab w:val="left" w:pos="851"/>
              </w:tabs>
              <w:spacing w:after="0" w:line="360" w:lineRule="auto"/>
              <w:ind w:left="0" w:firstLine="0"/>
              <w:jc w:val="both"/>
              <w:rPr>
                <w:rFonts w:ascii="GHEA Grapalat" w:hAnsi="GHEA Grapalat"/>
                <w:color w:val="000000"/>
                <w:sz w:val="24"/>
                <w:szCs w:val="24"/>
                <w:shd w:val="clear" w:color="auto" w:fill="FFFFFF"/>
                <w:lang w:val="hy-AM"/>
              </w:rPr>
            </w:pPr>
            <w:r w:rsidRPr="00F2718E">
              <w:rPr>
                <w:rFonts w:ascii="GHEA Grapalat" w:hAnsi="GHEA Grapalat"/>
                <w:color w:val="000000"/>
                <w:sz w:val="24"/>
                <w:szCs w:val="24"/>
                <w:shd w:val="clear" w:color="auto" w:fill="FFFFFF"/>
                <w:lang w:val="hy-AM"/>
              </w:rPr>
              <w:t>նշված սանկցիան կիրառելի է միայն սահմանված իրավունքների պարբերաբար չարաշահման դեպքում։</w:t>
            </w:r>
          </w:p>
          <w:p w14:paraId="52DC848D" w14:textId="77777777" w:rsidR="001E39D6" w:rsidRPr="00F2718E" w:rsidRDefault="001E39D6" w:rsidP="00A961C5">
            <w:pPr>
              <w:pStyle w:val="ListParagraph"/>
              <w:shd w:val="clear" w:color="auto" w:fill="FFFFFF"/>
              <w:tabs>
                <w:tab w:val="left" w:pos="851"/>
              </w:tabs>
              <w:spacing w:after="0" w:line="360" w:lineRule="auto"/>
              <w:ind w:left="0"/>
              <w:jc w:val="both"/>
              <w:rPr>
                <w:rFonts w:ascii="GHEA Grapalat" w:hAnsi="GHEA Grapalat"/>
                <w:color w:val="000000"/>
                <w:sz w:val="24"/>
                <w:szCs w:val="24"/>
                <w:shd w:val="clear" w:color="auto" w:fill="FFFFFF"/>
                <w:lang w:val="hy-AM"/>
              </w:rPr>
            </w:pPr>
            <w:r w:rsidRPr="00F2718E">
              <w:rPr>
                <w:rFonts w:ascii="GHEA Grapalat" w:hAnsi="GHEA Grapalat"/>
                <w:color w:val="000000"/>
                <w:sz w:val="24"/>
                <w:szCs w:val="24"/>
                <w:shd w:val="clear" w:color="auto" w:fill="FFFFFF"/>
                <w:lang w:val="hy-AM"/>
              </w:rPr>
              <w:t>Միաժամանակ նշված դրույթի կապակցությամբ քննարկման առարկա են հետևյալը.</w:t>
            </w:r>
          </w:p>
          <w:p w14:paraId="70D6034A" w14:textId="77777777" w:rsidR="001E39D6" w:rsidRPr="00F2718E" w:rsidRDefault="001E39D6" w:rsidP="00A961C5">
            <w:pPr>
              <w:pStyle w:val="ListParagraph"/>
              <w:numPr>
                <w:ilvl w:val="0"/>
                <w:numId w:val="2"/>
              </w:numPr>
              <w:shd w:val="clear" w:color="auto" w:fill="FFFFFF"/>
              <w:tabs>
                <w:tab w:val="left" w:pos="851"/>
              </w:tabs>
              <w:spacing w:after="0" w:line="360" w:lineRule="auto"/>
              <w:ind w:left="0" w:firstLine="0"/>
              <w:jc w:val="both"/>
              <w:rPr>
                <w:rFonts w:ascii="GHEA Grapalat" w:hAnsi="GHEA Grapalat"/>
                <w:color w:val="000000"/>
                <w:sz w:val="24"/>
                <w:szCs w:val="24"/>
                <w:shd w:val="clear" w:color="auto" w:fill="FFFFFF"/>
                <w:lang w:val="hy-AM"/>
              </w:rPr>
            </w:pPr>
            <w:r w:rsidRPr="00F2718E">
              <w:rPr>
                <w:rFonts w:ascii="GHEA Grapalat" w:hAnsi="GHEA Grapalat"/>
                <w:color w:val="000000"/>
                <w:sz w:val="24"/>
                <w:szCs w:val="24"/>
                <w:shd w:val="clear" w:color="auto" w:fill="FFFFFF"/>
                <w:lang w:val="hy-AM"/>
              </w:rPr>
              <w:t>արդյո՞ք դատավարության մասնակցի նկատմամբ 101.6-րդ հոդվածի 2-րդ մասով նախատեսված իրավունքների չարաշահման դեպքում որպես դատական սանկցիա կիրառվում է համանուն իրավունքի իրացման սահմանափակումը՝ նկատի ունենալով այն, որ կարգավորման տրամաբանությունից այն ուղղակիորեն չի բխում (որպես օրինակ՝ արդյո՞ք դատավարության մասնակցի կողմից միջնորդություն ներկայացնելու իրավունքի չարաշահման դեպքում դատարանը որպես դատական սանկցիա կարող է կիրառել հարցեր տալու իրավունքի սահմանափակումը).</w:t>
            </w:r>
          </w:p>
          <w:p w14:paraId="5D492791" w14:textId="77777777" w:rsidR="001E39D6" w:rsidRPr="00F2718E" w:rsidRDefault="001E39D6" w:rsidP="00A961C5">
            <w:pPr>
              <w:pStyle w:val="ListParagraph"/>
              <w:numPr>
                <w:ilvl w:val="0"/>
                <w:numId w:val="2"/>
              </w:numPr>
              <w:shd w:val="clear" w:color="auto" w:fill="FFFFFF"/>
              <w:tabs>
                <w:tab w:val="left" w:pos="851"/>
              </w:tabs>
              <w:spacing w:after="0" w:line="360" w:lineRule="auto"/>
              <w:ind w:left="0" w:firstLine="0"/>
              <w:jc w:val="both"/>
              <w:rPr>
                <w:rFonts w:ascii="GHEA Grapalat" w:hAnsi="GHEA Grapalat"/>
                <w:color w:val="000000"/>
                <w:sz w:val="24"/>
                <w:szCs w:val="24"/>
                <w:shd w:val="clear" w:color="auto" w:fill="FFFFFF"/>
                <w:lang w:val="hy-AM"/>
              </w:rPr>
            </w:pPr>
            <w:r w:rsidRPr="00F2718E">
              <w:rPr>
                <w:rFonts w:ascii="GHEA Grapalat" w:hAnsi="GHEA Grapalat"/>
                <w:sz w:val="24"/>
                <w:szCs w:val="24"/>
                <w:lang w:val="hy-AM"/>
              </w:rPr>
              <w:t xml:space="preserve">Օրենսգրքի 14-րդ հոդվածի համաձայն՝ </w:t>
            </w:r>
            <w:r w:rsidRPr="00F2718E">
              <w:rPr>
                <w:rFonts w:ascii="GHEA Grapalat" w:hAnsi="GHEA Grapalat"/>
                <w:color w:val="000000"/>
                <w:sz w:val="24"/>
                <w:szCs w:val="24"/>
                <w:lang w:val="hy-AM"/>
              </w:rPr>
              <w:t>վարչական դատավարության մասնակիցներն են հայցվորը, պատասխանողը և երրորդ անձինք։ Հաշվի առնելով այն, որ տվյալ դրույթի տեսանկյունից իրավունքի իրականացման սահմանափակումը որպես դատական սանկցիա կիրառելի է միայն դատավարության մասնակիցների նկատմ</w:t>
            </w:r>
            <w:r w:rsidRPr="00F2718E">
              <w:rPr>
                <w:rFonts w:ascii="GHEA Grapalat" w:hAnsi="GHEA Grapalat" w:cs="Calibri"/>
                <w:color w:val="000000"/>
                <w:sz w:val="24"/>
                <w:szCs w:val="24"/>
                <w:lang w:val="hy-AM"/>
              </w:rPr>
              <w:t>ամբ, իսկ դատավարության մասնակցի ներկայացուցիչը չի ներառվում դատավարության մասնակից համարվող անձանց շրջանակում՝ առաջարկում ենք քննարկել վերջինիս նկատմամբ ևս ի</w:t>
            </w:r>
            <w:r w:rsidRPr="00F2718E">
              <w:rPr>
                <w:rFonts w:ascii="GHEA Grapalat" w:hAnsi="GHEA Grapalat"/>
                <w:color w:val="000000"/>
                <w:sz w:val="24"/>
                <w:szCs w:val="24"/>
                <w:shd w:val="clear" w:color="auto" w:fill="FFFFFF"/>
                <w:lang w:val="hy-AM"/>
              </w:rPr>
              <w:t>րավունքի իրականացման սահմանափակում</w:t>
            </w:r>
            <w:r w:rsidRPr="00F2718E">
              <w:rPr>
                <w:rFonts w:ascii="GHEA Grapalat" w:hAnsi="GHEA Grapalat" w:cs="Calibri"/>
                <w:color w:val="000000"/>
                <w:sz w:val="24"/>
                <w:szCs w:val="24"/>
                <w:lang w:val="hy-AM"/>
              </w:rPr>
              <w:t xml:space="preserve"> դատական սանկցիան կիրառելու հնարավորություն նախատեսելու հարցը</w:t>
            </w:r>
            <w:r w:rsidRPr="00F2718E">
              <w:rPr>
                <w:rFonts w:ascii="Cambria Math" w:hAnsi="Cambria Math" w:cs="Cambria Math"/>
                <w:color w:val="000000"/>
                <w:sz w:val="24"/>
                <w:szCs w:val="24"/>
                <w:lang w:val="hy-AM"/>
              </w:rPr>
              <w:t>․</w:t>
            </w:r>
          </w:p>
          <w:p w14:paraId="5A7FBEEA" w14:textId="77777777" w:rsidR="00881AD5" w:rsidRPr="00F2718E" w:rsidRDefault="001E39D6" w:rsidP="00A961C5">
            <w:pPr>
              <w:spacing w:line="360" w:lineRule="auto"/>
              <w:jc w:val="both"/>
              <w:rPr>
                <w:rFonts w:ascii="GHEA Grapalat" w:hAnsi="GHEA Grapalat"/>
                <w:lang w:val="hy-AM"/>
              </w:rPr>
            </w:pPr>
            <w:r w:rsidRPr="00F2718E">
              <w:rPr>
                <w:rFonts w:ascii="GHEA Grapalat" w:hAnsi="GHEA Grapalat"/>
                <w:color w:val="000000"/>
                <w:lang w:val="hy-AM"/>
              </w:rPr>
              <w:t xml:space="preserve">հաշվի առնելով այն, որ գործնականում </w:t>
            </w:r>
            <w:r w:rsidRPr="00F2718E">
              <w:rPr>
                <w:rFonts w:ascii="GHEA Grapalat" w:hAnsi="GHEA Grapalat"/>
                <w:lang w:val="hy-AM"/>
              </w:rPr>
              <w:t>իրավունքի չարաշահման դեպքերը վերաբերում են նաև բողոքարկման գործընթացին (օրինակ՝ բողոքում առկա են վիրավորական կամ զրպարտչական արտահայտություններ դատավորի նկատմամբ, բողոքը միտումնավոր ներկայացվել է թերություններով և այլն)՝ առաջարկում ենք քննարկել վերաքննիչ կամ վճռաբեկ բողոք ներկայացնելու իրավունքի չարաշահման դեպքը նույնպես Օրենսգրքի 101.6-րդ հոդվածի 2-րդ մասով նախատեսված իրավունքների շրջանակում նախատեսելու հարցը։</w:t>
            </w:r>
          </w:p>
        </w:tc>
        <w:tc>
          <w:tcPr>
            <w:tcW w:w="7022" w:type="dxa"/>
            <w:gridSpan w:val="6"/>
          </w:tcPr>
          <w:p w14:paraId="71CBFDA8" w14:textId="77777777" w:rsidR="001E39D6" w:rsidRPr="00F2718E" w:rsidRDefault="001E39D6" w:rsidP="00A961C5">
            <w:pPr>
              <w:spacing w:line="360" w:lineRule="auto"/>
              <w:jc w:val="center"/>
              <w:rPr>
                <w:rFonts w:ascii="GHEA Grapalat" w:hAnsi="GHEA Grapalat"/>
                <w:b/>
                <w:lang w:val="hy-AM"/>
              </w:rPr>
            </w:pPr>
            <w:r w:rsidRPr="00F2718E">
              <w:rPr>
                <w:rFonts w:ascii="GHEA Grapalat" w:hAnsi="GHEA Grapalat"/>
                <w:b/>
                <w:lang w:val="hy-AM"/>
              </w:rPr>
              <w:t>Մասամբ է ընդունվել:</w:t>
            </w:r>
          </w:p>
          <w:p w14:paraId="39CF1064" w14:textId="5369BC66"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«Վարչական դատավարության օրենսգրքում լրացումներ և փոփոխություններ կատարելու մասին» օրենքի նախագծով լրացվող 101.</w:t>
            </w:r>
            <w:r w:rsidR="0005628A" w:rsidRPr="00F2718E">
              <w:rPr>
                <w:rFonts w:ascii="GHEA Grapalat" w:hAnsi="GHEA Grapalat"/>
                <w:lang w:val="hy-AM"/>
              </w:rPr>
              <w:t>5</w:t>
            </w:r>
            <w:r w:rsidRPr="00F2718E">
              <w:rPr>
                <w:rFonts w:ascii="GHEA Grapalat" w:hAnsi="GHEA Grapalat"/>
                <w:lang w:val="hy-AM"/>
              </w:rPr>
              <w:t>-րդ հոդվածը լրամշակվել է իրավունքի իրականացման սահմանափակում սանկցիան կիրառելու սուբյեկտների առումով:</w:t>
            </w:r>
          </w:p>
          <w:p w14:paraId="57B497A1" w14:textId="3F9CA697" w:rsidR="001E39D6" w:rsidRPr="00F2718E" w:rsidRDefault="001E39D6" w:rsidP="00A961C5">
            <w:pPr>
              <w:spacing w:line="360" w:lineRule="auto"/>
              <w:jc w:val="both"/>
              <w:rPr>
                <w:rFonts w:ascii="GHEA Grapalat" w:hAnsi="GHEA Grapalat"/>
                <w:lang w:val="hy-AM"/>
              </w:rPr>
            </w:pPr>
            <w:r w:rsidRPr="00F2718E">
              <w:rPr>
                <w:rFonts w:ascii="GHEA Grapalat" w:hAnsi="GHEA Grapalat"/>
                <w:lang w:val="hy-AM"/>
              </w:rPr>
              <w:t xml:space="preserve">Համանման իրավունքի սահմանափակում կիրառելու տեսանկյունից կարծում ենք, որ առաջարկվող՝ «որոշակի իրավունքների սույն օրենսգրքով սահմանված պարբերաբար չարաշահման դեպքում համապատասխան որոշմամբ </w:t>
            </w:r>
            <w:r w:rsidRPr="00F2718E">
              <w:rPr>
                <w:rFonts w:ascii="GHEA Grapalat" w:hAnsi="GHEA Grapalat"/>
                <w:b/>
                <w:lang w:val="hy-AM"/>
              </w:rPr>
              <w:t>դրանց իրականացման</w:t>
            </w:r>
            <w:r w:rsidRPr="00F2718E">
              <w:rPr>
                <w:rFonts w:ascii="GHEA Grapalat" w:hAnsi="GHEA Grapalat"/>
                <w:lang w:val="hy-AM"/>
              </w:rPr>
              <w:t xml:space="preserve"> համար ժամանակային կամ քանակական պայմանների սահմանումն է:» եզրույթը թույլ է տալիս փաստել, որ խոսքը համանման իրավունքի սահմանափակման մասին է: Այսպես՝ երբ օգտագործվում է «դրանց իրականացման» եզրույթը՝ «դրանց» դերանունը կապելով իրավունքների շրջանակի հետ, ապա ակնհայտ է, որ խոսքն այն իրավունքի սահմանափակման մասին է, որը չարաշահվում է, ինչը ենթադրում է, որ կարող են քանակական կամ ժամանակային պայմաններ սահմանվել միայն այն իրավունքների մասով, որոնք չարաշահվել են:</w:t>
            </w:r>
            <w:r w:rsidR="000447A1" w:rsidRPr="00F2718E">
              <w:rPr>
                <w:rFonts w:ascii="GHEA Grapalat" w:hAnsi="GHEA Grapalat"/>
                <w:lang w:val="hy-AM"/>
              </w:rPr>
              <w:t xml:space="preserve"> Ինչ վերաբերում է մի քանի սահմանափակումների միաժամանյա կիրառմանը, ապա ոչ մի բացառություն կամ սահմանափակում չի նախատեսվել այն դեպքերի համար, երբ միաժամանակ չարաշահվում է մի քանի իրավունք: Հետևաբար, ցանկում նախատեսված մեկից ավելի իրավունքների միաժաման</w:t>
            </w:r>
            <w:r w:rsidR="00BB5F95" w:rsidRPr="00F2718E">
              <w:rPr>
                <w:rFonts w:ascii="GHEA Grapalat" w:hAnsi="GHEA Grapalat"/>
                <w:lang w:val="hy-AM"/>
              </w:rPr>
              <w:t>ա</w:t>
            </w:r>
            <w:r w:rsidR="000447A1" w:rsidRPr="00F2718E">
              <w:rPr>
                <w:rFonts w:ascii="GHEA Grapalat" w:hAnsi="GHEA Grapalat"/>
                <w:lang w:val="hy-AM"/>
              </w:rPr>
              <w:t xml:space="preserve">կյա </w:t>
            </w:r>
            <w:r w:rsidR="00F31649" w:rsidRPr="00F2718E">
              <w:rPr>
                <w:rFonts w:ascii="GHEA Grapalat" w:hAnsi="GHEA Grapalat"/>
                <w:lang w:val="hy-AM"/>
              </w:rPr>
              <w:t>չարաշահման</w:t>
            </w:r>
            <w:r w:rsidR="000447A1" w:rsidRPr="00F2718E">
              <w:rPr>
                <w:rFonts w:ascii="GHEA Grapalat" w:hAnsi="GHEA Grapalat"/>
                <w:lang w:val="hy-AM"/>
              </w:rPr>
              <w:t xml:space="preserve"> դեպքում դատարանները զրկված չեն առանձին յուրաքանչյուր իրավունքի մասով սահմանափակում կիրառելու հնարավորությունից:</w:t>
            </w:r>
            <w:r w:rsidRPr="00F2718E">
              <w:rPr>
                <w:rFonts w:ascii="GHEA Grapalat" w:hAnsi="GHEA Grapalat"/>
                <w:lang w:val="hy-AM"/>
              </w:rPr>
              <w:t xml:space="preserve"> </w:t>
            </w:r>
            <w:r w:rsidRPr="00F2718E">
              <w:rPr>
                <w:rFonts w:ascii="GHEA Grapalat" w:hAnsi="GHEA Grapalat"/>
                <w:shd w:val="clear" w:color="auto" w:fill="FFFFFF"/>
                <w:lang w:val="hy-AM"/>
              </w:rPr>
              <w:t>Ընդ որում, իրավունքի իրականացման սահմանափակումը որպես սանկցիայի տեսակ նույն տրամաբանությամբ սահմանված է նաև ՀՀ քրեական դատավարության օրենսգրքով, որի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p w14:paraId="511184D9" w14:textId="395E2F2B" w:rsidR="00881AD5" w:rsidRPr="00F2718E" w:rsidRDefault="001E39D6" w:rsidP="00A961C5">
            <w:pPr>
              <w:spacing w:line="360" w:lineRule="auto"/>
              <w:jc w:val="both"/>
              <w:rPr>
                <w:rFonts w:ascii="GHEA Grapalat" w:hAnsi="GHEA Grapalat"/>
                <w:lang w:val="hy-AM"/>
              </w:rPr>
            </w:pPr>
            <w:r w:rsidRPr="00F2718E">
              <w:rPr>
                <w:rFonts w:ascii="GHEA Grapalat" w:hAnsi="GHEA Grapalat"/>
                <w:lang w:val="hy-AM"/>
              </w:rPr>
              <w:t>Ինչ վերաբերում է բողոքարկման իրավունքի սահմանափակմանը, ապա դատական պաշտպանության դիմելու իրավունքը թեև բացարձակ չէ, սակայն այն անձի արդար դատաքննության իրավունքի ապահովման երաշխիք է: Այն սահմանափակման ենթակա իրավունքների շարքում դասելու դեպքում հարց կարող է առաջանալ, թե ինչպե՞ս և ո՞ր փուլում պետք է վերադաս դատական ատյանը բողոքարկման իրավունքի իրականացման սահմանափակում կիրառի, արդյո՞ք վերադաս դատական ատյանը կարող է բողոքի քննության կապակցությամբ կիրառել բողոքարկման իրավունքի սահմանափակում: Նման պայմաններում կարծում ենք, որ բողոքարկման իրավունքը չի կարող ներառվել սահմանափակմ</w:t>
            </w:r>
            <w:r w:rsidR="00BB5F95" w:rsidRPr="00F2718E">
              <w:rPr>
                <w:rFonts w:ascii="GHEA Grapalat" w:hAnsi="GHEA Grapalat"/>
                <w:lang w:val="hy-AM"/>
              </w:rPr>
              <w:t>ան ենթակա իրավունքների շարքում:</w:t>
            </w:r>
          </w:p>
        </w:tc>
      </w:tr>
      <w:tr w:rsidR="00881AD5" w:rsidRPr="00F2718E" w14:paraId="6E850B71" w14:textId="77777777" w:rsidTr="00F260E8">
        <w:trPr>
          <w:gridAfter w:val="1"/>
          <w:wAfter w:w="6" w:type="dxa"/>
        </w:trPr>
        <w:tc>
          <w:tcPr>
            <w:tcW w:w="7879" w:type="dxa"/>
          </w:tcPr>
          <w:p w14:paraId="46A80F38"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4. «Հայաստանի Հանրապետության քաղաքացիական դատավարության օրենսգրքում փոփոխություններ և լրացումներ կատարելու մասին» օրենքի նախագծի 3-րդ հոդվածով Հայաստանի Հանրապետության քաղաքացիական դատավարության օրենսգիրքը լրացվում է նոր 147.1-ին հոդվածով, որով սահմանվում է այն գործերի շրջանակը, որոնց դեպքում դատավարության մասնակցի ներկայությունը դատական նիստին պարտադիր է։ </w:t>
            </w:r>
          </w:p>
          <w:p w14:paraId="385CAAF7"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lang w:val="hy-AM"/>
              </w:rPr>
              <w:t xml:space="preserve">Մասնավորապես՝ 147.1-ին հոդվածի 1-ին մասի համաձայն՝ </w:t>
            </w:r>
            <w:r w:rsidRPr="00F2718E">
              <w:rPr>
                <w:rFonts w:ascii="GHEA Grapalat" w:hAnsi="GHEA Grapalat"/>
                <w:i/>
                <w:iCs/>
                <w:lang w:val="hy-AM"/>
              </w:rPr>
              <w:t>սույն օրենսգրքի 158-րդ հոդվածի 3-րդ մասով, 234.9 հոդվածի 1-ին մասի 1-ին կետով, 247-րդ հոդվածի 1-ին մասի, 300-րդ հոդվածի 1-ին մասի 1-ին կետի, 318-րդ հոդվածի 2.2.-րդ մասով, 323-րդ հոդվածի 2-րդ մասով, 328-րդ հոդվածի 2-րդ մասով, 339-րդ հոդվածի 2-րդ մասով, 343-րդ հոդվածի 2-րդ մասով, 345.4-րդ հոդվածի 2-րդ մասով նախատեսված դեպքերում դատարանը դատավարության մասնակիցներին ուղղված ծանուցագրում նշում է կատարում դատական նիստին մասնակցելու անհրաժեշտության մասին:</w:t>
            </w:r>
          </w:p>
          <w:p w14:paraId="5617947B" w14:textId="77777777" w:rsidR="00881AD5" w:rsidRPr="00F2718E" w:rsidRDefault="00FC5904" w:rsidP="00A961C5">
            <w:pPr>
              <w:spacing w:line="360" w:lineRule="auto"/>
              <w:jc w:val="both"/>
              <w:rPr>
                <w:rFonts w:ascii="GHEA Grapalat" w:hAnsi="GHEA Grapalat"/>
                <w:lang w:val="hy-AM"/>
              </w:rPr>
            </w:pPr>
            <w:r w:rsidRPr="00F2718E">
              <w:rPr>
                <w:rFonts w:ascii="GHEA Grapalat" w:hAnsi="GHEA Grapalat"/>
                <w:lang w:val="hy-AM"/>
              </w:rPr>
              <w:t>Վերոգրյալի կապակցությամբ հարկ է նկատել, որ Հայաստանի Հանրապետության քաղաքացիական դատավարության օրենսգրքում լրացվող 147.1-ին հոդվածով նախատեսված դեպքերի համար միայն դատական տուգանքի՝ որպես դատական սանկցիայի կիրառումը խնդրահարույց է այն պայմաններում, երբ դատարանը դատավարական հարկադրանքի միջոցներ կիրառելիս պետք է ունենա հայեցողական լիազորություն՝ պայմանավորված դատական նիստի կարգի խախտման հետ կապված հանգամանքների իր հայեցողական գնահատականներով։</w:t>
            </w:r>
          </w:p>
        </w:tc>
        <w:tc>
          <w:tcPr>
            <w:tcW w:w="7022" w:type="dxa"/>
            <w:gridSpan w:val="6"/>
          </w:tcPr>
          <w:p w14:paraId="41A40D6F"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4DA42820" w14:textId="48D5F2D3"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066868B1" w14:textId="29306BCB" w:rsidR="00881AD5" w:rsidRPr="00F2718E" w:rsidRDefault="00881AD5" w:rsidP="00A961C5">
            <w:pPr>
              <w:spacing w:line="360" w:lineRule="auto"/>
              <w:jc w:val="both"/>
              <w:rPr>
                <w:rFonts w:ascii="GHEA Grapalat" w:hAnsi="GHEA Grapalat"/>
                <w:lang w:val="hy-AM"/>
              </w:rPr>
            </w:pPr>
          </w:p>
        </w:tc>
      </w:tr>
      <w:tr w:rsidR="00881AD5" w:rsidRPr="00F2718E" w14:paraId="0B6A0337" w14:textId="77777777" w:rsidTr="00F260E8">
        <w:trPr>
          <w:gridAfter w:val="1"/>
          <w:wAfter w:w="6" w:type="dxa"/>
        </w:trPr>
        <w:tc>
          <w:tcPr>
            <w:tcW w:w="7879" w:type="dxa"/>
          </w:tcPr>
          <w:p w14:paraId="0114D049"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lang w:val="hy-AM"/>
              </w:rPr>
              <w:t>5. Նկատի ունենալով Նախագծերի փաթեթով առաջարկվող կարգավորումների նպատակը՝ քննարկման առարկա է նաև ՀՀ քրեական օրենսգրքի 489-րդ հոդվածում նույնպես համապատասխան փոփոխություններ կատարելու հարցը։ Մասնավորապես՝ ՀՀ քրեական օրենսգրքի 489-րդ հոդվածի համաձայն</w:t>
            </w:r>
            <w:r w:rsidRPr="00F2718E">
              <w:rPr>
                <w:rFonts w:ascii="GHEA Grapalat" w:hAnsi="GHEA Grapalat"/>
                <w:i/>
                <w:iCs/>
                <w:lang w:val="hy-AM"/>
              </w:rPr>
              <w:t xml:space="preserve">՝ </w:t>
            </w:r>
          </w:p>
          <w:p w14:paraId="16873918"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i/>
                <w:iCs/>
                <w:lang w:val="hy-AM"/>
              </w:rPr>
              <w:t>1. Դատարանի նկատմամբ անհարգալից վերաբերմունքը, որը դրսևորվել է դատավարությանը մասնակցող անձին վիրավորելով՝</w:t>
            </w:r>
          </w:p>
          <w:p w14:paraId="5CA60684"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i/>
                <w:iCs/>
                <w:lang w:val="hy-AM"/>
              </w:rPr>
              <w:t>պատժվում է տուգանքով՝ առավելագույնը տասնապատիկի չափով, կամ հանրային աշխատանքներով՝ առավելագույնը հարյուր ժամ տևողությամբ, կամ կարճաժամկետ ազատազրկմամբ՝ առավելագույնը մեկ ամիս ժամկետով:</w:t>
            </w:r>
          </w:p>
          <w:p w14:paraId="6854CF27"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i/>
                <w:iCs/>
                <w:lang w:val="hy-AM"/>
              </w:rPr>
              <w:t>2. Դատարանի նկատմամբ անհարգալից վերաբերմունքը, որը դրսևորվել է պաշտոնեական լիազորությունների իրականացման առնչությամբ դատավորին վիրավորելով՝</w:t>
            </w:r>
          </w:p>
          <w:p w14:paraId="189C018F" w14:textId="77777777" w:rsidR="00FC5904" w:rsidRPr="00F2718E" w:rsidRDefault="00FC5904" w:rsidP="00A961C5">
            <w:pPr>
              <w:tabs>
                <w:tab w:val="left" w:pos="810"/>
                <w:tab w:val="left" w:pos="900"/>
              </w:tabs>
              <w:spacing w:line="360" w:lineRule="auto"/>
              <w:jc w:val="both"/>
              <w:rPr>
                <w:rFonts w:ascii="GHEA Grapalat" w:hAnsi="GHEA Grapalat"/>
                <w:i/>
                <w:iCs/>
                <w:lang w:val="hy-AM"/>
              </w:rPr>
            </w:pPr>
            <w:r w:rsidRPr="00F2718E">
              <w:rPr>
                <w:rFonts w:ascii="GHEA Grapalat" w:hAnsi="GHEA Grapalat"/>
                <w:i/>
                <w:iCs/>
                <w:lang w:val="hy-AM"/>
              </w:rPr>
              <w:t xml:space="preserve">պատժվում է տուգանքով՝ առավելագույնը քսանապատիկի չափով, կամ հանրային աշխատանքներով՝ ութսունից հարյուր հիսուն ժամ տևողությամբ, կամ կարճաժամկետ ազատազրկմամբ՝ առավելագույնը երկու ամիս ժամկետով: </w:t>
            </w:r>
          </w:p>
          <w:p w14:paraId="33F47E20"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 դրույթի վերլուծությունից հետևում է, որ արարքը ՀՀ քրեական օրենսգրքի վերոգրյալ դրույթի շրջանակներում որպես դատարանի նկատմամբ անհարգալից վերաբերմունք կարող է որակվել միայն այն դեպքում, երբ դրսևորվել է դատավարությանը մասնակցող անձին վիրավորելով։ Նման պայմաններում առաջարկում ենք նշված հանցակազմի ձևակերպման մեջ լրացնել նաև դատական նիստին ներկա գտնվող այլ անձանց նկատմամբ վիրավորական արտահայտություններ հնչեցնելը նշված հանցակազմի շրջանակներում որպես դատարանի նկատմամբ անհարգալից վերաբերմունքի դրսևորում դիտարկելու հարցը։</w:t>
            </w:r>
          </w:p>
          <w:p w14:paraId="45976DC9" w14:textId="77777777" w:rsidR="00881AD5" w:rsidRPr="00F2718E" w:rsidRDefault="00881AD5" w:rsidP="00A961C5">
            <w:pPr>
              <w:spacing w:line="360" w:lineRule="auto"/>
              <w:jc w:val="center"/>
              <w:rPr>
                <w:rFonts w:ascii="GHEA Grapalat" w:hAnsi="GHEA Grapalat"/>
                <w:lang w:val="hy-AM"/>
              </w:rPr>
            </w:pPr>
          </w:p>
        </w:tc>
        <w:tc>
          <w:tcPr>
            <w:tcW w:w="7022" w:type="dxa"/>
            <w:gridSpan w:val="6"/>
          </w:tcPr>
          <w:p w14:paraId="5D5BA1E4" w14:textId="77777777" w:rsidR="00FC5904" w:rsidRPr="00F2718E" w:rsidRDefault="00FC5904"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1F5E9AEC" w14:textId="77777777" w:rsidR="00881AD5" w:rsidRPr="00F2718E" w:rsidRDefault="00FC5904" w:rsidP="00A961C5">
            <w:pPr>
              <w:spacing w:line="360" w:lineRule="auto"/>
              <w:rPr>
                <w:rFonts w:ascii="GHEA Grapalat" w:hAnsi="GHEA Grapalat"/>
                <w:lang w:val="hy-AM"/>
              </w:rPr>
            </w:pPr>
            <w:r w:rsidRPr="00F2718E">
              <w:rPr>
                <w:rFonts w:ascii="GHEA Grapalat" w:hAnsi="GHEA Grapalat"/>
                <w:lang w:val="hy-AM"/>
              </w:rPr>
              <w:t>Նախագծի կարգավորման առարկայից դուրս է:</w:t>
            </w:r>
          </w:p>
        </w:tc>
      </w:tr>
      <w:tr w:rsidR="00881AD5" w:rsidRPr="00F2718E" w14:paraId="2AEE87A8" w14:textId="77777777" w:rsidTr="00F260E8">
        <w:trPr>
          <w:gridAfter w:val="1"/>
          <w:wAfter w:w="6" w:type="dxa"/>
        </w:trPr>
        <w:tc>
          <w:tcPr>
            <w:tcW w:w="7879" w:type="dxa"/>
          </w:tcPr>
          <w:p w14:paraId="7D0A0049" w14:textId="77777777" w:rsidR="00881AD5" w:rsidRPr="00F2718E" w:rsidRDefault="00FC5904" w:rsidP="00A961C5">
            <w:pPr>
              <w:spacing w:line="360" w:lineRule="auto"/>
              <w:jc w:val="both"/>
              <w:rPr>
                <w:rFonts w:ascii="GHEA Grapalat" w:hAnsi="GHEA Grapalat"/>
                <w:lang w:val="hy-AM"/>
              </w:rPr>
            </w:pPr>
            <w:r w:rsidRPr="00F2718E">
              <w:rPr>
                <w:rFonts w:ascii="GHEA Grapalat" w:hAnsi="GHEA Grapalat"/>
                <w:lang w:val="hy-AM"/>
              </w:rPr>
              <w:t>6. Միաժամանակ Նախագծերի փաթեթի շրջանակում առաջարկում ենք ներառել նաև դատարանում համապատասխան փաստաթուղթ ներկայացնելիս կից փաստաթղթերի ցանկում պետական մարմնի ի պաշտոնե ներկայացուցչի իրավասությունը հաստատող իրավական ակտը կցելու անհրաժեշտությունը այն դեպքում, երբ այն հրապարակված և հասանելի է։ Մասնավորապես, գործնականում նախարարի կամ Մրցակցության պաշտպանության հանձնաժողովի նախագահի կողմից ստորագրվող փաստաթղթերի դեպքում պահանջվում է ներկայացնել նաև Հայաստանի իրավական տեղեկատվական (arlis) համակարգում և հասանելի այլ աղբյուրներում առկա հրամանագրի կամ որոշման պատճենը։</w:t>
            </w:r>
          </w:p>
        </w:tc>
        <w:tc>
          <w:tcPr>
            <w:tcW w:w="7022" w:type="dxa"/>
            <w:gridSpan w:val="6"/>
          </w:tcPr>
          <w:p w14:paraId="03B9F047" w14:textId="77777777" w:rsidR="00FC5904" w:rsidRPr="00F2718E" w:rsidRDefault="00FC5904"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0F437BBC" w14:textId="77777777" w:rsidR="00881AD5" w:rsidRPr="00F2718E" w:rsidRDefault="00FC5904" w:rsidP="00A961C5">
            <w:pPr>
              <w:spacing w:line="360" w:lineRule="auto"/>
              <w:rPr>
                <w:rFonts w:ascii="GHEA Grapalat" w:hAnsi="GHEA Grapalat"/>
                <w:lang w:val="hy-AM"/>
              </w:rPr>
            </w:pPr>
            <w:r w:rsidRPr="00F2718E">
              <w:rPr>
                <w:rFonts w:ascii="GHEA Grapalat" w:hAnsi="GHEA Grapalat"/>
                <w:lang w:val="hy-AM"/>
              </w:rPr>
              <w:t>Նախագծի կարգավորման առարկայից դուրս է:</w:t>
            </w:r>
          </w:p>
        </w:tc>
      </w:tr>
      <w:tr w:rsidR="00FC5904" w:rsidRPr="00F2718E" w14:paraId="4840F234" w14:textId="77777777" w:rsidTr="00F260E8">
        <w:trPr>
          <w:trHeight w:val="442"/>
        </w:trPr>
        <w:tc>
          <w:tcPr>
            <w:tcW w:w="12563" w:type="dxa"/>
            <w:gridSpan w:val="6"/>
            <w:vMerge w:val="restart"/>
            <w:shd w:val="clear" w:color="auto" w:fill="D9D9D9" w:themeFill="background1" w:themeFillShade="D9"/>
          </w:tcPr>
          <w:p w14:paraId="1BD6FFE4"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13. Պետական եկամուտների կոմիտե</w:t>
            </w:r>
          </w:p>
        </w:tc>
        <w:tc>
          <w:tcPr>
            <w:tcW w:w="2344" w:type="dxa"/>
            <w:gridSpan w:val="2"/>
            <w:shd w:val="clear" w:color="auto" w:fill="D9D9D9" w:themeFill="background1" w:themeFillShade="D9"/>
          </w:tcPr>
          <w:p w14:paraId="222388B9"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17.04.2024թ.</w:t>
            </w:r>
          </w:p>
        </w:tc>
      </w:tr>
      <w:tr w:rsidR="00FC5904" w:rsidRPr="00F2718E" w14:paraId="794A8AFB" w14:textId="77777777" w:rsidTr="00F260E8">
        <w:trPr>
          <w:trHeight w:val="402"/>
        </w:trPr>
        <w:tc>
          <w:tcPr>
            <w:tcW w:w="12563" w:type="dxa"/>
            <w:gridSpan w:val="6"/>
            <w:vMerge/>
            <w:shd w:val="clear" w:color="auto" w:fill="D9D9D9" w:themeFill="background1" w:themeFillShade="D9"/>
          </w:tcPr>
          <w:p w14:paraId="7E989C4A"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3FB0B633" w14:textId="77777777" w:rsidR="00FC5904" w:rsidRPr="00F2718E" w:rsidRDefault="00FC5904" w:rsidP="00A961C5">
            <w:pPr>
              <w:spacing w:line="360" w:lineRule="auto"/>
              <w:jc w:val="both"/>
              <w:rPr>
                <w:rFonts w:ascii="GHEA Grapalat" w:hAnsi="GHEA Grapalat"/>
              </w:rPr>
            </w:pPr>
            <w:r w:rsidRPr="00F2718E">
              <w:rPr>
                <w:rFonts w:ascii="GHEA Grapalat" w:hAnsi="GHEA Grapalat"/>
                <w:b/>
                <w:lang w:val="hy-AM"/>
              </w:rPr>
              <w:t>01/11-1/24137-2024</w:t>
            </w:r>
          </w:p>
        </w:tc>
      </w:tr>
      <w:tr w:rsidR="00881AD5" w:rsidRPr="00F2718E" w14:paraId="4B22CA23" w14:textId="77777777" w:rsidTr="00F260E8">
        <w:trPr>
          <w:gridAfter w:val="1"/>
          <w:wAfter w:w="6" w:type="dxa"/>
        </w:trPr>
        <w:tc>
          <w:tcPr>
            <w:tcW w:w="7879" w:type="dxa"/>
          </w:tcPr>
          <w:p w14:paraId="3BC2B1D3"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առաջարկություններ և դիտողություններ չունենք:</w:t>
            </w:r>
          </w:p>
        </w:tc>
        <w:tc>
          <w:tcPr>
            <w:tcW w:w="7022" w:type="dxa"/>
            <w:gridSpan w:val="6"/>
          </w:tcPr>
          <w:p w14:paraId="372CC232"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FC5904" w:rsidRPr="00F2718E" w14:paraId="4A723854" w14:textId="77777777" w:rsidTr="00F260E8">
        <w:trPr>
          <w:trHeight w:val="534"/>
        </w:trPr>
        <w:tc>
          <w:tcPr>
            <w:tcW w:w="12563" w:type="dxa"/>
            <w:gridSpan w:val="6"/>
            <w:vMerge w:val="restart"/>
            <w:shd w:val="clear" w:color="auto" w:fill="D9D9D9" w:themeFill="background1" w:themeFillShade="D9"/>
          </w:tcPr>
          <w:p w14:paraId="10B16F9E"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14. Քաղաքացիական ավիացիայի կոմիտե</w:t>
            </w:r>
          </w:p>
        </w:tc>
        <w:tc>
          <w:tcPr>
            <w:tcW w:w="2344" w:type="dxa"/>
            <w:gridSpan w:val="2"/>
            <w:shd w:val="clear" w:color="auto" w:fill="D9D9D9" w:themeFill="background1" w:themeFillShade="D9"/>
          </w:tcPr>
          <w:p w14:paraId="0213BE25"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23.04.2024թ.</w:t>
            </w:r>
          </w:p>
        </w:tc>
      </w:tr>
      <w:tr w:rsidR="00FC5904" w:rsidRPr="00F2718E" w14:paraId="3B4F026C" w14:textId="77777777" w:rsidTr="00F260E8">
        <w:trPr>
          <w:trHeight w:val="409"/>
        </w:trPr>
        <w:tc>
          <w:tcPr>
            <w:tcW w:w="12563" w:type="dxa"/>
            <w:gridSpan w:val="6"/>
            <w:vMerge/>
            <w:shd w:val="clear" w:color="auto" w:fill="D9D9D9" w:themeFill="background1" w:themeFillShade="D9"/>
          </w:tcPr>
          <w:p w14:paraId="1AE7D2C6"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4A8DC1C2"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ԳՍ//13084-2024</w:t>
            </w:r>
          </w:p>
        </w:tc>
      </w:tr>
      <w:tr w:rsidR="00881AD5" w:rsidRPr="00F2718E" w14:paraId="615522F2" w14:textId="77777777" w:rsidTr="00F260E8">
        <w:trPr>
          <w:gridAfter w:val="1"/>
          <w:wAfter w:w="6" w:type="dxa"/>
        </w:trPr>
        <w:tc>
          <w:tcPr>
            <w:tcW w:w="7879" w:type="dxa"/>
          </w:tcPr>
          <w:p w14:paraId="611CC5FE"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«Հայաստանի Հանրապետության վարչական դատավարության օրենսգրքում լրացումներ և փոփոխություններ կատարելու մասին» օրենքի նախագծի 3-րդ հոդվածով նախատեսված է Օրենսգիրքը լրացնել 101.6-րդ հոդվածով։ Նշված հոդվածի 1-ին մասի համաձայն՝ </w:t>
            </w:r>
            <w:r w:rsidRPr="00F2718E">
              <w:rPr>
                <w:rFonts w:ascii="GHEA Grapalat" w:hAnsi="GHEA Grapalat"/>
                <w:b/>
                <w:i/>
                <w:lang w:val="hy-AM"/>
              </w:rPr>
              <w:t>իրավունքի իրականացման սահմանափակումը դատավարության մասնակցի`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r w:rsidRPr="00F2718E">
              <w:rPr>
                <w:rFonts w:ascii="GHEA Grapalat" w:hAnsi="GHEA Grapalat"/>
                <w:lang w:val="hy-AM"/>
              </w:rPr>
              <w:t xml:space="preserve"> Իսկ 2-րդ մասի համաձայն սահմանված է, որ </w:t>
            </w:r>
            <w:r w:rsidRPr="00F2718E">
              <w:rPr>
                <w:rFonts w:ascii="GHEA Grapalat" w:hAnsi="GHEA Grapalat"/>
                <w:b/>
                <w:i/>
                <w:lang w:val="hy-AM"/>
              </w:rPr>
              <w:t>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b/>
                <w:i/>
                <w:lang w:val="hy-AM"/>
              </w:rPr>
              <w:t>․</w:t>
            </w:r>
          </w:p>
          <w:p w14:paraId="27E49C88"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գործի նյութերին ծանոթանալը, դրանց պատճեններ ստանալը, քաղվածքներ, լուսանկարներ, լուսապատճեններ և պատճեններ անելը,</w:t>
            </w:r>
          </w:p>
          <w:p w14:paraId="0855DF88"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ինքնաբացարկ հայտնելու միջնորդություններ անելը.</w:t>
            </w:r>
          </w:p>
          <w:p w14:paraId="616D1AE1"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ապացույցներ ներկայացնելը,</w:t>
            </w:r>
          </w:p>
          <w:p w14:paraId="31AD059A"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հարցեր տալը,</w:t>
            </w:r>
          </w:p>
          <w:p w14:paraId="55BCB2F2"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 միջնորդություններ ներկայացնելը,</w:t>
            </w:r>
          </w:p>
          <w:p w14:paraId="4329CB20"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6) դիրքորոշում ներկայացնելը:</w:t>
            </w:r>
          </w:p>
          <w:p w14:paraId="356262F7"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Ելնելով վերը նշված հիմնական իրավունքների սահմանափակումներ նախատեսող դրույթներից` հարկ է նշել, որ հիմնական իրավունքների սահմանափակման համար ՀՀ Սահմանադրությունը, ինչպես նաև միջազգային իրավական կարգավորումներն ու պրակտիկան սահմանում են իրավունքի սահմանափակման չափորոշիչներ, որոնք սահմանափակման պայմանների հետ միասին իրավակիրառ մարմինը պետք է հաշվի առնի և կիրառի հիմնական իրավունքը սահմանափակելիս, քանի որ հիմնական իրավունքների սահմանափակումը պետք է լինի անհրաժեշտ, պիտանի և համարժեք։ </w:t>
            </w:r>
          </w:p>
          <w:p w14:paraId="1A7B7D7E" w14:textId="77777777" w:rsidR="00FC5904" w:rsidRPr="00F2718E" w:rsidRDefault="00FC5904" w:rsidP="00A961C5">
            <w:pPr>
              <w:tabs>
                <w:tab w:val="left" w:pos="810"/>
                <w:tab w:val="left" w:pos="900"/>
              </w:tabs>
              <w:spacing w:line="360" w:lineRule="auto"/>
              <w:jc w:val="both"/>
              <w:rPr>
                <w:rFonts w:ascii="GHEA Grapalat" w:hAnsi="GHEA Grapalat"/>
                <w:b/>
                <w:i/>
                <w:lang w:val="hy-AM"/>
              </w:rPr>
            </w:pPr>
            <w:r w:rsidRPr="00F2718E">
              <w:rPr>
                <w:rFonts w:ascii="GHEA Grapalat" w:hAnsi="GHEA Grapalat"/>
                <w:lang w:val="hy-AM"/>
              </w:rPr>
              <w:t xml:space="preserve">Այսպիսով, հիմնական իրավունքի սահմանափակումը կիրառվում է իրավական հիմքով սահմանափակման պայմանների առկայության դեպքում որոշակի չափորոշիչների հաշվառմամբ, և այդ չափորոշիչները չպետք է համընդհանուր նշանակություն ունենան իրավունքների սահմանափակման կիրառման բոլոր դեպքերի համար, որովհետև յուրաքանչյուր կոնկրետ դեպք և յուրաքանչյուր կոնկրետ իրավունք տարբերակված մոտեցում է պահանջում՝ պայմանավորված գործի փաստակազմից և այդ հանգամանքների ունեցած նշանակությունից։ Ըստ այդմ՝ այդ չափորոշիչները կոնկրետ իրավունքի պարագայում և կոնկրետ դեպքով որոշակի կիրառում են ստանում։ Այսինքն՝ այդ չափորոշիչներին չպետք է վերագրել համընդհանուր հատկանիշ, յուրաքանչյուր դեպքում կարող է կիրառվել չափորոշիչների որոշակի կազմ՝ որոշակի համամասնությամբ։ Բացի այդ, անհրաժեշտ է գնահատել կիրառվող սահմանափակման համաչափությունը՝ գնահատման առարկա դարձնելով </w:t>
            </w:r>
            <w:r w:rsidRPr="00F2718E">
              <w:rPr>
                <w:rFonts w:ascii="GHEA Grapalat" w:hAnsi="GHEA Grapalat"/>
                <w:b/>
                <w:i/>
                <w:lang w:val="hy-AM"/>
              </w:rPr>
              <w:t>«օրենքով նախատեսված», միաժամանակ կամայական չլինելու չափորոշչի պահպանմամբ։</w:t>
            </w:r>
          </w:p>
          <w:p w14:paraId="0E8A037F" w14:textId="77777777" w:rsidR="00FC5904" w:rsidRPr="00F2718E" w:rsidRDefault="00FC5904" w:rsidP="00A961C5">
            <w:pPr>
              <w:tabs>
                <w:tab w:val="left" w:pos="810"/>
                <w:tab w:val="left" w:pos="900"/>
              </w:tabs>
              <w:spacing w:line="360" w:lineRule="auto"/>
              <w:jc w:val="both"/>
              <w:rPr>
                <w:rFonts w:ascii="GHEA Grapalat" w:hAnsi="GHEA Grapalat"/>
                <w:b/>
                <w:i/>
                <w:lang w:val="hy-AM"/>
              </w:rPr>
            </w:pPr>
            <w:r w:rsidRPr="00F2718E">
              <w:rPr>
                <w:rFonts w:ascii="GHEA Grapalat" w:hAnsi="GHEA Grapalat"/>
                <w:b/>
                <w:i/>
                <w:lang w:val="hy-AM"/>
              </w:rPr>
              <w:t xml:space="preserve">Հիմնական իրավունքի սահմանափակման այդպիսի չափորոշիչներ են՝ ՀՀ ՍահմանադրությաՆ 78-րդ և 79-րդ հոդվածներով ամրագրված համաչափության և որոշակիության սկզբունքները, որոնք իրենց հերթին բազմաբաղադրիչ են։ </w:t>
            </w:r>
          </w:p>
          <w:p w14:paraId="5FB4E5DE"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Անդրադառնալով իրավունքների սահմանափակման համաչափությանը՝ 2015 թվականի դեկտեմբերի 8-ի ՍԴՈ–1244 որոշման մեջ Սահմանադրական դատարանը նշել է</w:t>
            </w:r>
            <w:r w:rsidRPr="00F2718E">
              <w:rPr>
                <w:rFonts w:ascii="Cambria Math" w:hAnsi="Cambria Math" w:cs="Cambria Math"/>
                <w:lang w:val="hy-AM"/>
              </w:rPr>
              <w:t>․</w:t>
            </w:r>
            <w:r w:rsidRPr="00F2718E">
              <w:rPr>
                <w:rFonts w:ascii="GHEA Grapalat" w:hAnsi="GHEA Grapalat"/>
                <w:lang w:val="hy-AM"/>
              </w:rPr>
              <w:t xml:space="preserve"> «....սահմանադրական դատարանը գտնում է, որ օրենքով պետք է նախատեսվեն այնպիսի իրավակարգավորումներ, </w:t>
            </w:r>
            <w:r w:rsidRPr="00F2718E">
              <w:rPr>
                <w:rFonts w:ascii="GHEA Grapalat" w:hAnsi="GHEA Grapalat"/>
                <w:b/>
                <w:i/>
                <w:lang w:val="hy-AM"/>
              </w:rPr>
              <w:t>որպիսիք արգելք չհանդիսանան (կամ՝ չսահմանափակեն) սահմանադրական իրավունքների ազատ իրացմանը</w:t>
            </w:r>
            <w:r w:rsidRPr="00F2718E">
              <w:rPr>
                <w:rFonts w:ascii="GHEA Grapalat" w:hAnsi="GHEA Grapalat"/>
                <w:lang w:val="hy-AM"/>
              </w:rPr>
              <w:t xml:space="preserve">, </w:t>
            </w:r>
            <w:r w:rsidRPr="00F2718E">
              <w:rPr>
                <w:rFonts w:ascii="GHEA Grapalat" w:hAnsi="GHEA Grapalat"/>
                <w:b/>
                <w:i/>
                <w:lang w:val="hy-AM"/>
              </w:rPr>
              <w:t>եթե այդպիսի իրավունքի սահմանափակումն անհրաժեշտ չէ ժողովրդավարական հասարակությունում և համաչափ չէ իրավաչափ նպատակին</w:t>
            </w:r>
            <w:r w:rsidRPr="00F2718E">
              <w:rPr>
                <w:rFonts w:ascii="GHEA Grapalat" w:hAnsi="GHEA Grapalat"/>
                <w:lang w:val="hy-AM"/>
              </w:rPr>
              <w:t>»։ Այսինքն՝ իրավունքի ցանկացած սահմանափակում պետք է ունենա լեգիտիմ նպատակ։</w:t>
            </w:r>
          </w:p>
          <w:p w14:paraId="39E36179"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Հետևապես՝ հաշվի առնելով վերը նշվածը առաջարկում ենք հստակեցնել 101.6-րդ հոդվածի 1-ին մասը, ինչպես նաև հստակեցնել </w:t>
            </w:r>
            <w:r w:rsidRPr="00F2718E">
              <w:rPr>
                <w:rFonts w:ascii="GHEA Grapalat" w:hAnsi="GHEA Grapalat"/>
                <w:b/>
                <w:i/>
                <w:lang w:val="hy-AM"/>
              </w:rPr>
              <w:t>դատավարության մասնակից</w:t>
            </w:r>
            <w:r w:rsidRPr="00F2718E">
              <w:rPr>
                <w:rFonts w:ascii="GHEA Grapalat" w:hAnsi="GHEA Grapalat"/>
                <w:lang w:val="hy-AM"/>
              </w:rPr>
              <w:t xml:space="preserve"> հանդիսացող անձանց շրջանակը սույն սահմանափակումների կիրառման մասով։ </w:t>
            </w:r>
          </w:p>
          <w:p w14:paraId="631F210B" w14:textId="77777777" w:rsidR="00FC5904"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Միևնույն ժամանակ, հարկ է նշել, որ վերը ներկայացված նկատառումները վերաբերվում են նաև «Հայաստանի Հանրապետության քաղաքացիական դատավարության օրենսգրքում փոփոխություններ և լրացումներ կատարելու մասին» օրենքի նախագծի 6-րդ հոդվածով նախատեսված 155.4-րդ հոդվածին։</w:t>
            </w:r>
          </w:p>
          <w:p w14:paraId="3C4384C7" w14:textId="77777777" w:rsidR="00881AD5" w:rsidRPr="00F2718E" w:rsidRDefault="00881AD5" w:rsidP="00A961C5">
            <w:pPr>
              <w:spacing w:line="360" w:lineRule="auto"/>
              <w:jc w:val="center"/>
              <w:rPr>
                <w:rFonts w:ascii="GHEA Grapalat" w:hAnsi="GHEA Grapalat"/>
                <w:lang w:val="hy-AM"/>
              </w:rPr>
            </w:pPr>
          </w:p>
        </w:tc>
        <w:tc>
          <w:tcPr>
            <w:tcW w:w="7022" w:type="dxa"/>
            <w:gridSpan w:val="6"/>
          </w:tcPr>
          <w:p w14:paraId="0549A1B6" w14:textId="77777777" w:rsidR="00FC5904" w:rsidRPr="00F2718E" w:rsidRDefault="00FC5904"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74CD674E" w14:textId="77777777" w:rsidR="00FC5904" w:rsidRPr="00F2718E" w:rsidRDefault="00FC5904" w:rsidP="00A961C5">
            <w:pPr>
              <w:spacing w:line="360" w:lineRule="auto"/>
              <w:jc w:val="both"/>
              <w:rPr>
                <w:rFonts w:ascii="GHEA Grapalat" w:hAnsi="GHEA Grapalat"/>
                <w:lang w:val="hy-AM"/>
              </w:rPr>
            </w:pPr>
            <w:r w:rsidRPr="00F2718E">
              <w:rPr>
                <w:rFonts w:ascii="GHEA Grapalat" w:hAnsi="GHEA Grapalat"/>
                <w:lang w:val="hy-AM"/>
              </w:rPr>
              <w:t>Նախագծերով հստակ սահմանվել է, որ իրավունքի իրականացման սահմանափակում եզրույթը դատական սանկցիայի տեսակ է, որը ենթադրում է, որ որոշակի իրավունքների պարբերաբար չարաշահման դեպքում դատարանը կիրառում է դրանց իրականացման ժամանակային կամ քանակական պայմաններ: Ընդ որում, սպառիչ ցանկի տեսքով նախատեսված են իրավունքների այն տեսակները, որոնք կարող են ենթակա լինել սահմանափակման: Այսպիսով, Նախագծով հստակեցվել և առանձնացվել են դատավարական այն իրավունքները, որոնք կարող են ենթարկվել սահմանափակման, նախատեսվել է նման սահմանափակման հիմքը, այն է՝ «իրավունքի պարբերաբար չարաշահում»:</w:t>
            </w:r>
          </w:p>
          <w:p w14:paraId="07011147" w14:textId="77777777" w:rsidR="00FC5904" w:rsidRPr="00F2718E" w:rsidRDefault="00FC5904" w:rsidP="00A961C5">
            <w:pPr>
              <w:spacing w:line="360" w:lineRule="auto"/>
              <w:jc w:val="both"/>
              <w:rPr>
                <w:rFonts w:ascii="GHEA Grapalat" w:hAnsi="GHEA Grapalat"/>
                <w:lang w:val="hy-AM"/>
              </w:rPr>
            </w:pPr>
            <w:r w:rsidRPr="00F2718E">
              <w:rPr>
                <w:rFonts w:ascii="GHEA Grapalat" w:hAnsi="GHEA Grapalat"/>
                <w:lang w:val="hy-AM"/>
              </w:rPr>
              <w:t>Թեև դատավարական օրենսդրությունը սահմանում է դատավարության մասնակիցների մի շարք իրավունքներ, սակայն դրանք բացարձակ բնույթ չեն կրում և համաչափության սկզբունքի պահպանման համատեքստում կարող են ենթարկվել սահմանափակումների՝ որպես որոշակի վարքագծի՝ գործողության կամ անգործության հետևանք: Ընդ որում, այդ կարգավորումը համապատասխանում է համաչափության տարր կազմող պիտանիության, չափավորության և անհրաժեշտության չափանիշներին: Այսպես, նման միջոցները պիտանի են այնքանով, որքանով հնարավորություն են տալիս հասնել որոշակի արժեք ներկայացնող արդար դատաքննության, գործերի ողջամիտ ժամկետներում քննության ապահովմանը, իսկ չափավոր և անհրաժեշտ՝ հաշվի առնելով, որ առկա է ողջամիտ հավասարակշռություն ձեռնարկվող միջամտության և հետապնդվող նպատակի միջև:</w:t>
            </w:r>
            <w:r w:rsidRPr="00F2718E">
              <w:rPr>
                <w:rFonts w:ascii="GHEA Grapalat" w:hAnsi="GHEA Grapalat"/>
                <w:shd w:val="clear" w:color="auto" w:fill="FFFFFF"/>
                <w:lang w:val="hy-AM"/>
              </w:rPr>
              <w:t xml:space="preserve"> Ընդ որում, իրավունքի իրականացման սահմանափակումը որպես սանկցիայի տեսակ նույն տրամաբանությամբ սահմանված է նաև ՀՀ քրեական դատավարության օրենսգրքով:</w:t>
            </w:r>
          </w:p>
          <w:p w14:paraId="73D73BCD" w14:textId="77777777" w:rsidR="00BB5F95" w:rsidRPr="00F2718E" w:rsidRDefault="00FC5904" w:rsidP="00A961C5">
            <w:pPr>
              <w:spacing w:line="360" w:lineRule="auto"/>
              <w:jc w:val="both"/>
              <w:rPr>
                <w:rFonts w:ascii="GHEA Grapalat" w:hAnsi="GHEA Grapalat"/>
                <w:lang w:val="hy-AM"/>
              </w:rPr>
            </w:pPr>
            <w:r w:rsidRPr="00F2718E">
              <w:rPr>
                <w:rFonts w:ascii="GHEA Grapalat" w:hAnsi="GHEA Grapalat"/>
                <w:lang w:val="hy-AM"/>
              </w:rPr>
              <w:t>Ինչ վերաբերում է դատավարության մասնակիցների շրջանակը հստակեցնելուն, ապա դատավարության մասնակիցների շրջանակը նախատեսված է ՀՀ քաղաքացիական դատավարության օրենսգրքի 30-րդ հոդվածով և ՀՀ վարչական դատավարության օրենսգրքի 14-րդ հոդվածով:</w:t>
            </w:r>
          </w:p>
          <w:p w14:paraId="4F0080AC" w14:textId="231E2A86" w:rsidR="00881AD5" w:rsidRPr="00F2718E" w:rsidRDefault="00FC5904" w:rsidP="00A961C5">
            <w:pPr>
              <w:spacing w:line="360" w:lineRule="auto"/>
              <w:jc w:val="both"/>
              <w:rPr>
                <w:rFonts w:ascii="GHEA Grapalat" w:hAnsi="GHEA Grapalat"/>
                <w:lang w:val="hy-AM"/>
              </w:rPr>
            </w:pPr>
            <w:r w:rsidRPr="00F2718E">
              <w:rPr>
                <w:rFonts w:ascii="GHEA Grapalat" w:hAnsi="GHEA Grapalat"/>
                <w:shd w:val="clear" w:color="auto" w:fill="FFFFFF"/>
                <w:lang w:val="hy-AM"/>
              </w:rPr>
              <w:t>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tc>
      </w:tr>
      <w:tr w:rsidR="00FC5904" w:rsidRPr="00F2718E" w14:paraId="39EFAC52" w14:textId="77777777" w:rsidTr="00F260E8">
        <w:trPr>
          <w:trHeight w:val="464"/>
        </w:trPr>
        <w:tc>
          <w:tcPr>
            <w:tcW w:w="12563" w:type="dxa"/>
            <w:gridSpan w:val="6"/>
            <w:vMerge w:val="restart"/>
            <w:shd w:val="clear" w:color="auto" w:fill="D9D9D9" w:themeFill="background1" w:themeFillShade="D9"/>
          </w:tcPr>
          <w:p w14:paraId="1A2A7D4D" w14:textId="77777777" w:rsidR="00FC5904" w:rsidRPr="00F2718E" w:rsidRDefault="00FC5904" w:rsidP="00A961C5">
            <w:pPr>
              <w:spacing w:line="360" w:lineRule="auto"/>
              <w:jc w:val="center"/>
              <w:rPr>
                <w:rFonts w:ascii="GHEA Grapalat" w:hAnsi="GHEA Grapalat"/>
                <w:lang w:val="hy-AM"/>
              </w:rPr>
            </w:pPr>
            <w:r w:rsidRPr="00F2718E">
              <w:rPr>
                <w:rFonts w:ascii="GHEA Grapalat" w:hAnsi="GHEA Grapalat"/>
                <w:b/>
                <w:lang w:val="hy-AM"/>
              </w:rPr>
              <w:t>15. Տարածքային կառավարման և ենթակառուցվածքների նախարարություն</w:t>
            </w:r>
          </w:p>
        </w:tc>
        <w:tc>
          <w:tcPr>
            <w:tcW w:w="2344" w:type="dxa"/>
            <w:gridSpan w:val="2"/>
            <w:shd w:val="clear" w:color="auto" w:fill="D9D9D9" w:themeFill="background1" w:themeFillShade="D9"/>
          </w:tcPr>
          <w:p w14:paraId="6B15AF36"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19.04.2024թ.</w:t>
            </w:r>
          </w:p>
        </w:tc>
      </w:tr>
      <w:tr w:rsidR="00FC5904" w:rsidRPr="00F2718E" w14:paraId="08A24FA7" w14:textId="77777777" w:rsidTr="00F260E8">
        <w:trPr>
          <w:trHeight w:val="488"/>
        </w:trPr>
        <w:tc>
          <w:tcPr>
            <w:tcW w:w="12563" w:type="dxa"/>
            <w:gridSpan w:val="6"/>
            <w:vMerge/>
            <w:shd w:val="clear" w:color="auto" w:fill="D9D9D9" w:themeFill="background1" w:themeFillShade="D9"/>
          </w:tcPr>
          <w:p w14:paraId="3AB28973"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6E4FDB70"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ԳՍ//12725-2024</w:t>
            </w:r>
          </w:p>
        </w:tc>
      </w:tr>
      <w:tr w:rsidR="00881AD5" w:rsidRPr="00F2718E" w14:paraId="7A6B06A3" w14:textId="77777777" w:rsidTr="00F260E8">
        <w:trPr>
          <w:gridAfter w:val="1"/>
          <w:wAfter w:w="6" w:type="dxa"/>
        </w:trPr>
        <w:tc>
          <w:tcPr>
            <w:tcW w:w="7879" w:type="dxa"/>
          </w:tcPr>
          <w:p w14:paraId="55D665CD" w14:textId="77777777" w:rsidR="00881AD5" w:rsidRPr="00F2718E" w:rsidRDefault="00FC5904"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 քննարկվել են ՀՀ մարզպետների աշխատակազմերի հետ համատեղ և վերջիններիս վերաբերյալ առաջարկություն</w:t>
            </w:r>
            <w:r w:rsidR="000447A1" w:rsidRPr="00F2718E">
              <w:rPr>
                <w:rFonts w:ascii="GHEA Grapalat" w:hAnsi="GHEA Grapalat"/>
                <w:lang w:val="hy-AM"/>
              </w:rPr>
              <w:t>ներ և դիտողություններ առկա չեն։</w:t>
            </w:r>
          </w:p>
        </w:tc>
        <w:tc>
          <w:tcPr>
            <w:tcW w:w="7022" w:type="dxa"/>
            <w:gridSpan w:val="6"/>
          </w:tcPr>
          <w:p w14:paraId="1D0C42CA"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FC5904" w:rsidRPr="00F2718E" w14:paraId="3548E560" w14:textId="77777777" w:rsidTr="00F260E8">
        <w:trPr>
          <w:trHeight w:val="488"/>
        </w:trPr>
        <w:tc>
          <w:tcPr>
            <w:tcW w:w="12563" w:type="dxa"/>
            <w:gridSpan w:val="6"/>
            <w:vMerge w:val="restart"/>
            <w:shd w:val="clear" w:color="auto" w:fill="D9D9D9" w:themeFill="background1" w:themeFillShade="D9"/>
          </w:tcPr>
          <w:p w14:paraId="76EA9173"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16. Վարչապետի աշխատակազմի տեսչական մարմինների աշխատանքների համակարգման գրասենյակ</w:t>
            </w:r>
          </w:p>
          <w:p w14:paraId="1FDADAE5"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2A0C4F3F"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19.04.2024թ.</w:t>
            </w:r>
          </w:p>
        </w:tc>
      </w:tr>
      <w:tr w:rsidR="00FC5904" w:rsidRPr="00F2718E" w14:paraId="0F3FAE56" w14:textId="77777777" w:rsidTr="00F260E8">
        <w:trPr>
          <w:trHeight w:val="669"/>
        </w:trPr>
        <w:tc>
          <w:tcPr>
            <w:tcW w:w="12563" w:type="dxa"/>
            <w:gridSpan w:val="6"/>
            <w:vMerge/>
            <w:shd w:val="clear" w:color="auto" w:fill="D9D9D9" w:themeFill="background1" w:themeFillShade="D9"/>
          </w:tcPr>
          <w:p w14:paraId="48946446"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7FD7A772"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//14488-2024</w:t>
            </w:r>
          </w:p>
        </w:tc>
      </w:tr>
      <w:tr w:rsidR="00881AD5" w:rsidRPr="00F2718E" w14:paraId="64AB671A" w14:textId="77777777" w:rsidTr="00F260E8">
        <w:trPr>
          <w:gridAfter w:val="1"/>
          <w:wAfter w:w="6" w:type="dxa"/>
        </w:trPr>
        <w:tc>
          <w:tcPr>
            <w:tcW w:w="7879" w:type="dxa"/>
          </w:tcPr>
          <w:p w14:paraId="190FDEB4" w14:textId="77777777" w:rsidR="00881AD5" w:rsidRPr="00F2718E" w:rsidRDefault="00FC5904" w:rsidP="00A961C5">
            <w:pPr>
              <w:tabs>
                <w:tab w:val="left" w:pos="4413"/>
              </w:tabs>
              <w:spacing w:line="360" w:lineRule="auto"/>
              <w:jc w:val="both"/>
              <w:rPr>
                <w:rFonts w:ascii="GHEA Grapalat" w:hAnsi="GHEA Grapalat"/>
              </w:rPr>
            </w:pPr>
            <w:r w:rsidRPr="00F2718E">
              <w:rPr>
                <w:rFonts w:ascii="GHEA Grapalat" w:hAnsi="GHEA Grapalat"/>
                <w:lang w:val="hy-AM"/>
              </w:rPr>
              <w:t>1. Քննության առնելով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 հատնում եմ  որ Տեսչական մարմինների աշխատանքների համակարգման գրասենյակը, իր լիազորությունների շրջանակում, առարկություններ և առաջարկություններ չունի։</w:t>
            </w:r>
          </w:p>
        </w:tc>
        <w:tc>
          <w:tcPr>
            <w:tcW w:w="7022" w:type="dxa"/>
            <w:gridSpan w:val="6"/>
          </w:tcPr>
          <w:p w14:paraId="10DF617B"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881AD5" w:rsidRPr="00F2718E" w14:paraId="53BFAB48" w14:textId="77777777" w:rsidTr="00F260E8">
        <w:trPr>
          <w:gridAfter w:val="1"/>
          <w:wAfter w:w="6" w:type="dxa"/>
        </w:trPr>
        <w:tc>
          <w:tcPr>
            <w:tcW w:w="7879" w:type="dxa"/>
          </w:tcPr>
          <w:p w14:paraId="1E9F2BDC"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2. Առաջարկում եմ վերանայել նախագծերի անցումային դրույթներում սահմանված՝ հետադարձելիություն նախատեսող նորմերը՝ «տարածվում է մինչև» բառերը փոխարինելով «տարածվում է նաև մինչև» բառերով, այլապես ստացվում է, որ նախագծերով սահմանվող դրույթները տարածվելու են միայն մինչև օրենքները ուժի մեջ մտնելը ներկայացված հայցադիմումների (դիմումների) հիման վրա հարուցված գործերի վրա։</w:t>
            </w:r>
          </w:p>
        </w:tc>
        <w:tc>
          <w:tcPr>
            <w:tcW w:w="7022" w:type="dxa"/>
            <w:gridSpan w:val="6"/>
          </w:tcPr>
          <w:p w14:paraId="5B626179" w14:textId="77777777" w:rsidR="00FC5904" w:rsidRPr="00F2718E" w:rsidRDefault="00FC5904" w:rsidP="00A961C5">
            <w:pPr>
              <w:spacing w:line="360" w:lineRule="auto"/>
              <w:jc w:val="center"/>
              <w:rPr>
                <w:rFonts w:ascii="GHEA Grapalat" w:hAnsi="GHEA Grapalat"/>
                <w:b/>
                <w:lang w:val="hy-AM"/>
              </w:rPr>
            </w:pPr>
            <w:r w:rsidRPr="00F2718E">
              <w:rPr>
                <w:rFonts w:ascii="GHEA Grapalat" w:hAnsi="GHEA Grapalat"/>
                <w:b/>
                <w:lang w:val="hy-AM"/>
              </w:rPr>
              <w:t>Ընդունվել է:</w:t>
            </w:r>
          </w:p>
          <w:p w14:paraId="684254E4" w14:textId="77777777" w:rsidR="00881AD5" w:rsidRPr="00F2718E" w:rsidRDefault="00FC5904" w:rsidP="00A961C5">
            <w:pPr>
              <w:spacing w:line="360" w:lineRule="auto"/>
              <w:rPr>
                <w:rFonts w:ascii="GHEA Grapalat" w:hAnsi="GHEA Grapalat"/>
              </w:rPr>
            </w:pPr>
            <w:r w:rsidRPr="00F2718E">
              <w:rPr>
                <w:rFonts w:ascii="GHEA Grapalat" w:hAnsi="GHEA Grapalat"/>
                <w:lang w:val="hy-AM"/>
              </w:rPr>
              <w:t>Նախագծերը լրամշակվել են:</w:t>
            </w:r>
          </w:p>
        </w:tc>
      </w:tr>
      <w:tr w:rsidR="00FC5904" w:rsidRPr="00F2718E" w14:paraId="385A3CB2" w14:textId="77777777" w:rsidTr="00F260E8">
        <w:trPr>
          <w:trHeight w:val="256"/>
        </w:trPr>
        <w:tc>
          <w:tcPr>
            <w:tcW w:w="12563" w:type="dxa"/>
            <w:gridSpan w:val="6"/>
            <w:vMerge w:val="restart"/>
            <w:shd w:val="clear" w:color="auto" w:fill="D9D9D9" w:themeFill="background1" w:themeFillShade="D9"/>
          </w:tcPr>
          <w:p w14:paraId="7B1ADE0B"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17. Աշխատանքի և սոցիալական հարցերի նախարարություն</w:t>
            </w:r>
          </w:p>
        </w:tc>
        <w:tc>
          <w:tcPr>
            <w:tcW w:w="2344" w:type="dxa"/>
            <w:gridSpan w:val="2"/>
            <w:shd w:val="clear" w:color="auto" w:fill="D9D9D9" w:themeFill="background1" w:themeFillShade="D9"/>
          </w:tcPr>
          <w:p w14:paraId="50C5339F"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25.04.2024թ.</w:t>
            </w:r>
          </w:p>
        </w:tc>
      </w:tr>
      <w:tr w:rsidR="00FC5904" w:rsidRPr="00F2718E" w14:paraId="60286894" w14:textId="77777777" w:rsidTr="00F260E8">
        <w:trPr>
          <w:trHeight w:val="232"/>
        </w:trPr>
        <w:tc>
          <w:tcPr>
            <w:tcW w:w="12563" w:type="dxa"/>
            <w:gridSpan w:val="6"/>
            <w:vMerge/>
            <w:shd w:val="clear" w:color="auto" w:fill="D9D9D9" w:themeFill="background1" w:themeFillShade="D9"/>
          </w:tcPr>
          <w:p w14:paraId="78D73BA6"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741837FA"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ՆՄ/ԳԽ-2/13754-2024</w:t>
            </w:r>
          </w:p>
        </w:tc>
      </w:tr>
      <w:tr w:rsidR="00881AD5" w:rsidRPr="00F2718E" w14:paraId="61B5160F" w14:textId="77777777" w:rsidTr="00F260E8">
        <w:trPr>
          <w:gridAfter w:val="1"/>
          <w:wAfter w:w="6" w:type="dxa"/>
        </w:trPr>
        <w:tc>
          <w:tcPr>
            <w:tcW w:w="7879" w:type="dxa"/>
          </w:tcPr>
          <w:p w14:paraId="0940F23A" w14:textId="77777777" w:rsidR="00881AD5" w:rsidRPr="00F2718E" w:rsidRDefault="00FC5904" w:rsidP="00A961C5">
            <w:pPr>
              <w:spacing w:line="360" w:lineRule="auto"/>
              <w:jc w:val="both"/>
              <w:rPr>
                <w:rFonts w:ascii="GHEA Grapalat" w:hAnsi="GHEA Grapalat"/>
              </w:rPr>
            </w:pPr>
            <w:r w:rsidRPr="00F2718E">
              <w:rPr>
                <w:rFonts w:ascii="GHEA Grapalat" w:hAnsi="GHEA Grapalat"/>
                <w:shd w:val="clear" w:color="auto" w:fill="FFFFFF"/>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w:t>
            </w:r>
            <w:r w:rsidRPr="00F2718E">
              <w:rPr>
                <w:rFonts w:ascii="GHEA Grapalat" w:hAnsi="GHEA Grapalat"/>
                <w:shd w:val="clear" w:color="auto" w:fill="FFFFFF"/>
                <w:lang w:val="hy-AM"/>
              </w:rPr>
              <w:t xml:space="preserve">ի </w:t>
            </w:r>
            <w:r w:rsidRPr="00F2718E">
              <w:rPr>
                <w:rFonts w:ascii="GHEA Grapalat" w:hAnsi="GHEA Grapalat"/>
                <w:shd w:val="clear" w:color="auto" w:fill="FFFFFF"/>
              </w:rPr>
              <w:t xml:space="preserve">վերաբերյալ </w:t>
            </w:r>
            <w:r w:rsidRPr="00F2718E">
              <w:rPr>
                <w:rFonts w:ascii="GHEA Grapalat" w:hAnsi="GHEA Grapalat"/>
                <w:shd w:val="clear" w:color="auto" w:fill="FFFFFF"/>
                <w:lang w:val="hy-AM"/>
              </w:rPr>
              <w:t xml:space="preserve">Աշխատանքի և սոցիալական հարցերի նախարարությունն </w:t>
            </w:r>
            <w:r w:rsidRPr="00F2718E">
              <w:rPr>
                <w:rFonts w:ascii="GHEA Grapalat" w:hAnsi="GHEA Grapalat"/>
                <w:shd w:val="clear" w:color="auto" w:fill="FFFFFF"/>
              </w:rPr>
              <w:t>առաջարկություններ և դիտողություններ չունի</w:t>
            </w:r>
            <w:r w:rsidRPr="00F2718E">
              <w:rPr>
                <w:rFonts w:ascii="GHEA Grapalat" w:hAnsi="GHEA Grapalat"/>
                <w:shd w:val="clear" w:color="auto" w:fill="FFFFFF"/>
                <w:lang w:val="hy-AM"/>
              </w:rPr>
              <w:t>:</w:t>
            </w:r>
          </w:p>
        </w:tc>
        <w:tc>
          <w:tcPr>
            <w:tcW w:w="7022" w:type="dxa"/>
            <w:gridSpan w:val="6"/>
          </w:tcPr>
          <w:p w14:paraId="1B99433C"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FC5904" w:rsidRPr="00F2718E" w14:paraId="25B8BA5A" w14:textId="77777777" w:rsidTr="00F260E8">
        <w:trPr>
          <w:trHeight w:val="581"/>
        </w:trPr>
        <w:tc>
          <w:tcPr>
            <w:tcW w:w="12563" w:type="dxa"/>
            <w:gridSpan w:val="6"/>
            <w:vMerge w:val="restart"/>
            <w:shd w:val="clear" w:color="auto" w:fill="D9D9D9" w:themeFill="background1" w:themeFillShade="D9"/>
          </w:tcPr>
          <w:p w14:paraId="7B1C1F4D"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18. Նոտարական պալատ</w:t>
            </w:r>
          </w:p>
        </w:tc>
        <w:tc>
          <w:tcPr>
            <w:tcW w:w="2344" w:type="dxa"/>
            <w:gridSpan w:val="2"/>
            <w:shd w:val="clear" w:color="auto" w:fill="D9D9D9" w:themeFill="background1" w:themeFillShade="D9"/>
          </w:tcPr>
          <w:p w14:paraId="00E9D5B9"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25.04.2024թ.</w:t>
            </w:r>
          </w:p>
        </w:tc>
      </w:tr>
      <w:tr w:rsidR="00FC5904" w:rsidRPr="00F2718E" w14:paraId="5D875FE4" w14:textId="77777777" w:rsidTr="00F260E8">
        <w:trPr>
          <w:trHeight w:val="418"/>
        </w:trPr>
        <w:tc>
          <w:tcPr>
            <w:tcW w:w="12563" w:type="dxa"/>
            <w:gridSpan w:val="6"/>
            <w:vMerge/>
            <w:shd w:val="clear" w:color="auto" w:fill="D9D9D9" w:themeFill="background1" w:themeFillShade="D9"/>
          </w:tcPr>
          <w:p w14:paraId="3AD1E59D"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216291FD"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ԵՆՊ-398/24</w:t>
            </w:r>
          </w:p>
        </w:tc>
      </w:tr>
      <w:tr w:rsidR="00881AD5" w:rsidRPr="00F2718E" w14:paraId="1EE7516D" w14:textId="77777777" w:rsidTr="00F260E8">
        <w:trPr>
          <w:gridAfter w:val="1"/>
          <w:wAfter w:w="6" w:type="dxa"/>
        </w:trPr>
        <w:tc>
          <w:tcPr>
            <w:tcW w:w="7879" w:type="dxa"/>
          </w:tcPr>
          <w:p w14:paraId="2D768486"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 xml:space="preserve">1. Առաջարկում ենք </w:t>
            </w:r>
            <w:r w:rsidRPr="00F2718E">
              <w:rPr>
                <w:rFonts w:ascii="GHEA Grapalat" w:hAnsi="GHEA Grapalat"/>
                <w:shd w:val="clear" w:color="auto" w:fill="FFFFFF"/>
              </w:rPr>
              <w:t xml:space="preserve">«Հայաստանի Հանրապետության քաղաքացիական դատավարության օրենսգրքում փոփոխություններ և լրացումներ կատարելու մասին» </w:t>
            </w:r>
            <w:r w:rsidRPr="00F2718E">
              <w:rPr>
                <w:rFonts w:ascii="GHEA Grapalat" w:hAnsi="GHEA Grapalat"/>
                <w:shd w:val="clear" w:color="auto" w:fill="FFFFFF"/>
                <w:lang w:val="hy-AM"/>
              </w:rPr>
              <w:t xml:space="preserve">մասին օրենքի </w:t>
            </w:r>
            <w:r w:rsidRPr="00F2718E">
              <w:rPr>
                <w:rFonts w:ascii="GHEA Grapalat" w:hAnsi="GHEA Grapalat"/>
              </w:rPr>
              <w:t xml:space="preserve">147.1 </w:t>
            </w:r>
            <w:r w:rsidRPr="00F2718E">
              <w:rPr>
                <w:rFonts w:ascii="GHEA Grapalat" w:hAnsi="GHEA Grapalat"/>
                <w:lang w:val="hy-AM"/>
              </w:rPr>
              <w:t>հոդվածի 1-ին մասը լրացնել հետևյալ նախադասությամբ՝ «Ինքնուրույն պահանջներ չներկայացնող երրորդ անձից և իրավասու մարմնից, որպես դատավարության մասնակից, լրացուցիչ պարզաբանում ստանալու անհրաժեշտության դեպքում, դատարանը կարող է հիմք ընդունել նրանց գրավոր պարզաբանումը դատարանին անհրաժեշտ հարցադրումների վերաբերյալ:»:</w:t>
            </w:r>
          </w:p>
        </w:tc>
        <w:tc>
          <w:tcPr>
            <w:tcW w:w="7022" w:type="dxa"/>
            <w:gridSpan w:val="6"/>
          </w:tcPr>
          <w:p w14:paraId="45ADEE18"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3C93D65A" w14:textId="43F9C31D"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0215F1BB" w14:textId="52D1621E" w:rsidR="00881AD5" w:rsidRPr="00F2718E" w:rsidRDefault="00881AD5" w:rsidP="00A961C5">
            <w:pPr>
              <w:spacing w:line="360" w:lineRule="auto"/>
              <w:jc w:val="both"/>
              <w:rPr>
                <w:rFonts w:ascii="GHEA Grapalat" w:hAnsi="GHEA Grapalat"/>
              </w:rPr>
            </w:pPr>
          </w:p>
        </w:tc>
      </w:tr>
      <w:tr w:rsidR="00881AD5" w:rsidRPr="00F2718E" w14:paraId="4EE5B119" w14:textId="77777777" w:rsidTr="00F260E8">
        <w:trPr>
          <w:gridAfter w:val="1"/>
          <w:wAfter w:w="6" w:type="dxa"/>
        </w:trPr>
        <w:tc>
          <w:tcPr>
            <w:tcW w:w="7879" w:type="dxa"/>
          </w:tcPr>
          <w:p w14:paraId="2B2B88CF"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 xml:space="preserve">2. Առաջարկում ենք </w:t>
            </w:r>
            <w:r w:rsidRPr="00F2718E">
              <w:rPr>
                <w:rFonts w:ascii="GHEA Grapalat" w:hAnsi="GHEA Grapalat"/>
                <w:shd w:val="clear" w:color="auto" w:fill="FFFFFF"/>
                <w:lang w:val="hy-AM"/>
              </w:rPr>
              <w:t>«Հայաստանի Հանրապետության քաղաքացիական դատավարության օրենսգրքում փոփոխություններ և լրացումներ կատարելու մասին» մասին օրենքի</w:t>
            </w:r>
            <w:r w:rsidRPr="00F2718E">
              <w:rPr>
                <w:rFonts w:ascii="GHEA Grapalat" w:hAnsi="GHEA Grapalat"/>
                <w:lang w:val="hy-AM"/>
              </w:rPr>
              <w:t xml:space="preserve"> 147.1 հոդվածի 2-րդ մասը «հիմնավորված միջնորդություն» բառից հետո լրացնել «կամ գրավոր պարզաբանում դատարանին անհրաժեշտ հարցադրումների վերաբերյալ» բառերով:</w:t>
            </w:r>
          </w:p>
        </w:tc>
        <w:tc>
          <w:tcPr>
            <w:tcW w:w="7022" w:type="dxa"/>
            <w:gridSpan w:val="6"/>
          </w:tcPr>
          <w:p w14:paraId="68FB70C1"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112197E6" w14:textId="325CF184"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7C8329C0" w14:textId="415B5C94" w:rsidR="00881AD5" w:rsidRPr="00F2718E" w:rsidRDefault="00881AD5" w:rsidP="00C3304A">
            <w:pPr>
              <w:spacing w:line="360" w:lineRule="auto"/>
              <w:jc w:val="both"/>
              <w:rPr>
                <w:rFonts w:ascii="GHEA Grapalat" w:hAnsi="GHEA Grapalat"/>
              </w:rPr>
            </w:pPr>
          </w:p>
        </w:tc>
      </w:tr>
      <w:tr w:rsidR="00881AD5" w:rsidRPr="00F2718E" w14:paraId="220C4CE3" w14:textId="77777777" w:rsidTr="00F260E8">
        <w:trPr>
          <w:gridAfter w:val="1"/>
          <w:wAfter w:w="6" w:type="dxa"/>
        </w:trPr>
        <w:tc>
          <w:tcPr>
            <w:tcW w:w="7879" w:type="dxa"/>
          </w:tcPr>
          <w:p w14:paraId="5CC7D9C8"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 xml:space="preserve">3. </w:t>
            </w:r>
            <w:r w:rsidRPr="00F2718E">
              <w:rPr>
                <w:rFonts w:ascii="GHEA Grapalat" w:hAnsi="GHEA Grapalat"/>
                <w:shd w:val="clear" w:color="auto" w:fill="FFFFFF"/>
                <w:lang w:val="hy-AM"/>
              </w:rPr>
              <w:t>«Հայաստանի Հանրապետության վարչական դատավարության օրենսգրքում լրացումներ և փոփոխություններ կատարելու մասին» նախագծի վերաբերյալ ՀՀ նոտարական պալատի պրակտիկայի ապահովման և ուսումնամեթոդական հարցերով մշտական հանձնաժողովն առարկություններ չունի:</w:t>
            </w:r>
          </w:p>
        </w:tc>
        <w:tc>
          <w:tcPr>
            <w:tcW w:w="7022" w:type="dxa"/>
            <w:gridSpan w:val="6"/>
          </w:tcPr>
          <w:p w14:paraId="79FAB55B"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FC5904" w:rsidRPr="00F2718E" w14:paraId="5F3D3389" w14:textId="77777777" w:rsidTr="00F260E8">
        <w:trPr>
          <w:trHeight w:val="558"/>
        </w:trPr>
        <w:tc>
          <w:tcPr>
            <w:tcW w:w="12563" w:type="dxa"/>
            <w:gridSpan w:val="6"/>
            <w:vMerge w:val="restart"/>
            <w:shd w:val="clear" w:color="auto" w:fill="D9D9D9" w:themeFill="background1" w:themeFillShade="D9"/>
          </w:tcPr>
          <w:p w14:paraId="4CEE5870"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19. Կրթության, գիտության, մշակույթի, սպորտի նախարարություն</w:t>
            </w:r>
          </w:p>
        </w:tc>
        <w:tc>
          <w:tcPr>
            <w:tcW w:w="2344" w:type="dxa"/>
            <w:gridSpan w:val="2"/>
            <w:shd w:val="clear" w:color="auto" w:fill="D9D9D9" w:themeFill="background1" w:themeFillShade="D9"/>
          </w:tcPr>
          <w:p w14:paraId="6EC38E76"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16.04.2024թ.</w:t>
            </w:r>
          </w:p>
        </w:tc>
      </w:tr>
      <w:tr w:rsidR="00FC5904" w:rsidRPr="00F2718E" w14:paraId="40B0BF65" w14:textId="77777777" w:rsidTr="00F260E8">
        <w:trPr>
          <w:trHeight w:val="466"/>
        </w:trPr>
        <w:tc>
          <w:tcPr>
            <w:tcW w:w="12563" w:type="dxa"/>
            <w:gridSpan w:val="6"/>
            <w:vMerge/>
            <w:shd w:val="clear" w:color="auto" w:fill="D9D9D9" w:themeFill="background1" w:themeFillShade="D9"/>
          </w:tcPr>
          <w:p w14:paraId="49EEF38C"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6F022776"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01//11599-2024</w:t>
            </w:r>
          </w:p>
        </w:tc>
      </w:tr>
      <w:tr w:rsidR="00881AD5" w:rsidRPr="00F2718E" w14:paraId="30FC6FA9" w14:textId="77777777" w:rsidTr="00F260E8">
        <w:trPr>
          <w:gridAfter w:val="1"/>
          <w:wAfter w:w="6" w:type="dxa"/>
        </w:trPr>
        <w:tc>
          <w:tcPr>
            <w:tcW w:w="7879" w:type="dxa"/>
          </w:tcPr>
          <w:p w14:paraId="57AB6453"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Կրթության, գիտության, մշակույթի և սպորտի նախարարությունը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առաջարկություններ և դիտողություններ չունի:</w:t>
            </w:r>
          </w:p>
        </w:tc>
        <w:tc>
          <w:tcPr>
            <w:tcW w:w="7022" w:type="dxa"/>
            <w:gridSpan w:val="6"/>
          </w:tcPr>
          <w:p w14:paraId="6534ADCD"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FC5904" w:rsidRPr="00F2718E" w14:paraId="712BFFEC" w14:textId="77777777" w:rsidTr="00F260E8">
        <w:trPr>
          <w:trHeight w:val="558"/>
        </w:trPr>
        <w:tc>
          <w:tcPr>
            <w:tcW w:w="12563" w:type="dxa"/>
            <w:gridSpan w:val="6"/>
            <w:vMerge w:val="restart"/>
            <w:shd w:val="clear" w:color="auto" w:fill="D9D9D9" w:themeFill="background1" w:themeFillShade="D9"/>
          </w:tcPr>
          <w:p w14:paraId="5F54663B"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en-US"/>
              </w:rPr>
              <w:t xml:space="preserve">20. </w:t>
            </w:r>
            <w:r w:rsidRPr="00F2718E">
              <w:rPr>
                <w:rFonts w:ascii="GHEA Grapalat" w:hAnsi="GHEA Grapalat"/>
                <w:b/>
                <w:lang w:val="hy-AM"/>
              </w:rPr>
              <w:t>Պաշտպանության նախարարություն</w:t>
            </w:r>
          </w:p>
        </w:tc>
        <w:tc>
          <w:tcPr>
            <w:tcW w:w="2344" w:type="dxa"/>
            <w:gridSpan w:val="2"/>
            <w:shd w:val="clear" w:color="auto" w:fill="D9D9D9" w:themeFill="background1" w:themeFillShade="D9"/>
          </w:tcPr>
          <w:p w14:paraId="43E2DC58"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02.05.2024թ.</w:t>
            </w:r>
          </w:p>
        </w:tc>
      </w:tr>
      <w:tr w:rsidR="00FC5904" w:rsidRPr="00F2718E" w14:paraId="6EF0EBE2" w14:textId="77777777" w:rsidTr="00F260E8">
        <w:trPr>
          <w:trHeight w:val="475"/>
        </w:trPr>
        <w:tc>
          <w:tcPr>
            <w:tcW w:w="12563" w:type="dxa"/>
            <w:gridSpan w:val="6"/>
            <w:vMerge/>
            <w:shd w:val="clear" w:color="auto" w:fill="D9D9D9" w:themeFill="background1" w:themeFillShade="D9"/>
          </w:tcPr>
          <w:p w14:paraId="4005E66A"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3D6536B7"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ՊՆ/510/4614-2024</w:t>
            </w:r>
          </w:p>
        </w:tc>
      </w:tr>
      <w:tr w:rsidR="00881AD5" w:rsidRPr="00F2718E" w14:paraId="47469B39" w14:textId="77777777" w:rsidTr="00F260E8">
        <w:trPr>
          <w:gridAfter w:val="1"/>
          <w:wAfter w:w="6" w:type="dxa"/>
        </w:trPr>
        <w:tc>
          <w:tcPr>
            <w:tcW w:w="7879" w:type="dxa"/>
          </w:tcPr>
          <w:p w14:paraId="2B964267" w14:textId="77777777" w:rsidR="00881AD5" w:rsidRPr="00F2718E" w:rsidRDefault="00FC5904" w:rsidP="00A961C5">
            <w:pPr>
              <w:spacing w:line="360" w:lineRule="auto"/>
              <w:jc w:val="both"/>
              <w:rPr>
                <w:rFonts w:ascii="GHEA Grapalat" w:hAnsi="GHEA Grapalat"/>
              </w:rPr>
            </w:pP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ՀՀ օրենքների նախագծերի վերաբերյալ դիտողություններ և առաջարկություններ չունենք:</w:t>
            </w:r>
          </w:p>
        </w:tc>
        <w:tc>
          <w:tcPr>
            <w:tcW w:w="7022" w:type="dxa"/>
            <w:gridSpan w:val="6"/>
          </w:tcPr>
          <w:p w14:paraId="3E7E224A"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p w14:paraId="07F6458E" w14:textId="77777777" w:rsidR="00FC5904" w:rsidRPr="00F2718E" w:rsidRDefault="00FC5904" w:rsidP="00A961C5">
            <w:pPr>
              <w:spacing w:line="360" w:lineRule="auto"/>
              <w:rPr>
                <w:rFonts w:ascii="GHEA Grapalat" w:hAnsi="GHEA Grapalat"/>
              </w:rPr>
            </w:pPr>
          </w:p>
          <w:p w14:paraId="0DD715CE" w14:textId="77777777" w:rsidR="00FC5904" w:rsidRPr="00F2718E" w:rsidRDefault="00FC5904" w:rsidP="00A961C5">
            <w:pPr>
              <w:spacing w:line="360" w:lineRule="auto"/>
              <w:rPr>
                <w:rFonts w:ascii="GHEA Grapalat" w:hAnsi="GHEA Grapalat"/>
              </w:rPr>
            </w:pPr>
          </w:p>
          <w:p w14:paraId="0F6C42AD" w14:textId="77777777" w:rsidR="00881AD5" w:rsidRPr="00F2718E" w:rsidRDefault="00FC5904" w:rsidP="00A961C5">
            <w:pPr>
              <w:tabs>
                <w:tab w:val="left" w:pos="4250"/>
              </w:tabs>
              <w:spacing w:line="360" w:lineRule="auto"/>
              <w:rPr>
                <w:rFonts w:ascii="GHEA Grapalat" w:hAnsi="GHEA Grapalat"/>
              </w:rPr>
            </w:pPr>
            <w:r w:rsidRPr="00F2718E">
              <w:rPr>
                <w:rFonts w:ascii="GHEA Grapalat" w:hAnsi="GHEA Grapalat"/>
              </w:rPr>
              <w:tab/>
            </w:r>
          </w:p>
        </w:tc>
      </w:tr>
      <w:tr w:rsidR="00FC5904" w:rsidRPr="00F2718E" w14:paraId="211BD9BB" w14:textId="77777777" w:rsidTr="00F260E8">
        <w:trPr>
          <w:trHeight w:val="465"/>
        </w:trPr>
        <w:tc>
          <w:tcPr>
            <w:tcW w:w="12563" w:type="dxa"/>
            <w:gridSpan w:val="6"/>
            <w:vMerge w:val="restart"/>
            <w:shd w:val="clear" w:color="auto" w:fill="D9D9D9" w:themeFill="background1" w:themeFillShade="D9"/>
          </w:tcPr>
          <w:p w14:paraId="7ABDB245" w14:textId="77777777" w:rsidR="00FC5904" w:rsidRPr="00F2718E" w:rsidRDefault="00FC5904" w:rsidP="00A961C5">
            <w:pPr>
              <w:spacing w:line="360" w:lineRule="auto"/>
              <w:jc w:val="center"/>
              <w:rPr>
                <w:rFonts w:ascii="GHEA Grapalat" w:hAnsi="GHEA Grapalat"/>
              </w:rPr>
            </w:pPr>
            <w:r w:rsidRPr="00F2718E">
              <w:rPr>
                <w:rFonts w:ascii="GHEA Grapalat" w:hAnsi="GHEA Grapalat"/>
                <w:b/>
                <w:lang w:val="en-US"/>
              </w:rPr>
              <w:t xml:space="preserve">21. </w:t>
            </w:r>
            <w:r w:rsidRPr="00F2718E">
              <w:rPr>
                <w:rFonts w:ascii="GHEA Grapalat" w:hAnsi="GHEA Grapalat"/>
                <w:b/>
                <w:lang w:val="hy-AM"/>
              </w:rPr>
              <w:t>Շրջակա միջավայրի նախարարություն</w:t>
            </w:r>
          </w:p>
        </w:tc>
        <w:tc>
          <w:tcPr>
            <w:tcW w:w="2344" w:type="dxa"/>
            <w:gridSpan w:val="2"/>
            <w:shd w:val="clear" w:color="auto" w:fill="D9D9D9" w:themeFill="background1" w:themeFillShade="D9"/>
          </w:tcPr>
          <w:p w14:paraId="5A6CF5BA"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29.04.2024թ.</w:t>
            </w:r>
          </w:p>
        </w:tc>
      </w:tr>
      <w:tr w:rsidR="00FC5904" w:rsidRPr="00F2718E" w14:paraId="187FDC69" w14:textId="77777777" w:rsidTr="00F260E8">
        <w:trPr>
          <w:trHeight w:val="487"/>
        </w:trPr>
        <w:tc>
          <w:tcPr>
            <w:tcW w:w="12563" w:type="dxa"/>
            <w:gridSpan w:val="6"/>
            <w:vMerge/>
            <w:shd w:val="clear" w:color="auto" w:fill="D9D9D9" w:themeFill="background1" w:themeFillShade="D9"/>
          </w:tcPr>
          <w:p w14:paraId="447CA9C2" w14:textId="77777777" w:rsidR="00FC5904" w:rsidRPr="00F2718E" w:rsidRDefault="00FC5904"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7D89549C" w14:textId="77777777" w:rsidR="00FC5904" w:rsidRPr="00F2718E" w:rsidRDefault="00FC5904" w:rsidP="00A961C5">
            <w:pPr>
              <w:spacing w:line="360" w:lineRule="auto"/>
              <w:rPr>
                <w:rFonts w:ascii="GHEA Grapalat" w:hAnsi="GHEA Grapalat"/>
              </w:rPr>
            </w:pPr>
            <w:r w:rsidRPr="00F2718E">
              <w:rPr>
                <w:rFonts w:ascii="GHEA Grapalat" w:hAnsi="GHEA Grapalat"/>
                <w:b/>
                <w:lang w:val="hy-AM"/>
              </w:rPr>
              <w:t>1/04.8/4884-2024</w:t>
            </w:r>
          </w:p>
        </w:tc>
      </w:tr>
      <w:tr w:rsidR="00881AD5" w:rsidRPr="00F2718E" w14:paraId="47F920FE" w14:textId="77777777" w:rsidTr="00F260E8">
        <w:trPr>
          <w:gridAfter w:val="1"/>
          <w:wAfter w:w="6" w:type="dxa"/>
        </w:trPr>
        <w:tc>
          <w:tcPr>
            <w:tcW w:w="7879" w:type="dxa"/>
          </w:tcPr>
          <w:p w14:paraId="7C3765CF" w14:textId="77777777" w:rsidR="001F4BC1" w:rsidRPr="00F2718E" w:rsidRDefault="00FC5904" w:rsidP="00A961C5">
            <w:pPr>
              <w:spacing w:line="360" w:lineRule="auto"/>
              <w:jc w:val="both"/>
              <w:rPr>
                <w:rFonts w:ascii="GHEA Grapalat" w:hAnsi="GHEA Grapalat"/>
                <w:lang w:val="hy-AM"/>
              </w:rPr>
            </w:pP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վերաբերյալ շրջակա միջավայրի  նախարարությունն առաջարկություններ և առարկություններ չունի։</w:t>
            </w:r>
          </w:p>
        </w:tc>
        <w:tc>
          <w:tcPr>
            <w:tcW w:w="7022" w:type="dxa"/>
            <w:gridSpan w:val="6"/>
          </w:tcPr>
          <w:p w14:paraId="7449A2D8" w14:textId="77777777" w:rsidR="00881AD5" w:rsidRPr="00F2718E" w:rsidRDefault="00FC5904" w:rsidP="00A961C5">
            <w:pPr>
              <w:spacing w:line="360" w:lineRule="auto"/>
              <w:jc w:val="center"/>
              <w:rPr>
                <w:rFonts w:ascii="GHEA Grapalat" w:hAnsi="GHEA Grapalat"/>
              </w:rPr>
            </w:pPr>
            <w:r w:rsidRPr="00F2718E">
              <w:rPr>
                <w:rFonts w:ascii="GHEA Grapalat" w:hAnsi="GHEA Grapalat"/>
                <w:b/>
                <w:lang w:val="hy-AM"/>
              </w:rPr>
              <w:t>Ընդունվել է:</w:t>
            </w:r>
          </w:p>
        </w:tc>
      </w:tr>
      <w:tr w:rsidR="0040544B" w:rsidRPr="00F2718E" w14:paraId="142920C7" w14:textId="77777777" w:rsidTr="00F260E8">
        <w:trPr>
          <w:trHeight w:val="511"/>
        </w:trPr>
        <w:tc>
          <w:tcPr>
            <w:tcW w:w="12563" w:type="dxa"/>
            <w:gridSpan w:val="6"/>
            <w:vMerge w:val="restart"/>
            <w:shd w:val="clear" w:color="auto" w:fill="D9D9D9" w:themeFill="background1" w:themeFillShade="D9"/>
          </w:tcPr>
          <w:p w14:paraId="3B739919" w14:textId="77777777" w:rsidR="0040544B" w:rsidRPr="00F2718E" w:rsidRDefault="0040544B" w:rsidP="00A961C5">
            <w:pPr>
              <w:spacing w:line="360" w:lineRule="auto"/>
              <w:jc w:val="center"/>
              <w:rPr>
                <w:rFonts w:ascii="GHEA Grapalat" w:hAnsi="GHEA Grapalat"/>
              </w:rPr>
            </w:pPr>
            <w:r w:rsidRPr="00F2718E">
              <w:rPr>
                <w:rFonts w:ascii="GHEA Grapalat" w:hAnsi="GHEA Grapalat"/>
                <w:b/>
                <w:lang w:val="en-US"/>
              </w:rPr>
              <w:t xml:space="preserve">22. </w:t>
            </w:r>
            <w:r w:rsidRPr="00F2718E">
              <w:rPr>
                <w:rFonts w:ascii="GHEA Grapalat" w:hAnsi="GHEA Grapalat"/>
                <w:b/>
                <w:lang w:val="hy-AM"/>
              </w:rPr>
              <w:t>Գլխավոր դատախազություն</w:t>
            </w:r>
          </w:p>
        </w:tc>
        <w:tc>
          <w:tcPr>
            <w:tcW w:w="2344" w:type="dxa"/>
            <w:gridSpan w:val="2"/>
            <w:shd w:val="clear" w:color="auto" w:fill="D9D9D9" w:themeFill="background1" w:themeFillShade="D9"/>
          </w:tcPr>
          <w:p w14:paraId="5CC53257" w14:textId="77777777" w:rsidR="0040544B" w:rsidRPr="00F2718E" w:rsidRDefault="0040544B" w:rsidP="00A961C5">
            <w:pPr>
              <w:spacing w:line="360" w:lineRule="auto"/>
              <w:rPr>
                <w:rFonts w:ascii="GHEA Grapalat" w:hAnsi="GHEA Grapalat"/>
              </w:rPr>
            </w:pPr>
            <w:r w:rsidRPr="00F2718E">
              <w:rPr>
                <w:rFonts w:ascii="GHEA Grapalat" w:hAnsi="GHEA Grapalat"/>
                <w:b/>
                <w:lang w:val="hy-AM"/>
              </w:rPr>
              <w:t>30.04.2024թ.</w:t>
            </w:r>
          </w:p>
        </w:tc>
      </w:tr>
      <w:tr w:rsidR="0040544B" w:rsidRPr="00F2718E" w14:paraId="0D5A6325" w14:textId="77777777" w:rsidTr="00F260E8">
        <w:trPr>
          <w:trHeight w:val="633"/>
        </w:trPr>
        <w:tc>
          <w:tcPr>
            <w:tcW w:w="12563" w:type="dxa"/>
            <w:gridSpan w:val="6"/>
            <w:vMerge/>
          </w:tcPr>
          <w:p w14:paraId="08DB3EB9" w14:textId="77777777" w:rsidR="0040544B" w:rsidRPr="00F2718E" w:rsidRDefault="0040544B"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5E01FD2C" w14:textId="77777777" w:rsidR="0040544B" w:rsidRPr="00F2718E" w:rsidRDefault="0040544B" w:rsidP="00A961C5">
            <w:pPr>
              <w:spacing w:line="360" w:lineRule="auto"/>
              <w:rPr>
                <w:rFonts w:ascii="GHEA Grapalat" w:hAnsi="GHEA Grapalat"/>
              </w:rPr>
            </w:pPr>
            <w:r w:rsidRPr="00F2718E">
              <w:rPr>
                <w:rFonts w:ascii="GHEA Grapalat" w:hAnsi="GHEA Grapalat"/>
                <w:b/>
                <w:lang w:val="hy-AM"/>
              </w:rPr>
              <w:t>02</w:t>
            </w:r>
            <w:r w:rsidRPr="00F2718E">
              <w:rPr>
                <w:rFonts w:ascii="GHEA Grapalat" w:hAnsi="GHEA Grapalat"/>
                <w:b/>
                <w:shd w:val="clear" w:color="auto" w:fill="D9D9D9" w:themeFill="background1" w:themeFillShade="D9"/>
                <w:lang w:val="hy-AM"/>
              </w:rPr>
              <w:t>/20.4/7824-2024</w:t>
            </w:r>
          </w:p>
        </w:tc>
      </w:tr>
      <w:tr w:rsidR="00881AD5" w:rsidRPr="00F2718E" w14:paraId="4D40BBEB" w14:textId="77777777" w:rsidTr="00F260E8">
        <w:trPr>
          <w:gridAfter w:val="1"/>
          <w:wAfter w:w="6" w:type="dxa"/>
        </w:trPr>
        <w:tc>
          <w:tcPr>
            <w:tcW w:w="7879" w:type="dxa"/>
          </w:tcPr>
          <w:p w14:paraId="5F9A33F8"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գլխավոր դատախազությունում ուսումնասիրվել են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նախագծերը:</w:t>
            </w:r>
          </w:p>
          <w:p w14:paraId="39C88D68"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Նախագծերի վերաբերյալ դիտողություններ և առաջարկություններ առկա չեն:</w:t>
            </w:r>
          </w:p>
        </w:tc>
        <w:tc>
          <w:tcPr>
            <w:tcW w:w="7022" w:type="dxa"/>
            <w:gridSpan w:val="6"/>
          </w:tcPr>
          <w:p w14:paraId="5DE5A03A" w14:textId="77777777" w:rsidR="00881AD5" w:rsidRPr="00F2718E" w:rsidRDefault="0040544B" w:rsidP="00A961C5">
            <w:pPr>
              <w:spacing w:line="360" w:lineRule="auto"/>
              <w:jc w:val="center"/>
              <w:rPr>
                <w:rFonts w:ascii="GHEA Grapalat" w:hAnsi="GHEA Grapalat"/>
              </w:rPr>
            </w:pPr>
            <w:r w:rsidRPr="00F2718E">
              <w:rPr>
                <w:rFonts w:ascii="GHEA Grapalat" w:hAnsi="GHEA Grapalat"/>
                <w:b/>
                <w:lang w:val="hy-AM"/>
              </w:rPr>
              <w:t>Ընդունվել է:</w:t>
            </w:r>
          </w:p>
        </w:tc>
      </w:tr>
      <w:tr w:rsidR="0040544B" w:rsidRPr="00F2718E" w14:paraId="14ACB82F" w14:textId="77777777" w:rsidTr="00F260E8">
        <w:trPr>
          <w:trHeight w:val="511"/>
        </w:trPr>
        <w:tc>
          <w:tcPr>
            <w:tcW w:w="12563" w:type="dxa"/>
            <w:gridSpan w:val="6"/>
            <w:vMerge w:val="restart"/>
            <w:shd w:val="clear" w:color="auto" w:fill="D9D9D9" w:themeFill="background1" w:themeFillShade="D9"/>
          </w:tcPr>
          <w:p w14:paraId="477600F6" w14:textId="77777777" w:rsidR="0040544B" w:rsidRPr="00F2718E" w:rsidRDefault="0040544B" w:rsidP="00A961C5">
            <w:pPr>
              <w:spacing w:line="360" w:lineRule="auto"/>
              <w:jc w:val="center"/>
              <w:rPr>
                <w:rFonts w:ascii="GHEA Grapalat" w:hAnsi="GHEA Grapalat"/>
              </w:rPr>
            </w:pPr>
            <w:r w:rsidRPr="00F2718E">
              <w:rPr>
                <w:rFonts w:ascii="GHEA Grapalat" w:hAnsi="GHEA Grapalat"/>
                <w:b/>
                <w:lang w:val="hy-AM"/>
              </w:rPr>
              <w:t>23. Մարդու իրավունքների պաշտպան</w:t>
            </w:r>
          </w:p>
        </w:tc>
        <w:tc>
          <w:tcPr>
            <w:tcW w:w="2344" w:type="dxa"/>
            <w:gridSpan w:val="2"/>
            <w:shd w:val="clear" w:color="auto" w:fill="D9D9D9" w:themeFill="background1" w:themeFillShade="D9"/>
          </w:tcPr>
          <w:p w14:paraId="150FA800" w14:textId="77777777" w:rsidR="0040544B" w:rsidRPr="00F2718E" w:rsidRDefault="0040544B" w:rsidP="00A961C5">
            <w:pPr>
              <w:spacing w:line="360" w:lineRule="auto"/>
              <w:rPr>
                <w:rFonts w:ascii="GHEA Grapalat" w:hAnsi="GHEA Grapalat"/>
              </w:rPr>
            </w:pPr>
            <w:r w:rsidRPr="00F2718E">
              <w:rPr>
                <w:rFonts w:ascii="GHEA Grapalat" w:hAnsi="GHEA Grapalat"/>
                <w:b/>
                <w:lang w:val="hy-AM"/>
              </w:rPr>
              <w:t>03.05.2024թ.</w:t>
            </w:r>
          </w:p>
        </w:tc>
      </w:tr>
      <w:tr w:rsidR="0040544B" w:rsidRPr="00F2718E" w14:paraId="5C746C0F" w14:textId="77777777" w:rsidTr="00F260E8">
        <w:trPr>
          <w:trHeight w:val="513"/>
        </w:trPr>
        <w:tc>
          <w:tcPr>
            <w:tcW w:w="12563" w:type="dxa"/>
            <w:gridSpan w:val="6"/>
            <w:vMerge/>
            <w:shd w:val="clear" w:color="auto" w:fill="D9D9D9" w:themeFill="background1" w:themeFillShade="D9"/>
          </w:tcPr>
          <w:p w14:paraId="41228EAF" w14:textId="77777777" w:rsidR="0040544B" w:rsidRPr="00F2718E" w:rsidRDefault="0040544B"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65C89E79" w14:textId="77777777" w:rsidR="0040544B" w:rsidRPr="00F2718E" w:rsidRDefault="0040544B" w:rsidP="00A961C5">
            <w:pPr>
              <w:spacing w:line="360" w:lineRule="auto"/>
              <w:jc w:val="center"/>
              <w:rPr>
                <w:rFonts w:ascii="GHEA Grapalat" w:hAnsi="GHEA Grapalat"/>
              </w:rPr>
            </w:pPr>
            <w:r w:rsidRPr="00F2718E">
              <w:rPr>
                <w:rFonts w:ascii="GHEA Grapalat" w:hAnsi="GHEA Grapalat"/>
                <w:b/>
                <w:lang w:val="hy-AM"/>
              </w:rPr>
              <w:t>01/13.3/1911-2024</w:t>
            </w:r>
          </w:p>
        </w:tc>
      </w:tr>
      <w:tr w:rsidR="00881AD5" w:rsidRPr="00F2718E" w14:paraId="4CDAF0FA" w14:textId="77777777" w:rsidTr="00F260E8">
        <w:trPr>
          <w:gridAfter w:val="1"/>
          <w:wAfter w:w="6" w:type="dxa"/>
        </w:trPr>
        <w:tc>
          <w:tcPr>
            <w:tcW w:w="7879" w:type="dxa"/>
          </w:tcPr>
          <w:p w14:paraId="79626F0F"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1-ին հոդվածով նախատեսվում է Քաղաքացիական դատավարության օրենսգրքի 27-րդ հոդվածը լրացնել 5.2-րդ մասով, ըստ որի՝ եթե նույն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կամ բողոքի քննության համար սույն օրենսգրքով նախատեսված ժամկետը հավասար է մեկ ամսվա կամ պակաս է մեկ ամսից, ապա տվյալ գործի կամ բողոքի քննության համար նույն օրենսգրքով նախատեսված ժամկետով:</w:t>
            </w:r>
          </w:p>
          <w:p w14:paraId="504B9D11"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Վերոգրյալի առնչությամբ կարծում ենք, որ նախատեսվող նորմը վերախմբագրման կարիք ունի այն առումով, որ տվյալ գործի կամ բողոքի քննության համար Քաղաքացիական օրենսգրքով նախատեսված ժամկետը պետք է գործի այն դեպքերի համար, երբ տվյալ գործի կամ բողոքի քննության համար Քաղաքացիական դատավարության օրենսգրքով նախատեսված ժամկետը մեկ ամսվան հավասար կամ մեկ ամսից ավել է։</w:t>
            </w:r>
          </w:p>
        </w:tc>
        <w:tc>
          <w:tcPr>
            <w:tcW w:w="7022" w:type="dxa"/>
            <w:gridSpan w:val="6"/>
          </w:tcPr>
          <w:p w14:paraId="7FD57083" w14:textId="77777777" w:rsidR="0040544B" w:rsidRPr="00F2718E" w:rsidRDefault="0040544B" w:rsidP="00A961C5">
            <w:pPr>
              <w:spacing w:line="360" w:lineRule="auto"/>
              <w:jc w:val="center"/>
              <w:rPr>
                <w:rFonts w:ascii="GHEA Grapalat" w:hAnsi="GHEA Grapalat"/>
                <w:b/>
                <w:lang w:val="hy-AM"/>
              </w:rPr>
            </w:pPr>
            <w:r w:rsidRPr="00F2718E">
              <w:rPr>
                <w:rFonts w:ascii="GHEA Grapalat" w:hAnsi="GHEA Grapalat"/>
                <w:b/>
                <w:lang w:val="hy-AM"/>
              </w:rPr>
              <w:t>Չի ընդունվել:</w:t>
            </w:r>
          </w:p>
          <w:p w14:paraId="3A4A3B8A"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 xml:space="preserve">Առաջարկվող փոփոխությամբ նախատեսվող դրույթը նպատակուղղված է ապահովելու ընդհատման պահից գործերի քննության ժամկետը շարունակելու դեպքում մի կողմից գործերի քննության ժամկետների պահպանումը, մյուս դեպքում՝ նոր ներգրավված դատավորի կողմից դատավարական գործողություններ կատարելու անհրաժեշտ ժամկետը: Սույն դեպքում Նախագծով արդեն իսկ նշվել է, որ </w:t>
            </w:r>
            <w:r w:rsidRPr="00F2718E">
              <w:rPr>
                <w:rFonts w:ascii="GHEA Grapalat" w:hAnsi="GHEA Grapalat" w:cs="Calibri"/>
                <w:color w:val="222222"/>
                <w:lang w:val="hy-AM"/>
              </w:rPr>
              <w:t>եթե տվյալ գործի կամ բողոքի քննության համար օրենսգրքով նախատեսված ժամկետը հավասար է մեկ ամսվա կամ պակաս է մեկ ամսից, ապա գործի (վերաքննիչ բողոքի) քննության համար օրենսգրքով սահմանված ժամկետը երկարաձգվում է տվյալ գործի կամ բողոքի քննության համար օրենսգրքով նախատեսված ժամկետով: Միաժամանակ, եթե գործի (վերաքննիչ բողոքի) քննության համար օրենսգրքով սահմանված և մնացած ժամկետը պակաս է մեկ ամսից, ապա այդ ժամկետը երկարաձգվում է մեկ ամսով: Ընդ որում, որպես ժամկետ հիմք են ընդունվել միայն հենց ՀՀ քաղաքացիական դատավարության օրենսգրքով նախատեսված ժամկետները: Ընդ որում, այդ ժամկետների ուսումնասիրությունը վկայում է, որ դրանք տատանվում են եռօրյա ժամկետից մինչև եռամսյա ժամկետի սահմաններում, իսկ եզրափակիչ դատական ակտերի դեմ բերված վերաքննիչ բողոքների դեպքում՝ վեցամսյա ժամկետում: Նման պայմաններում ակնհայտ է, որ քաղաքացիական դատավարության օրենսգրքով գործերի քննության համար նախատեսված հատուկ ժամկետներն այնպիսին են, որ գործերի քննության շարունակականության դեպքում  գործի (վերաքննիչ բողոքի) քննության համար օրենսգրքով սահմանված և մնացած ժամկետը մեկ ամսից պակաս լինելու դեպքում մեկ ամսով այդ ժամկետի երկարաձգումը կարող է ապահովել գործերի արդյունավետ քննություն:</w:t>
            </w:r>
          </w:p>
        </w:tc>
      </w:tr>
      <w:tr w:rsidR="00881AD5" w:rsidRPr="00F2718E" w14:paraId="0E1BDEE8" w14:textId="77777777" w:rsidTr="00F260E8">
        <w:trPr>
          <w:gridAfter w:val="1"/>
          <w:wAfter w:w="6" w:type="dxa"/>
        </w:trPr>
        <w:tc>
          <w:tcPr>
            <w:tcW w:w="7879" w:type="dxa"/>
          </w:tcPr>
          <w:p w14:paraId="065B8A7B"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«Հայաստանի Հանրապետության քաղաքացիական դատավարության օրենսգրքում փոփոխություններ և լրացումներ կատարելու մասին» Հայաստանի Հանրապետության օրենքի և «Հայաստանի Հանրապետության վարչական դատավարության օրենսգրքում լրացումներ և փոփոխություններ կատարելու մասին» Հայաստանի Հանրապետության օրենքի նախագծերով նախատեսվում է որպես դատավարական սանկցիա նախատեսել նաև իրավունքի իրականացման սահմանափակումը, որը դատավարության մասնակցի` որոշակի իրավունքների Քաղաքացիական և Վարչական դատավարության օրենսգրքերով սահմանված պարբերաբար չարաշահման դեպքում համապատասխան որոշմամբ դրանց իրականացման համար ժամանակային կամ քանակական պայմանների սահմանումն է:</w:t>
            </w:r>
          </w:p>
          <w:p w14:paraId="00DC3421"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Ըստ նախագծային կարգավորումների՝ իրավունքի իրականացման սահմանափակում կիրառվում է գործի նյութերին ծանոթանալու, դրանց պատճեններ ստանալու, քաղվածքներ, լուսանկարներ, լուսապատճեններ և պատճեններ անելու, բացարկ հայտնելու, ինքնաբացարկ հայտնելու միջնորդություններ անելու, ապացույցներ ներկայացնելու, դատավարության մասնակիցներին հարցեր տալու, միջնորդություններ ներկայացնելու, դիրքորոշում ներկայացնելու իրավունքների վրա:</w:t>
            </w:r>
          </w:p>
          <w:p w14:paraId="1AC8863F"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61-րդ հոդվածով երաշխավորվում է յուրաքանչյուր անձի իր իրավունքների և ազատությունների արդյունավետ դատական պաշտպանության իրավունքը, իսկ 63-րդ հոդվածով՝</w:t>
            </w:r>
            <w:r w:rsidRPr="00F2718E">
              <w:rPr>
                <w:rFonts w:ascii="Calibri" w:hAnsi="Calibri" w:cs="Calibri"/>
                <w:lang w:val="hy-AM"/>
              </w:rPr>
              <w:t> </w:t>
            </w:r>
            <w:r w:rsidRPr="00F2718E">
              <w:rPr>
                <w:rFonts w:ascii="GHEA Grapalat" w:hAnsi="GHEA Grapalat"/>
                <w:lang w:val="hy-AM"/>
              </w:rPr>
              <w:t>յուրաքանչյուր անձի անկախ և անաչառ դատարանի կողմից իր գործի արդարացի, հրապարակային և ողջամիտ ժամկետում քննության իրավունքը:</w:t>
            </w:r>
          </w:p>
          <w:p w14:paraId="19D2D178"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Դատական պաշտպանության և արդար դատաքննության սահմանադրական իրավունքները ենթադրում են անկախ և անաչառ դատարանի առկայություն, գործի արդարացի քննությունը ենթադրում է հավասարության և մրցակցության պայմանների ապահովում դատական քննության ընթացքում, իսկ նշյալ սկզբունքների անտեսումը խոչընդոտում է դատական պաշտպանության և արդար դատաքննության իրավունքների, ինչպես նաև այդ իրավունքների միջոցով սահմանադրական մյուս իրավունքների արդյունավետ պաշտպանության հնարավորությունը: Անդրադառնալով դատական պաշտպանության և արդար դատաքննության սահմանադրական իրավունքների բովանդակության բացահայտմանը՝ Սահմանադրական դատարանն արտահայտել է մի շարք իրավական դիրքորոշումներ, որոնք, մասնավորապես, հանգում են նրան, որ անձի դատական պաշտպանության սահմանադրական իրավունքից ածանցվում է պետության պոզիտիվ պարտականությունը՝ ապահովել այն թե՛ նորմաստեղծ, թե՛ իրավակիրառման գործունեություն իրականացնելիս։ Դա ենթադրում է, մի դեպքում, օրենսդրի պարտականությունը՝ լիարժեք դատական պաշտպանության հնարավորություն և մեխանիզմներ ամրագրել օրենքներում, մյուս կողմից, իրավակիրառողի պարտականությունը՝ առանց բացառությունների քննարկման ընդունել անձանց՝ օրինական կարգով իրենց ուղղված դիմումները, որոնցով նրանք հայցում են իրավական պաշտպանություն իրենց իրավունքների ենթադրյալ խախտումներից:</w:t>
            </w:r>
          </w:p>
          <w:p w14:paraId="47BA9883"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 որոշմամբ Սահմանադրական դատարանն արձանագրել է, որ չնայած նրան, որ դատաքննության հավասարության և մրցակցության սկզբունքները հստակ ամրագրված չեն Կոնվենցիայի 6-րդ հոդվածում, Մարդու իրավունքների եվրոպական դատարանի կողմից` 6-րդ հոդվածում նշված «արդարացի լսումներ» հասկացության մեկնաբանությունների արդյունքում ձևավորվել է հստակ նախադեպ, համաձայն որի` լսումների արդարացիության տարրերից են դատավարության կողմերի հավասարությունը և մրցակցային դատավարությունը, որոնք սերտորեն կապված են միմյանց հետ: Եվրոպական դատարանը Կոնվենցիայի 6-րդ հոդվածի պահանջը համարելով դատավարության մրցակցության և հավասարության սկզբունքներ, միաժամանակ հետևողականորեն իր վճիռներում բացահայտել է այդ սկզբունքների բովանդակությունը, որոնց համաձայն` «կողմերի հավասարությունը» նշանակում է, որ դատավարության յուրաքանչյուր կողմին պետք է ընձեռվի պատշաճ հնարավորություն ներկայացնելու իր գործը, ներառյալ` ապացույցները, այնպիսի պայմաններում, որոնք նրա համար մյուս կողմի համեմատությամբ չեն ստեղծի անբարենպաստ վիճակ։</w:t>
            </w:r>
          </w:p>
          <w:p w14:paraId="5C79A65A"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Արդարադատության իրականացման նկատմամբ դատավարության մասնակիցների վստահությունը հիմնվում է այն գիտակցման վրա, որ իրենց տրվել է գործում առկա բոլոր փաստաթղթերի (ներառյալ դատարանի կողմից սեփական նախաձեռնությամբ ձեռք բերված փաստաթղթերի) վերաբերյալ իրենց կարծիքներն արտահայտելու հնարավորություն։</w:t>
            </w:r>
          </w:p>
          <w:p w14:paraId="41EFBB3D"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Այսպիսով՝ արդար դատաքննությունը և դատական պաշտպանությունը յուրաքանչյուր անձի հիմնարար իրավունքներից են, և պետության պոզիտիվ պարտականությունն է ապահովել այն թե՛ նորմաստեղծ, թե՛ իրավակիրառման գործունեություն իրականացնելիս։</w:t>
            </w:r>
          </w:p>
          <w:p w14:paraId="24EEE642"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Վերոգրյալի հաշվառմամբ կարծում ենք, որ դատավարական իրավունքի իրականացման սահմանափակում սանկցիայի կիրառումը պարունակում է հայեցողության լայն շրջանակ և գործնականում կարող է հանգեցնել դատական պաշտպանության և արդար դատաքննության իրավունքի իրականացման անհիմն սահմանափակումների:</w:t>
            </w:r>
          </w:p>
          <w:p w14:paraId="7C04364F"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Ասվածը հիմնավորվում է նաև նրանով, որ առկա չեն չափանիշներ, որոնց հաշվի առնելու արդյունքում կապացուցվի անձի կողմից իր իրավունքների պարբերաբար չարաշահման փաստը։ Բացի այդ, դատարանի հայեցողությանն է թողնված նաև իրավունքի իրականացման ժամանակային և քանակական սահմանափակման ընտրության հնարավորությունը։</w:t>
            </w:r>
          </w:p>
          <w:p w14:paraId="48A467B7" w14:textId="77777777" w:rsidR="0040544B" w:rsidRPr="00F2718E" w:rsidRDefault="0040544B" w:rsidP="00A961C5">
            <w:pPr>
              <w:spacing w:line="360" w:lineRule="auto"/>
              <w:jc w:val="both"/>
              <w:rPr>
                <w:rFonts w:ascii="GHEA Grapalat" w:hAnsi="GHEA Grapalat"/>
                <w:lang w:val="hy-AM"/>
              </w:rPr>
            </w:pPr>
            <w:r w:rsidRPr="00F2718E">
              <w:rPr>
                <w:rFonts w:ascii="GHEA Grapalat" w:hAnsi="GHEA Grapalat"/>
                <w:lang w:val="hy-AM"/>
              </w:rPr>
              <w:t>Ուստի՝ անձի արդար դատաքննության և դատական պաշտպանության իրավունքների գործնականում ապահովման և դրանց անհիմն սահմանափակումներից զերծ մնալու նպատակով՝ անհրաժեշտ է նախատեսվող կարգավորումները վերանայել այնպես, ըստ որի՝ որոշակի կլինի այն չափանիշները, որոնց առկայությամբ հնարավոր կլինի հաստատված համարել անձի կողմից իր իրավունքների պարբերաբար չարաշահման փաստը։ Բացի այդ, պետք է հստակ նախատեսել, թե այդ իրավունքների իրականացումը առավելագույնն ինչքան ժամանակ կամ քանակով կարող է սահմանափակվել։</w:t>
            </w:r>
          </w:p>
        </w:tc>
        <w:tc>
          <w:tcPr>
            <w:tcW w:w="7022" w:type="dxa"/>
            <w:gridSpan w:val="6"/>
          </w:tcPr>
          <w:p w14:paraId="662BAA6D" w14:textId="77777777" w:rsidR="0040544B" w:rsidRPr="00F2718E" w:rsidRDefault="0040544B" w:rsidP="00A961C5">
            <w:pPr>
              <w:spacing w:line="360" w:lineRule="auto"/>
              <w:ind w:firstLine="720"/>
              <w:jc w:val="center"/>
              <w:rPr>
                <w:rFonts w:ascii="GHEA Grapalat" w:hAnsi="GHEA Grapalat"/>
                <w:b/>
                <w:lang w:val="hy-AM"/>
              </w:rPr>
            </w:pPr>
            <w:r w:rsidRPr="00F2718E">
              <w:rPr>
                <w:rFonts w:ascii="GHEA Grapalat" w:hAnsi="GHEA Grapalat"/>
                <w:b/>
                <w:lang w:val="hy-AM"/>
              </w:rPr>
              <w:t>Չի ընդունվել:</w:t>
            </w:r>
          </w:p>
          <w:p w14:paraId="3435F45C" w14:textId="77777777" w:rsidR="0040544B" w:rsidRPr="00F2718E" w:rsidRDefault="0040544B" w:rsidP="00A961C5">
            <w:pPr>
              <w:spacing w:line="360" w:lineRule="auto"/>
              <w:contextualSpacing/>
              <w:jc w:val="both"/>
              <w:rPr>
                <w:rFonts w:ascii="GHEA Grapalat" w:hAnsi="GHEA Grapalat"/>
                <w:lang w:val="hy-AM"/>
              </w:rPr>
            </w:pPr>
            <w:r w:rsidRPr="00F2718E">
              <w:rPr>
                <w:rFonts w:ascii="GHEA Grapalat" w:hAnsi="GHEA Grapalat"/>
                <w:shd w:val="clear" w:color="auto" w:fill="FFFFFF"/>
                <w:lang w:val="hy-AM"/>
              </w:rPr>
              <w:t xml:space="preserve">Նախագծերով առաջարկվող «իրավունքի իրականացման սահմանափակում» սանկցիայի </w:t>
            </w:r>
            <w:r w:rsidRPr="00F2718E">
              <w:rPr>
                <w:rFonts w:ascii="GHEA Grapalat" w:hAnsi="GHEA Grapalat"/>
                <w:lang w:val="hy-AM"/>
              </w:rPr>
              <w:t xml:space="preserve">էությունը կայանում է նրանում, որ երբ դատարանը գտնում է, որ դատավարության մասնակիցն իր դատավարական իրավունքներն 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14:paraId="3E3FCDCB" w14:textId="77777777" w:rsidR="00B5343D" w:rsidRPr="00F2718E" w:rsidRDefault="0040544B" w:rsidP="00A961C5">
            <w:pPr>
              <w:spacing w:line="360" w:lineRule="auto"/>
              <w:contextualSpacing/>
              <w:jc w:val="both"/>
              <w:rPr>
                <w:rFonts w:ascii="GHEA Grapalat" w:hAnsi="GHEA Grapalat"/>
                <w:shd w:val="clear" w:color="auto" w:fill="FFFFFF"/>
                <w:lang w:val="hy-AM"/>
              </w:rPr>
            </w:pPr>
            <w:r w:rsidRPr="00F2718E">
              <w:rPr>
                <w:rFonts w:ascii="GHEA Grapalat" w:hAnsi="GHEA Grapalat"/>
                <w:lang w:val="hy-AM"/>
              </w:rPr>
              <w:t xml:space="preserve">Այսպիսով, Նախագծերով առաջարկվել է սահմանել գործի նյութերին ծանոթանալու, դրանց պատճեններ ստանալու, քաղվածքներ, լուսանկարներ, լուսապատճեններ և պատճեններ անելու, բացարկ հայտնելու, ինքնաբացարկ հայտնելու, միջնորդություններ անելու, ապացույցներ ներկայացնելու, դատավարության մասնակիցներին հարցեր տալու, միջնորդություններ ներկայացնելու, դիրքորոշում ներկայացնելու իրավունքների ժամանակային կամ քանակական սահմանափակումներ կիրառելու դատարանների իրավասությունը: </w:t>
            </w:r>
            <w:r w:rsidRPr="00F2718E">
              <w:rPr>
                <w:rFonts w:ascii="GHEA Grapalat" w:hAnsi="GHEA Grapalat"/>
                <w:shd w:val="clear" w:color="auto" w:fill="FFFFFF"/>
                <w:lang w:val="hy-AM"/>
              </w:rPr>
              <w:t>«Իրավունքները պարբերաբար չարաշահել» եզրույթի կիրառումն արդեն իսկ ենթադրում է, որ դատավարության մասնակցի վարքագիծը պետք է ունենա պարբերական, շարունակական բնույթ՝ չսահմանափակվելով մեկ անգամ կատարված գործողությամբ: Միաժամանակ, պետք է դատարանի կողմից հաստատվի «չարաշահման» փաստը, այսինքն՝ դատավարական իրավունքը ոչ դրա նպատակներին համահունչ օգտագործման փաստը, և դրան զուգահեռ չպետք է իրավունքի բուն իրացումը սահմանափակվի:</w:t>
            </w:r>
          </w:p>
          <w:p w14:paraId="1EEFE47A" w14:textId="77777777" w:rsidR="00B5343D" w:rsidRPr="00F2718E" w:rsidRDefault="0040544B" w:rsidP="00A961C5">
            <w:pPr>
              <w:spacing w:line="360" w:lineRule="auto"/>
              <w:contextualSpacing/>
              <w:jc w:val="both"/>
              <w:rPr>
                <w:rFonts w:ascii="GHEA Grapalat" w:hAnsi="GHEA Grapalat"/>
                <w:shd w:val="clear" w:color="auto" w:fill="FFFFFF"/>
                <w:lang w:val="hy-AM"/>
              </w:rPr>
            </w:pPr>
            <w:r w:rsidRPr="00F2718E">
              <w:rPr>
                <w:rFonts w:ascii="GHEA Grapalat" w:hAnsi="GHEA Grapalat"/>
                <w:shd w:val="clear" w:color="auto" w:fill="FFFFFF"/>
                <w:lang w:val="hy-AM"/>
              </w:rPr>
              <w:t>Իրավունքի իրականացման սահմանափակում սանկցիայի կիրառումը ոչ թե անորոշ, այլ դատարանի կողմից գնահատման ենթակա հասկացություն է, որը ենթադրում է, որ պետք է հաշվի առնվեն դատավարական գործողության կատարման նպատակը, նախատեսված իրավունքի՝ օրենսդրի հետապնդած նպատակներին համահունչ կամ այլ՝ քողարկված նպատակների համար օգտագործելը:</w:t>
            </w:r>
          </w:p>
          <w:p w14:paraId="3FCAAAB2" w14:textId="654EE68F" w:rsidR="0040544B" w:rsidRPr="00F2718E" w:rsidRDefault="0040544B" w:rsidP="00A961C5">
            <w:pPr>
              <w:spacing w:line="360" w:lineRule="auto"/>
              <w:contextualSpacing/>
              <w:jc w:val="both"/>
              <w:rPr>
                <w:rFonts w:ascii="GHEA Grapalat" w:hAnsi="GHEA Grapalat"/>
                <w:shd w:val="clear" w:color="auto" w:fill="FFFFFF"/>
                <w:lang w:val="hy-AM"/>
              </w:rPr>
            </w:pPr>
            <w:r w:rsidRPr="00F2718E">
              <w:rPr>
                <w:rFonts w:ascii="GHEA Grapalat" w:hAnsi="GHEA Grapalat"/>
                <w:shd w:val="clear" w:color="auto" w:fill="FFFFFF"/>
                <w:lang w:val="hy-AM"/>
              </w:rPr>
              <w:t xml:space="preserve">Ընդ որում, իրավունքի իրականացման սահմանափակումը որպես սանկցիայի տեսակ նույն տրամաբանությամբ սահմանված է նաև ՀՀ քրեական դատավարության օրենսգրքով: Ավելին՝ նախագծով նախատեսվել է իրավունքի իրականացման սահմանափակում սանկցիայի վերանայման հնարավորություն, ինչն արդեն իսկ ենթադրում է, որ սանկցիայի ենթարկված անձը զրկված չէ ցանկացած պահի սանկցիայի վերանայման միջնորդություն ներկայացնելու հնարավորությունից: </w:t>
            </w:r>
          </w:p>
          <w:p w14:paraId="5D034A86" w14:textId="77777777" w:rsidR="0040544B" w:rsidRPr="00F2718E" w:rsidRDefault="0040544B" w:rsidP="00A961C5">
            <w:pPr>
              <w:spacing w:line="360" w:lineRule="auto"/>
              <w:jc w:val="both"/>
              <w:rPr>
                <w:rFonts w:ascii="GHEA Grapalat" w:hAnsi="GHEA Grapalat"/>
                <w:lang w:val="hy-AM"/>
              </w:rPr>
            </w:pPr>
            <w:r w:rsidRPr="00F2718E">
              <w:rPr>
                <w:rFonts w:ascii="GHEA Grapalat" w:hAnsi="GHEA Grapalat"/>
                <w:lang w:val="hy-AM"/>
              </w:rPr>
              <w:t>Անդրադառնալով քրեական դատավարության օրենսգրքում առկա իրավունքի իրականացման սահմանափակում սանկցիայի տեսակին՝ ՀՀ սահմանադրական դատարանը 12.10.2021 թվականի թիվ ՍԴՈ-1613 որոշմամբ արձանագրել է հետևյալը՝</w:t>
            </w:r>
          </w:p>
          <w:p w14:paraId="624EEB0B" w14:textId="77777777" w:rsidR="0040544B" w:rsidRPr="00F2718E" w:rsidRDefault="0040544B" w:rsidP="00A961C5">
            <w:pPr>
              <w:spacing w:line="360" w:lineRule="auto"/>
              <w:jc w:val="both"/>
              <w:rPr>
                <w:rFonts w:ascii="GHEA Grapalat" w:hAnsi="GHEA Grapalat"/>
                <w:lang w:val="hy-AM"/>
              </w:rPr>
            </w:pPr>
            <w:r w:rsidRPr="00F2718E">
              <w:rPr>
                <w:rFonts w:ascii="GHEA Grapalat" w:hAnsi="GHEA Grapalat"/>
                <w:lang w:val="hy-AM"/>
              </w:rPr>
              <w:t>«Օրենքով նախատեսվում է որպես դատավարական սանկցիա կիրառել որոշակի դատավարական իրավունքների իրականացման սահմանափակումը, ըստ որի որոշակի դատավարական իրավունքների իրականացման սահմանափակումն անձի կողմից իր դատավարական իրավունքների պարբերաբար չարաշահման դեպքում դատարանի որոշմամբ դրանց իրականացման պայմանների սահմանումն է (Օրենքի 2 և 3-րդ հոդվածներ): Այս կարգավորումը դիտարկելով համաչափության սահմանադրական սկզբունքի պահանջների համապատասխանության տեսանկյունից՝ Սահմանադրական դատարանը հայտնում է ներքոշարադրյալը. Սահմանադրական դատարանն իր բազմաթիվ որոշումներում անդրադարձել է Սահմանադրության 78-րդ հոդվածով ամրագրված համաչափության սահմանադրական սկզբունքին,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Սահմանադրական դատարանի այս առնչությամբ տարբեր ժամանակներում արտահայտված իրավական դիրքորոշումները մանրամասն վերլուծության են ենթարկվել ՍԴՈ-1546 որոշման մեջ, որտեղ Սահմանադրական դատարանն արձանագրել է. - «… Սահմանադրական դատարանի գնահատմամբ համաչափության սկզբունքը Սահմանադրության 1-ին հոդվածում ամրագրված իրավական պետության հիմնարար սկզբունքի բաղադրիչներից մեկն է: 2015 թվականի փոփոխություններով (գործող) Սահմանադրության մեջ այն ամրագրվել է ամբողջ ծավալով` հստակորեն (expressis verbis)»: - «Համաչափության սկզբունքի էությունը մարդու և քաղաքացու հիմնական իրավունքների և ազատությունների սահմանափակումների սահմանափակումն է մասնավոր և հանրային շահերի միջև ողջամիտ հավասարակշռության ապահովման միջոցով, և հիմնական իրավունքների և ազատությունների սահմանափակումներին ներկայացվող սահմանադրական պահանջների շարքում այն ունի առանձնահատուկ կարևորություն»: «Համաչափության սկզբունքի առաջին տարրը հիմնական իրավունքի սահմանափակման նպատակի լեգիտիմությունն է, այն է` Սահմանադրությամբ նախատեսված լինելը: Դա նշանակում է, որ օրենսդիրը, իրականացնելով հիմնական իրավունքի սահմանափակման իր լիազորությունը, պետք է հիմնվի Սահմանադրությամբ նախատեսված նպատակների վրա: Բոլոր այն դեպքերում, երբ այդ նպատակներն ուղղակիորեն ամրագրված են սահմանափակվող հիմնական իրավունքին կամ ազատությանը վերաբերող սահմանադրական դրույթներում, ինչպես օրինակ՝ մասնավոր կյանքի անձեռնմխելիության հիմնական իրավունքի դեպքում, օրենսդիրն իրավասու է միայն դրանք կոնկրետացնել օրենքներում, մնացյալ դեպքերում օրենսդիրն ինքն է բացահայտում սահմանափակման` օրենքով սահմանված նպատակի սահմանադրական բովանդակությունը` հիմնվելով Սահմանադրության վերաբերելի նորմերի մեկնաբանության վրա»:</w:t>
            </w:r>
          </w:p>
          <w:p w14:paraId="089BE236" w14:textId="77777777" w:rsidR="0040544B" w:rsidRPr="00F2718E" w:rsidRDefault="0040544B" w:rsidP="00A961C5">
            <w:pPr>
              <w:spacing w:line="360" w:lineRule="auto"/>
              <w:jc w:val="both"/>
              <w:rPr>
                <w:rFonts w:ascii="GHEA Grapalat" w:hAnsi="GHEA Grapalat"/>
                <w:lang w:val="hy-AM"/>
              </w:rPr>
            </w:pPr>
            <w:r w:rsidRPr="00F2718E">
              <w:rPr>
                <w:rFonts w:ascii="GHEA Grapalat" w:hAnsi="GHEA Grapalat"/>
                <w:lang w:val="hy-AM"/>
              </w:rPr>
              <w:t xml:space="preserve">Այս լույսի ներքո գնահատելով Օրենքի 2 և 3-րդ հոդվածով ՀՀ քրեական դատավարության օրենսգրքում </w:t>
            </w:r>
            <w:r w:rsidRPr="00F2718E">
              <w:rPr>
                <w:rFonts w:ascii="GHEA Grapalat" w:hAnsi="GHEA Grapalat"/>
                <w:b/>
                <w:lang w:val="hy-AM"/>
              </w:rPr>
              <w:t xml:space="preserve">«որոշակի դատավարական իրավունքների իրականացման սահմանափակում» դատական սանկցիայի ներդրմամբ հետապնդվող նպատակը, Սահմանադրական դատարանը փաստում է, որ Օրենքով հետապնդվում է իրավաչափ նպատակ, այն է՝ ապահովել դատական նիստի բնականոն ընթացքը, որով իսկ նպաստավոր պայմաններ են ստեղծվում վարույթի մասնակիցների՝ Սահմանադրությամբ երաշխավորված արդար դատաքննության իրավունքը, մասնավորապես՝ դրա բաղադրատարր՝ ողջամիտ ժամկետում գործի քննության իրավունքն ապահովելու համար: </w:t>
            </w:r>
            <w:r w:rsidRPr="00F2718E">
              <w:rPr>
                <w:rFonts w:ascii="GHEA Grapalat" w:hAnsi="GHEA Grapalat"/>
                <w:lang w:val="hy-AM"/>
              </w:rPr>
              <w:t>Օրենսդիրը նախանշված նպատակին հասնելու համար ընտրել է պիտանի միջոց՝ որոշակի դատավարական իրավունքների իրականացման սահմանափակում (այդ իրավունքների իրականացման ժամանակային կամ քանակական պայմանների սահմանման ձևով), որով հնարավոր է հասնել հետապնդվող նպատակին և ապահովել դատական նիստի բնականոն ընթացքը (այդպիսով իսկ՝ վարույթի մասնակիցների արդար դատաքննության իրավունքը, մասնավորապես՝ դրա բաղադրատարր՝ ողջամիտ ժամկետում գործի քննության իրավունքը):</w:t>
            </w:r>
          </w:p>
          <w:p w14:paraId="5F41E398" w14:textId="77777777" w:rsidR="0040544B" w:rsidRPr="00F2718E" w:rsidRDefault="0040544B" w:rsidP="00A961C5">
            <w:pPr>
              <w:spacing w:line="360" w:lineRule="auto"/>
              <w:jc w:val="both"/>
              <w:rPr>
                <w:rFonts w:ascii="GHEA Grapalat" w:hAnsi="GHEA Grapalat"/>
                <w:lang w:val="hy-AM"/>
              </w:rPr>
            </w:pPr>
            <w:r w:rsidRPr="00F2718E">
              <w:rPr>
                <w:rFonts w:ascii="GHEA Grapalat" w:hAnsi="GHEA Grapalat"/>
                <w:lang w:val="hy-AM"/>
              </w:rPr>
              <w:t xml:space="preserve">ՀՀ քրեական դատավարության օրենսգրքում առկա մի շարք դրույթներ, թեև վարույթի մասնակիցների (մասնավոր մասնակիցների) կողմից իրենց իրավունքների չարաշահմամբ դատավարությունն անհարկի ձգձգումներից կանխելու երաշխիք են (և հետևաբար կարող են դիտարկվել նաև դատական նիստի բնականոն ընթացքն ապահովելու միջոցներ), այնուամենայնիվ, Սահմանադրական դատարանը գտնում է, որ առկա միջոցները բավարար չեն նախանշված նպատակին նույն արդյունավետությամբ հասնելու համար: Գործող ՀՀ քրեական դատավարության օրենսգրքում կարգավորումներով առկա չեն սահմանափակումներ քրեական գործին կցելու և հետազոտելու համար նյութեր ներկայացնելու, ելույթներ ունենալու և մի շարք այլ հարցերի առումներով, որոնք կարող են վարույթի բնականոն ընթացքի վրա էական ազդեցություն ունենալ՝ վերջինիս անհարկի, չհիմնավորված ձգձգումների առումով: Հետևաբար, օրենսդրի կողմից ընտրված միջոցը՝ Օրենքով ներդրվող դատական սանկցիան, պետք է գնահատել իբրև անհրաժեշտ միջոց ընտրված նպատակին հասնելու համար, եթե ՀՀ քրեական դատավարության օրենսգրքում առկա մյուս՝ վերը մեջբերված առավել մեղմ միջոցները չունենան նախանշված նպատակին հասնելու համար անհրաժեշտ արդյունավետությունը: Սահմանադրական դատարանը գտնում է նաև, որ օրենսդրի կողմից ընտրված միջոցը համարժեք է սահմանափակվող իրավունքին: Մասնավորապես՝ Օրենքով ներդրվող սանկցիայով ոչ թե անձը զրկվում է իր՝ Օրենքի 3-րդ հոդվածի ՀՀ քրեական դատավարության օրենսգրքում լրացվող 314.4-րդ հոդվածի 2-րդ մասով նախատեսված իրավունքներից ընդհանրապես, այլ՝ Օրենքով նախատեսվում է ՀՀ քրեական դատավարության օրենսգրքում լրացվող 314.4-րդ հոդվածի 2-րդ մասով նախատեսված իրավունքների որոշակի ժամանակային կամ քանակական սահմանափակման հնարավորություն: </w:t>
            </w:r>
            <w:r w:rsidRPr="00F2718E">
              <w:rPr>
                <w:rFonts w:ascii="GHEA Grapalat" w:hAnsi="GHEA Grapalat"/>
                <w:b/>
                <w:lang w:val="hy-AM"/>
              </w:rPr>
              <w:t>Հետևաբար, այդ սահմանափակումներից «դուրս» անձը կարող է իրացնել իր իրավունքը:</w:t>
            </w:r>
            <w:r w:rsidRPr="00F2718E">
              <w:rPr>
                <w:rFonts w:ascii="GHEA Grapalat" w:hAnsi="GHEA Grapalat"/>
                <w:lang w:val="hy-AM"/>
              </w:rPr>
              <w:t xml:space="preserve"> </w:t>
            </w:r>
            <w:r w:rsidRPr="00F2718E">
              <w:rPr>
                <w:rFonts w:ascii="GHEA Grapalat" w:hAnsi="GHEA Grapalat"/>
                <w:b/>
                <w:lang w:val="hy-AM"/>
              </w:rPr>
              <w:t>Վերոգրյալի հիման վրա Սահմանադրական դատարանը հայտնում է, որ անձի կողմից իր դատավարական իրավունքների չարաշահման դեպքում որոշակի դատավարական իրավունքների իրականացման սահմանափակումը՝ որպես դատավարական սանկցիա կիրառելը, համապատասխանում է համաչափության սահմանադրաիրավական սկզբունքի պահանջներին:</w:t>
            </w:r>
          </w:p>
          <w:p w14:paraId="7DC51DF9"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 xml:space="preserve">Դիտարկելով Օրենքի 2 և 3-րդ հոդվածներով նախատեսված կարգավորումները՝ իրավական որոշակիության սահմանադրական սկզբունքի տեսանկյունից, հայտնում է հետևյալը. ելնելով այն հանգամանքից, որ Օրենքով նախատեսվող՝ «որոշակի դատավարական իրավունքների իրականացման սահմանափակում» դատական սանկցիան կարող է անձի նկատամբ կիրառվել, (1) երբ անձն իր դատավարական իրավունքները պարբերաբար չարաշահում է, (2) դատարանի որոշմամբ, ապա ելնելով նաև «Հայաստանի Հանրապետության դատական օրենսգիրք» սահմանադրական օրենքի 49-րդ հոդվածի 2-րդ մասով, ՀՀ քրեական դատավարության օրենսգրքի 314.1-րդ հոդվածի 2-րդ մասով նախատեսված այն դրույթներից, ըստ որոնց, դատավորն անհրաժեշտության դեպքում հասկանալի ձևով նախազգուշացնում է դատական սանկցիա կիրառելու դատարանի իրավասության մասին, ինչպես նաև պարզաբանում դատական սանկցիա կիրառելու հիմքերը և հետևանքները, ապա, Սահմանադրական դատարանը գտնում է, որ գործող օրենսդրությամբ առկա են նաև այն երաշխիքները, որոնք ապահովում են դատական սանկցիայի՝ քննարկվող դեպքում «որոշակի դատավարական իրավունքների իրականացման սահմանափակում» դատական սանկցիայի կիրառման կանխատեսելիությունն իրավունքի չարաշահում թույլ տվող անձի համար: Ինչ վերաբերում է դիմողի այն դիտարկմանը, թե լրացումներով «...հստակեցված չեն չափորոշիչները, որոնք պետք է կիրառվեն՝ որոշելու, թե որն է իրավունքի չարաշահումը», ապա Սահմանադրական դատարանն արձանագրում է, որ </w:t>
            </w:r>
            <w:r w:rsidRPr="00F2718E">
              <w:rPr>
                <w:rFonts w:ascii="GHEA Grapalat" w:hAnsi="GHEA Grapalat"/>
                <w:b/>
                <w:lang w:val="hy-AM"/>
              </w:rPr>
              <w:t>գործող օրենսդրությամբ դատավարական իրավունքների չարաշահում ներկայումս էլ (անգամ առանց Օրենքով նախատեսվող լրացումների) դիտարկվում է իբրև դատական սանկցիա կիրառելու հիմք («Հայաստանի Հանրապետության դատական օրենսգիրք» սահմանադրական օրենքի 47-րդ հոդվածի 2-րդ մասի 1-ին կետ), իսկ դատարանները նշված հիմքի առկայությունը գնահատելիս, ելնում են ինչպես արդեն իսկ դատական պրակտիկայով ձևավորված, այնպես էլ իրավունքի դոկտրինում տեղ գտած «իրավունքի չարաշահման» հասկացության հատկանիշներից:</w:t>
            </w:r>
            <w:r w:rsidRPr="00F2718E">
              <w:rPr>
                <w:rFonts w:ascii="GHEA Grapalat" w:hAnsi="GHEA Grapalat"/>
                <w:lang w:val="hy-AM"/>
              </w:rPr>
              <w:t xml:space="preserve"> Ավելին, Սահմանադրական դատարանը սույն թվականի փետրվարի 12-ի ՍԴՈ-1576 որոշմամբ բացահայտել է հենց դիմողի կողմից բարձրացվող այն «չափորոշիչները» որոնց առկայությամբ արարքը կարող է գնահատվել որպես իրավունքի չարաշահում: Մասնավորապես, նշված որոշմամբ հիմք ընդունելով իրավունքի տեսության մեջ առկա մոտեցումներն արձանագրել է. «Իրավունքի տեսության մեջ իրավունքի չարաշահումն արձանագրվում է, երբ առկա է, որպես կանոն, հետևյալ պայմանների համակցությունը. 1. անձը պետք է ունենա համապատասխան իրավունքը, 2. իրավունքի չարաշահումը տեղի է ունենում սուբյեկտիվ իրավունքի իրացման ընթացքում, անձն առերևույթ գործում է իրավական կարգադրագրերին համապատասխան, 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4. իրավունքի չարաշահումը կամային գործընթաց է, այսինքն՝ անձը գիտակցում է, որ ինքն իր սուբյեկտիվ իրավունքը չարաշահում է, հետևաբար՝ պետք է կանխա տեսի, որ կարող է վնաս պատճառել պետության, հանրության կամ այլ անձանց օրինական շահերին: Այդ առումով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կամ տվյալ դեպքում` ամուսնության իրավունքի նպատակին և ոգուն հակառակ, ինչի արդյունքում վնաս է հասցվում այլ անձին, պետությանը, հասարակությանը»: </w:t>
            </w:r>
            <w:r w:rsidRPr="00F2718E">
              <w:rPr>
                <w:rFonts w:ascii="GHEA Grapalat" w:hAnsi="GHEA Grapalat"/>
                <w:b/>
                <w:lang w:val="hy-AM"/>
              </w:rPr>
              <w:t>Նման պայմաններում Սահմանադրական դատարանը գտնում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Սահմանադրական դատարանը հայտնում է, որ սույն որոշման 4.5-րդ կետում արված եզրահանգումներն ամբողջությամբ վերաբերելի են նաև դիմողի կողմից բարձրացվող «պարբերաբար» եզրույթի որոշակիության առնչությամբ:»:</w:t>
            </w:r>
          </w:p>
        </w:tc>
      </w:tr>
      <w:tr w:rsidR="00881AD5" w:rsidRPr="00F2718E" w14:paraId="18112535" w14:textId="77777777" w:rsidTr="00F260E8">
        <w:trPr>
          <w:gridAfter w:val="1"/>
          <w:wAfter w:w="6" w:type="dxa"/>
        </w:trPr>
        <w:tc>
          <w:tcPr>
            <w:tcW w:w="7879" w:type="dxa"/>
          </w:tcPr>
          <w:p w14:paraId="5E433116" w14:textId="0779053E"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«Հայաստանի Հանրապետության քաղաքացիական դատավարության օրենսգրքում փոփոխություններ և լրացումներ կատարելու մասին» Հայաստանի Հանրապետության օրենքի և «Հայաստանի Հանրապետության վարչական դատավարության օրենսգրքում լրացումներ և փոփոխություններ կատարելու մասին» Հայաստանի Հանրապետության օրենքի նախագծերով նախատեսվում է համապատասխանաբար եզրափակիչ դատական ակտով (գործն ըստ էության լուծող դատական ակտով)</w:t>
            </w:r>
            <w:r w:rsidRPr="00F2718E">
              <w:rPr>
                <w:rFonts w:ascii="GHEA Grapalat" w:hAnsi="GHEA Grapalat"/>
                <w:b/>
                <w:lang w:val="hy-AM"/>
              </w:rPr>
              <w:t xml:space="preserve"> </w:t>
            </w:r>
            <w:r w:rsidRPr="00F2718E">
              <w:rPr>
                <w:rFonts w:ascii="GHEA Grapalat" w:hAnsi="GHEA Grapalat"/>
                <w:lang w:val="hy-AM"/>
              </w:rPr>
              <w:t>կամ հայցադիմումի ընդո</w:t>
            </w:r>
            <w:r w:rsidR="00E517C8" w:rsidRPr="00F2718E">
              <w:rPr>
                <w:rFonts w:ascii="GHEA Grapalat" w:hAnsi="GHEA Grapalat"/>
                <w:lang w:val="hy-AM"/>
              </w:rPr>
              <w:t>ք</w:t>
            </w:r>
            <w:r w:rsidRPr="00F2718E">
              <w:rPr>
                <w:rFonts w:ascii="GHEA Grapalat" w:hAnsi="GHEA Grapalat"/>
                <w:lang w:val="hy-AM"/>
              </w:rPr>
              <w:t>ւնումը մերժելու մասին որոշմամբ դատական տուգանք կիրառելու հնարավորություն, ըստ որի՝ եթե գործին մասնակցող անձը (դատավարության մասկնակիցը) անբարեխիղճ կերպով անհիմն հայց, վերաքննիչ կամ վճռաբեկ բողոք է ներկայացրել կամ դատավարական այլ վարքագծով չարաշահել է իր իրավունքները և եզրափակիչ դատական ակտով (գործն ըստ էության լուծող դատական ակտով) կամ հայցադիմումի ընդունումը մերժելու մասին որոշմամբ հաստատվել է իրավունքի չարաշահման փաստը, ապա դատարանը իրավունքը չարաշահած գործին մասնակցող անձի (դատավարության մասնակցի) նկատմամբ կարող է կիրառել դատական տուգանք:</w:t>
            </w:r>
          </w:p>
          <w:p w14:paraId="52BF0BC8"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Վերոգրյալի առնչությամբ անհրաժեշտ է ուշադրության արժանացնել այն հանգամանքը, որ անգամ նախագծերի հիմնավորումներով է դատական տուգանք սանկցիան համարվում որպես գործի քննության ընթացքում կողմերի վարքագծի իրավաչափությունն ապահովող երաշխիք, սակայն եզրափակիչ դատական ակտով կամ հայցադիմումի ընդունումը մերժելու մասին որոշմամբ դատական տուգանք կիրառելու պարագայում ստացվում է, որ ըստ էության, սանկցիան առարկայազուրկ է, քանի որ ուղղված չէ գործի քննության ընթացքում կողմի վարքագծի իրավաչափությունն ապահովելուն:</w:t>
            </w:r>
          </w:p>
          <w:p w14:paraId="0633DBFD"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Բացի այդ, ի տարբերություն նախագծերով նախատեսվող դատավարական իրավունքի իրականացման սահմանափակում դատավարական սանկցիայի, այս դեպքում իրավունքների շրջանակի որևէ սահմանափակում չկա, և ցանկացած իրավունքի չարաշահում կարող է հիմք հանդիսանալ տուգանքի նշանակման համար: </w:t>
            </w:r>
          </w:p>
          <w:p w14:paraId="0E8B34B5"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Հարկ է նկատել նաև, որ նախագծերով նախատեսվում է դատական նիստից դուրս դատական տուգանք կիրառելու հնարավորություն, ըստ որի՝ եթե դատարանը գտնում է, որ դատավարության մասնակիցը դրսևորել է այնպիսի վարքագիծ կամ կատարել է այնպիսի արարք, որը կարող է հանգեցնել դատական տուգանքի կիրառման, ապա այդ անձից պահանջում է գրավոր պարզաբանում վերոնշյալ վարքագծի կամ արարքի վերաբերյալ: Պարզաբանում պահանջելու մասին ծանուցագրում նշվում են այն հանգամանքները, որոնք դատարանի գնահատմամբ կարող են հանգեցնել դատական տուգանքի կիրառման:</w:t>
            </w:r>
          </w:p>
          <w:p w14:paraId="0D71B549"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Այսպիսով, նույնիսկ դատական նիստից դուրս դատական տուգանք կիրառելու դեպքում անձին հնարավորություն է տրվում պարզաբանելու իր վարքագիծը կամ արարքը, մինչդեռ, եզրափակիչ դատական ակտով կամ հայցադիմումի ընդունումը մերժելու մասին որոշմամբ դատական տուգանք կիրառելու պարագայում, անձը հնարավորություն չի ունենալու իր դիրքորոշումն արտահայտելու իր նկատմամբ նշանակվող տուգանքի շուրջ։</w:t>
            </w:r>
          </w:p>
          <w:p w14:paraId="5E446777"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Տեղին է նկատել նաև, որ նախագծային կարգավորումների պարագայում բողոքարկման է ենթակա դատական տուգանքի չափը նվազեցնելու կամ վերացնելու միջնորդությունը մերժելու մասին որոշումը։ Ուստի՝ ստացվում է, որ եզրափակիչ դատական ակտով կամ հայցադիմումի ընդունումը մերժելու մասին որոշմամբ դատական տուգանք կիրառելու պարագայում անձը հնարավորություն չի ունենալու բողոքարկելու իր նկատմամբ նշանակված տուգանքը։</w:t>
            </w:r>
          </w:p>
          <w:p w14:paraId="0142380C"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Այսպիսով՝ եզրահանգում ենք, որ եզրափակիչ դատական ակտով կամ հայցադիմումի ընդունումը մերժելու մասին որոշմամբ դատական տուգանք կիրառելու հնարավորության նախատեսումը պետք է բացառվի, քանի որ ինչպես դատավարական իրավունքի իրականացման սահմանափակման սանկցիայի դեպքում, այս դեպքում ևս վտանգված են անձի արդար դատաքննության և դատական պաշտպանության իրավունքները։ Դատարանին թողնված է հայեցողության լայն շրջանակ, մինչդեռ, ապահովված չեն անձի լսված լինելու և իր դիրքորոշումն արտահայտելու իրավունքը, որոշումը բողոքարկելու իրավունքը։</w:t>
            </w:r>
          </w:p>
        </w:tc>
        <w:tc>
          <w:tcPr>
            <w:tcW w:w="7022" w:type="dxa"/>
            <w:gridSpan w:val="6"/>
          </w:tcPr>
          <w:p w14:paraId="646CC27B" w14:textId="77777777" w:rsidR="0040544B" w:rsidRPr="00F2718E" w:rsidRDefault="0040544B"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3B6DC346" w14:textId="77777777" w:rsidR="0040544B" w:rsidRPr="00F2718E" w:rsidRDefault="0040544B"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7CE92A85" w14:textId="77777777" w:rsidR="00881AD5" w:rsidRPr="00F2718E" w:rsidRDefault="00881AD5" w:rsidP="00A961C5">
            <w:pPr>
              <w:spacing w:line="360" w:lineRule="auto"/>
              <w:jc w:val="center"/>
              <w:rPr>
                <w:rFonts w:ascii="GHEA Grapalat" w:hAnsi="GHEA Grapalat"/>
                <w:lang w:val="hy-AM"/>
              </w:rPr>
            </w:pPr>
          </w:p>
        </w:tc>
      </w:tr>
      <w:tr w:rsidR="00881AD5" w:rsidRPr="00F2718E" w14:paraId="738BC6A3" w14:textId="77777777" w:rsidTr="00F260E8">
        <w:trPr>
          <w:gridAfter w:val="1"/>
          <w:wAfter w:w="6" w:type="dxa"/>
        </w:trPr>
        <w:tc>
          <w:tcPr>
            <w:tcW w:w="7879" w:type="dxa"/>
          </w:tcPr>
          <w:p w14:paraId="64CD2384"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նախագծի 3-րդ հոդվածով նախատեսվում է Քաղաքացիական դատավարության օրենսգիրքը լրացնել 147.1-ին հոդվածով, ըստ որի՝ նույն օրենսգրքի 158-րդ հոդվածի 3-րդ մասով, 234.9-րդ հոդվածի 1-ին մասի 1-ին կետով, 247-րդ հոդվածի 1-ին մասի, 300-րդ հոդվածի 1-ին մասի 1-ին կետի, 318-րդ հոդվածի 2.2.-րդ մասով, 323-րդ հոդվածի 2-րդ մասով, 328-րդ հոդվածի 2-րդ մասով, 339-րդ հոդվածի 2-րդ մասով, 343-րդ հոդվածի 2-րդ մասով, 345.4-րդ հոդվածի 2-րդ մասով նախատեսված դեպքերում դատարանը դատավարության մասնակիցներին ուղղված ծանուցագրում նշում է կատարում դատական նիստին մասնակցելու անհրաժեշտության մասին:</w:t>
            </w:r>
          </w:p>
          <w:p w14:paraId="2CD860D0"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 հոդվածի 2-րդ մասով՝ եթե դատավարության մասնակիցը, ծանուցված լինելով դատական նիստին ներկայանալու անհրաժեշտության մասին, չի ներկայանում դատական նիստին կամ չի ներկայացնում դատական նիստը հետաձգելու մասին հիմնավորված միջնորդություն, ապա դատարանը դատական նիստին չմասնակցող դատավարության մասնակցի նկատմամբ կիրառում է դատական տուգանք:</w:t>
            </w:r>
          </w:p>
          <w:p w14:paraId="0406C796"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Նախագծային նման կարգավորման նախատեսումը հիմնավորվում է նրանով, որ դատավարության մասնակիցները, ստանալով դատական նիստերի վերաբերյալ ծանուցագրերը և օգտվելով դատական նիստին մասնակցելու իրենց իրավունքից, չեն ներկայանում դատական նիստերին՝ այդպիսով խափանելով դատավարական որոշ գործողությունների կատարումը, առարկայազուրկ դարձնելով դատարանի կողմից դատական նիստի նշանակումը:</w:t>
            </w:r>
          </w:p>
          <w:p w14:paraId="13236591"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Վերոգրյալի առնչությամբ տեղին է նկատել, որ դատական տուգանք սանկցիան համարվում է որպես գործի քննության ընթացքում կողմերի վարքագծի իրավաչափությունն ապահովող երաշխիք։ Նախագծային կարգավորման առնչությամբ կարծում ենք, որ անընդունելի է դատավարության մասնակցի կողմից դատական նիստին չներկայանալու կամ դատական նիստը հետաձգելու մասին միջնորդություն չներկայացնելու բոլոր դեպքերը մեկնաբանել որպես դատավարության մասնակցի ոչ իրավաչափ վարքագիծ և փոխարենը նշանակել դատական տուգանք՝ նպատակ ունենալով կանխել դատավարության մասնակցի ոչ իրավաչափ վարքագծի դրսևորումները։ Հաճախ դատավարության մասնակցի կողմից դատական նիստին չներկայանալու կամ դատական նիստը հետաձգելու մասին միջնորդություն չներկայացնելու հիմքում ընկած են լինում հարգելի և օբյեկտիվ պատճառներ՝ առանց ոչ իրավաչափ վարքագիծ դրսևորելու մտադրության։</w:t>
            </w:r>
          </w:p>
          <w:p w14:paraId="4FFC1543"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Նկատի ունենալով նշվածը՝ «Հայաստանի Հանրապետության քաղաքացիական դատավարության օրենսգրքում փոփոխություններ և լրացումներ կատարելու մասին» ՀՀ օրենքի նախագծի նախատեսվող կարգավորմամբ լրացուցիչ դատական տուգանքի նշանակումը, ըստ էության, ենթադրում է պատժիչ գործառույթ։ Ընդ որում, դատավարության մասնակիցները պատժվում են ոչ թե պարտականության չկատարման, այլև դատական նիստին մասնակցելու իրենց իրավունքը չիրացնելու համար։</w:t>
            </w:r>
          </w:p>
          <w:p w14:paraId="14C87DEA"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Ուստի, կարծում ենք, որ դատավարության մասնակցի կողմից դատական նիստին մասնակցելու իր իրավունքի իրականացումը և դատավարական որոշ գործողությունների անխափան կատարման խնդիրների լուծումը չի կարող իրականացվել պատժիչ գործառույթ կրող լրացուցիչ դատական տուգանքի կիրառմամբ։</w:t>
            </w:r>
          </w:p>
          <w:p w14:paraId="6A9333ED" w14:textId="77777777" w:rsidR="00881AD5" w:rsidRPr="00F2718E" w:rsidRDefault="00881AD5" w:rsidP="00A961C5">
            <w:pPr>
              <w:spacing w:line="360" w:lineRule="auto"/>
              <w:jc w:val="center"/>
              <w:rPr>
                <w:rFonts w:ascii="GHEA Grapalat" w:hAnsi="GHEA Grapalat"/>
                <w:lang w:val="hy-AM"/>
              </w:rPr>
            </w:pPr>
          </w:p>
        </w:tc>
        <w:tc>
          <w:tcPr>
            <w:tcW w:w="7022" w:type="dxa"/>
            <w:gridSpan w:val="6"/>
          </w:tcPr>
          <w:p w14:paraId="46C9284C"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2E1BBBDC" w14:textId="7C80EDA7"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55A69AC1" w14:textId="32AA353D" w:rsidR="00881AD5" w:rsidRPr="00F2718E" w:rsidRDefault="00881AD5" w:rsidP="00A961C5">
            <w:pPr>
              <w:spacing w:line="360" w:lineRule="auto"/>
              <w:jc w:val="both"/>
              <w:rPr>
                <w:rFonts w:ascii="GHEA Grapalat" w:hAnsi="GHEA Grapalat"/>
                <w:lang w:val="hy-AM"/>
              </w:rPr>
            </w:pPr>
          </w:p>
        </w:tc>
      </w:tr>
      <w:tr w:rsidR="0040544B" w:rsidRPr="00F2718E" w14:paraId="542D9AD9" w14:textId="77777777" w:rsidTr="00F260E8">
        <w:trPr>
          <w:trHeight w:val="581"/>
        </w:trPr>
        <w:tc>
          <w:tcPr>
            <w:tcW w:w="12563" w:type="dxa"/>
            <w:gridSpan w:val="6"/>
            <w:vMerge w:val="restart"/>
            <w:shd w:val="clear" w:color="auto" w:fill="D9D9D9" w:themeFill="background1" w:themeFillShade="D9"/>
          </w:tcPr>
          <w:p w14:paraId="545043F7" w14:textId="77777777" w:rsidR="0040544B" w:rsidRPr="00F2718E" w:rsidRDefault="0040544B" w:rsidP="00A961C5">
            <w:pPr>
              <w:spacing w:line="360" w:lineRule="auto"/>
              <w:jc w:val="center"/>
              <w:rPr>
                <w:rFonts w:ascii="GHEA Grapalat" w:hAnsi="GHEA Grapalat"/>
              </w:rPr>
            </w:pPr>
            <w:r w:rsidRPr="00F2718E">
              <w:rPr>
                <w:rFonts w:ascii="GHEA Grapalat" w:hAnsi="GHEA Grapalat"/>
                <w:b/>
                <w:lang w:val="hy-AM"/>
              </w:rPr>
              <w:t>24. ՀՀ ներքին գործերի նախարարություն</w:t>
            </w:r>
          </w:p>
        </w:tc>
        <w:tc>
          <w:tcPr>
            <w:tcW w:w="2344" w:type="dxa"/>
            <w:gridSpan w:val="2"/>
            <w:shd w:val="clear" w:color="auto" w:fill="D9D9D9" w:themeFill="background1" w:themeFillShade="D9"/>
          </w:tcPr>
          <w:p w14:paraId="264C322C" w14:textId="77777777" w:rsidR="0040544B" w:rsidRPr="00F2718E" w:rsidRDefault="0040544B" w:rsidP="00A961C5">
            <w:pPr>
              <w:spacing w:line="360" w:lineRule="auto"/>
              <w:rPr>
                <w:rFonts w:ascii="GHEA Grapalat" w:hAnsi="GHEA Grapalat"/>
              </w:rPr>
            </w:pPr>
            <w:r w:rsidRPr="00F2718E">
              <w:rPr>
                <w:rFonts w:ascii="GHEA Grapalat" w:hAnsi="GHEA Grapalat"/>
                <w:b/>
                <w:lang w:val="hy-AM"/>
              </w:rPr>
              <w:t>08.05.2024թ.</w:t>
            </w:r>
          </w:p>
        </w:tc>
      </w:tr>
      <w:tr w:rsidR="0040544B" w:rsidRPr="00F2718E" w14:paraId="44D70C16" w14:textId="77777777" w:rsidTr="00F260E8">
        <w:trPr>
          <w:trHeight w:val="461"/>
        </w:trPr>
        <w:tc>
          <w:tcPr>
            <w:tcW w:w="12563" w:type="dxa"/>
            <w:gridSpan w:val="6"/>
            <w:vMerge/>
            <w:shd w:val="clear" w:color="auto" w:fill="D9D9D9" w:themeFill="background1" w:themeFillShade="D9"/>
          </w:tcPr>
          <w:p w14:paraId="749A6101" w14:textId="77777777" w:rsidR="0040544B" w:rsidRPr="00F2718E" w:rsidRDefault="0040544B"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61884BF6" w14:textId="77777777" w:rsidR="0040544B" w:rsidRPr="00F2718E" w:rsidRDefault="0040544B" w:rsidP="00A961C5">
            <w:pPr>
              <w:spacing w:line="360" w:lineRule="auto"/>
              <w:rPr>
                <w:rFonts w:ascii="GHEA Grapalat" w:hAnsi="GHEA Grapalat"/>
              </w:rPr>
            </w:pPr>
            <w:r w:rsidRPr="00F2718E">
              <w:rPr>
                <w:rFonts w:ascii="GHEA Grapalat" w:hAnsi="GHEA Grapalat"/>
                <w:b/>
                <w:lang w:val="hy-AM"/>
              </w:rPr>
              <w:t>43/6/66182-24</w:t>
            </w:r>
          </w:p>
        </w:tc>
      </w:tr>
      <w:tr w:rsidR="00881AD5" w:rsidRPr="00F2718E" w14:paraId="0AEDF84E" w14:textId="77777777" w:rsidTr="00F260E8">
        <w:trPr>
          <w:gridAfter w:val="1"/>
          <w:wAfter w:w="6" w:type="dxa"/>
        </w:trPr>
        <w:tc>
          <w:tcPr>
            <w:tcW w:w="7879" w:type="dxa"/>
          </w:tcPr>
          <w:p w14:paraId="08F77B2B"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Նախագծերով վարչական և քաղաքացիական դատարաններին տրվում է լիազորություն՝ դատական տուգանք կիրառել այն դեպքերում, երբ դատավարության մասնակիցն անբարեխիղճ կերպով ներկայացնում է անհիմն հայց, վերաքննիչ կամ վճռաբեկ բողոք կամ դատավարական այլ վարքագծով չարաշահում է իր իրավունքները և գործն ըստ էության լուծող դատական ակտով կամ հայցադիմումի ընդունումը մերժելու մասին որոշմամբ հաստատվել է իրավունքի չարաշահման փաստը:</w:t>
            </w:r>
          </w:p>
          <w:p w14:paraId="193CC590" w14:textId="77777777" w:rsidR="0040544B" w:rsidRPr="00F2718E" w:rsidRDefault="0040544B"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Գտնում ենք, որ նախագծերով հստակեցման կարիք ունի այն, թե դատավարության մասնակցի որ վարքագիծը կարող է գնահատվել որպես անբարեխիղճ։</w:t>
            </w:r>
          </w:p>
          <w:p w14:paraId="4B73EDD8" w14:textId="77777777" w:rsidR="00881AD5" w:rsidRPr="00F2718E" w:rsidRDefault="0040544B" w:rsidP="00A961C5">
            <w:pPr>
              <w:spacing w:line="360" w:lineRule="auto"/>
              <w:jc w:val="both"/>
              <w:rPr>
                <w:rFonts w:ascii="GHEA Grapalat" w:hAnsi="GHEA Grapalat"/>
                <w:lang w:val="hy-AM"/>
              </w:rPr>
            </w:pPr>
            <w:r w:rsidRPr="00F2718E">
              <w:rPr>
                <w:rFonts w:ascii="GHEA Grapalat" w:hAnsi="GHEA Grapalat"/>
                <w:lang w:val="hy-AM"/>
              </w:rPr>
              <w:t>Հաշվի առնելով վերոգրյալը և հիմք ընդունելով ՀՀ Սահմանադրության 79-րդ հոդվածը՝ առաջարկվում է նախագծերով սահմանել այնպիսի իրավակարգավորումներ, որոնք հստակ և որոշակի կկանոնակարգեն, թե դատարանը որ դեպքերում կարող է դատավարության մասնակցի կողմից ներկայացված հայցը համարել անբարեխիղճ կերպով ներկայացված։</w:t>
            </w:r>
          </w:p>
        </w:tc>
        <w:tc>
          <w:tcPr>
            <w:tcW w:w="7022" w:type="dxa"/>
            <w:gridSpan w:val="6"/>
          </w:tcPr>
          <w:p w14:paraId="39784AB7" w14:textId="77777777" w:rsidR="0040544B" w:rsidRPr="00F2718E" w:rsidRDefault="0040544B"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56D720C0" w14:textId="77777777" w:rsidR="0040544B" w:rsidRPr="00F2718E" w:rsidRDefault="0040544B"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16105087" w14:textId="77777777" w:rsidR="00881AD5" w:rsidRPr="00F2718E" w:rsidRDefault="00881AD5" w:rsidP="00A961C5">
            <w:pPr>
              <w:spacing w:line="360" w:lineRule="auto"/>
              <w:jc w:val="center"/>
              <w:rPr>
                <w:rFonts w:ascii="GHEA Grapalat" w:hAnsi="GHEA Grapalat"/>
                <w:lang w:val="hy-AM"/>
              </w:rPr>
            </w:pPr>
          </w:p>
        </w:tc>
      </w:tr>
      <w:tr w:rsidR="00BF20B9" w:rsidRPr="00F2718E" w14:paraId="6D8C1B5E" w14:textId="77777777" w:rsidTr="00F260E8">
        <w:trPr>
          <w:trHeight w:val="465"/>
        </w:trPr>
        <w:tc>
          <w:tcPr>
            <w:tcW w:w="12563" w:type="dxa"/>
            <w:gridSpan w:val="6"/>
            <w:vMerge w:val="restart"/>
            <w:shd w:val="clear" w:color="auto" w:fill="D9D9D9" w:themeFill="background1" w:themeFillShade="D9"/>
          </w:tcPr>
          <w:p w14:paraId="665B70B8" w14:textId="77777777" w:rsidR="00BF20B9" w:rsidRPr="00F2718E" w:rsidRDefault="00BF20B9" w:rsidP="00A961C5">
            <w:pPr>
              <w:spacing w:line="360" w:lineRule="auto"/>
              <w:jc w:val="center"/>
              <w:rPr>
                <w:rFonts w:ascii="GHEA Grapalat" w:hAnsi="GHEA Grapalat"/>
              </w:rPr>
            </w:pPr>
            <w:r w:rsidRPr="00F2718E">
              <w:rPr>
                <w:rFonts w:ascii="GHEA Grapalat" w:hAnsi="GHEA Grapalat"/>
                <w:b/>
                <w:lang w:val="hy-AM"/>
              </w:rPr>
              <w:t>25. Երևանի քաղաքապետարան</w:t>
            </w:r>
          </w:p>
        </w:tc>
        <w:tc>
          <w:tcPr>
            <w:tcW w:w="2344" w:type="dxa"/>
            <w:gridSpan w:val="2"/>
            <w:shd w:val="clear" w:color="auto" w:fill="D9D9D9" w:themeFill="background1" w:themeFillShade="D9"/>
          </w:tcPr>
          <w:p w14:paraId="5D003F60" w14:textId="77777777" w:rsidR="00BF20B9" w:rsidRPr="00F2718E" w:rsidRDefault="00BF20B9" w:rsidP="00A961C5">
            <w:pPr>
              <w:spacing w:line="360" w:lineRule="auto"/>
              <w:rPr>
                <w:rFonts w:ascii="GHEA Grapalat" w:hAnsi="GHEA Grapalat"/>
              </w:rPr>
            </w:pPr>
            <w:r w:rsidRPr="00F2718E">
              <w:rPr>
                <w:rFonts w:ascii="GHEA Grapalat" w:hAnsi="GHEA Grapalat"/>
                <w:b/>
                <w:lang w:val="en-US"/>
              </w:rPr>
              <w:t>13.</w:t>
            </w:r>
            <w:r w:rsidRPr="00F2718E">
              <w:rPr>
                <w:rFonts w:ascii="GHEA Grapalat" w:hAnsi="GHEA Grapalat"/>
                <w:b/>
                <w:lang w:val="hy-AM"/>
              </w:rPr>
              <w:t>05.2024թ.</w:t>
            </w:r>
          </w:p>
        </w:tc>
      </w:tr>
      <w:tr w:rsidR="00BF20B9" w:rsidRPr="00F2718E" w14:paraId="6B3BA669" w14:textId="77777777" w:rsidTr="00F260E8">
        <w:trPr>
          <w:trHeight w:val="487"/>
        </w:trPr>
        <w:tc>
          <w:tcPr>
            <w:tcW w:w="12563" w:type="dxa"/>
            <w:gridSpan w:val="6"/>
            <w:vMerge/>
            <w:shd w:val="clear" w:color="auto" w:fill="D9D9D9" w:themeFill="background1" w:themeFillShade="D9"/>
          </w:tcPr>
          <w:p w14:paraId="3302C8A8" w14:textId="77777777" w:rsidR="00BF20B9" w:rsidRPr="00F2718E" w:rsidRDefault="00BF20B9" w:rsidP="00A961C5">
            <w:pPr>
              <w:spacing w:line="360" w:lineRule="auto"/>
              <w:jc w:val="center"/>
              <w:rPr>
                <w:rFonts w:ascii="GHEA Grapalat" w:hAnsi="GHEA Grapalat"/>
                <w:b/>
                <w:lang w:val="hy-AM"/>
              </w:rPr>
            </w:pPr>
          </w:p>
        </w:tc>
        <w:tc>
          <w:tcPr>
            <w:tcW w:w="2344" w:type="dxa"/>
            <w:gridSpan w:val="2"/>
            <w:shd w:val="clear" w:color="auto" w:fill="D9D9D9" w:themeFill="background1" w:themeFillShade="D9"/>
          </w:tcPr>
          <w:p w14:paraId="0CD890E7"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ԳՍ//15012-2024</w:t>
            </w:r>
          </w:p>
        </w:tc>
      </w:tr>
      <w:tr w:rsidR="00881AD5" w:rsidRPr="00F2718E" w14:paraId="3BFCE562" w14:textId="77777777" w:rsidTr="00F260E8">
        <w:trPr>
          <w:gridAfter w:val="1"/>
          <w:wAfter w:w="6" w:type="dxa"/>
        </w:trPr>
        <w:tc>
          <w:tcPr>
            <w:tcW w:w="7879" w:type="dxa"/>
          </w:tcPr>
          <w:p w14:paraId="6A6C08B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1. «Հայաստանի Հանրապետության քաղաքացիական դատավարության օրենսգրքում փոփոխություններ և լրացումներ կատարելու մասին», «Հայաստանի Հանրապետության վարչական դատավարության օրենսգրքում լրացումներ և փոփոխություններ կատարելու մասին» օրենքների նախագծերով առաջարկվում է Հայաստանի Հանրապետության քաղաքացիական դատավարության օրենսգիրքը և Հայաստանի Հանրապետության վարչական դատավարության օրենսգիրքը լրացնել նոր 155.3-րդ և 101.5-րդ հոդվածներով՝ կարգավորելով եզրափակիչ դատական ակտով կամ հայցադիմումի ընդունումը մերժելու մասին որոշմամբ դատական տուգանք կիրառելու առանձնահատկությունները: Մասնավորապես` </w:t>
            </w:r>
          </w:p>
          <w:p w14:paraId="4D968CE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Հայաստանի Հանրապետության քաղաքացիական դատավարության օրենսգրքում լրացվող նոր 155.3-րդ հոդվածով առաջարկվում է նախատեսել, որ եթե գործին մասնակցող անձն անբարեխիղճ կերպով անհիմն հայց, վերաքննիչ կամ վճռաբեկ բողոք է ներկայացրել կամ դատավարական այլ վարքագծով չարաշահել է իր իրավունքները և եզրափակիչ դատական ակտով կամ հայցադիմումի ընդունումը մերժելու մասին որոշմամբ հաստատվել է իրավունքի չարաշահման փաստը, ապա դատարանը իրավունքը չարաշահած գործին մասնակցող անձի նկատմամբ կարող է կիրառել դատական տուգանք: Նույն հոդվածի 1-ին մասում նախատեսված դեպքերում դատական տուգանք կիրառելիս համապատասխան դատական ակտի պատճառաբանական մասում նշում է կատարվում դատական տուգանք կիրառելու համար հիմք հանդիսացած հանգամանքների մասին, իսկ եզրափակիչ մասում կատարվում է եզրահանգում՝ դատական տուգանքի կիրառման մասին:</w:t>
            </w:r>
          </w:p>
          <w:p w14:paraId="23A92808"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Հայաստանի Հանրապետության վարչական դատավարության օրենսգրքում լրացվող նոր 101.5-րդ հոդվածով առաջարկվում է նախատեսել, որ եթե դատավարության մասնակիցն անբարեխիղճ կերպով անհիմն հայց, վերաքննիչ կամ վճռաբեկ բողոք է ներկայացրել կամ դատավարական այլ վարքագծով չարաշահել է իր իրավունքները և գործն ըստ էության լուծող դատական ակտով կամ հայցադիմումի ընդունումը մերժելու մասին որոշմամբ հաստատվել է իրավունքի չարաշահման փաստը, ապա դատարանը իրավունքը չարաշահած դատավարության մասնակցի նկատմամբ կարող է կիրառել դատական տուգանք: Նույն հոդվածի 1-ին մասում նախատեսված դեպքերում դատական տուգանք կիրառելիս համապատասխան դատական ակտի պատճառաբանական մասում նշում է կատարվում դատական տուգանք կիրառելու համար հիմք հանդիսացած հանգամանքների մասին, իսկ եզրափակիչ մասում կատարվում է եզրահանգում՝ դատական տուգանքի կիրառման մասին: </w:t>
            </w:r>
          </w:p>
          <w:p w14:paraId="2B717CC5" w14:textId="77777777" w:rsidR="00881AD5"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Նախագծերի փաթեթին կից ներկայացված հիմնավորմամբ նշվում է, որ Նախագծերի նպատակն է ՀՀ քաղաքացիական դատավարության օրենսգրքում և ՀՀ վարչական դատավարության օրենսգրքում սահմանել այնպիսի կառուցակարգեր, որոնք ուղղված կլինեն դատավարական գործընթացներում իրավունքի չարաշահման դեպքերի նվազեցմանը և գործերի ողջամիտ ժամկետներում քննության ապահովմանը:</w:t>
            </w:r>
          </w:p>
          <w:p w14:paraId="3BCC5E7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 առումով հայտնում ենք, որ ՀՀ Սահմանադրական դատարանը իր մի շարք որոշումներով (ՍԴՈ-652, ՍԴՈ-690, ՍԴՈ-719, ՍԴՈ-765, ՍԴՈ-844, ՍԴՈ-873, ՍԴՈ-890, ՍԴՈ-932, ՍԴՈ-942, ՍԴՈ-1037, ՍԴՈ-1052, ՍԴՈ-1115, ՍԴՈ-1127, ՍԴՈ-1190, ՍԴՈ-1192) հանգամանորեն անդրադարձել է արդարադատության մատչելիության, արդար և արդյունավետ դատաքննության իրավունքների երաշխավորման սահմանադրականության խնդիրներին` դրանք դիտարկելով որպես դատական պաշտպանության իրավունքի անհրաժեշտ բաղադրատարրեր` հավասարապես ընդգծելով դրանց կարևորությունը դատավարական գործընթացներում:</w:t>
            </w:r>
          </w:p>
          <w:p w14:paraId="2A4FFCD4"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Սահմանադրական դատարանն արձանագրել է, որ 2015 թվականի փոփոխություններով ՀՀ Սահմանադրության 61-րդ և 63-րդ հոդվածների իրավակարգավորման հիմքում դրված են անձի իրավունքների ու ազատությունների դատական պաշտպանության իրավունքի երաշխավորման սահմանադրաիրավական այն սկզբունքները, որոնց համատեքստում Սահմանադրական դատարանն իր վերոհիշյալ որոշումներում արտահայտել է իրավական դիրքորոշումներ:</w:t>
            </w:r>
          </w:p>
          <w:p w14:paraId="59A31A7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Սահմանադրական դատարանը վերոթվարկյալ որոշումներում կարևորել է իրավակարգավորման մի շարք սկզբունքներ, մասնավորապես նշելով, որ՝</w:t>
            </w:r>
          </w:p>
          <w:p w14:paraId="613A618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կամ դրա իրացման արգելք հանդիսանալ,</w:t>
            </w:r>
          </w:p>
          <w:p w14:paraId="17BD4BC5"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w:t>
            </w:r>
          </w:p>
          <w:p w14:paraId="54108D79"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դատարանի մատչելիությունը կարող է ունենալ այնպիսի սահմանափակումներ, որոնք չեն խաթարում այդ իրավունքի բուն էությունը,</w:t>
            </w:r>
          </w:p>
          <w:p w14:paraId="1A102AAF"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դատարան դիմելիս անձը չպետք է ծանրաբեռնվի ավելորդ ձևական պահանջներով,</w:t>
            </w:r>
          </w:p>
          <w:p w14:paraId="7942393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իրավական որոշակիության ապահովման պահանջից ելնելով` դատարանի մատչելիության իրավունքի իրացման համար անհրաժեշտ որոշակի իմպերատիվ նախապայմանի առկայությունն ինքնին չի կարող դիտվել որպես ՀՀ Սահմանադրությանը հակասող: Այլ հարց է, որ նման նախապայմանը պետք է լինի իրագործելի, ողջամիտ և չհանգեցնի իրավունքի էության խախտման:</w:t>
            </w:r>
          </w:p>
          <w:p w14:paraId="7C9AC5CE"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Միաժամանակ, Սահմանադրական դատարանը անդրադարձել է նաև դատարանի մատչելիության սահմանափակումների վերաբերյալ ՄԻԵԴ-ի կողմից ձևավորված իրավական դիրքորոշումներին, որոնց համաձայն.</w:t>
            </w:r>
          </w:p>
          <w:p w14:paraId="58A3585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պետությունը դատարան դիմելու իրավունքից օգտվելու համար կարող է սահմանել որոշակի պայմաններ, «…պարզապես պետության կողմից կիրառված սահմանափակումները չպետք է այն կերպ կամ այն աստիճանի սահմանափակեն անձի դատարանի մատչելիության իրավունքը, որ վնաս հասցվի այդ իրավունքի բուն էությանը: Բացի այդ, սահմանափակումը 6-րդ հոդվածի 1-ին մասին 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(Case of Khalfaoui v. France, application no. 34791/97, 14/03/2000),</w:t>
            </w:r>
          </w:p>
          <w:p w14:paraId="0D81AA40"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սահմանափակումները չեն կարող համապատասխանել Մարդու իրավունքների եվրոպական կոնվենցիայի 6-րդ հոդվածի 1-ին մասի պահանջներին, եթե չեն հետապնդում իրավաչափ նպատակ կամ բացակայում է ընտրված միջոցների և հետապնդվող իրավաչափ նպատակի միջև պատճառական կապը (Case of Marini v. Albania (application no. 3738/02), Judgment of 18 December 2007, para. 113):</w:t>
            </w:r>
          </w:p>
          <w:p w14:paraId="426D112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Նշված դիրքորոշումները կարևորվում են հատկապես ՀՀ Սահմանադրության (2015 թվականի փոփոխություններով) 61-րդ և 63-րդ հոդվածների 1-ին մասերով նախատեսված` մարդու արդարադատական իրավունքների իրացման օրենսդրական երաշխիքների ապահովման համար:</w:t>
            </w:r>
          </w:p>
          <w:p w14:paraId="6D37A59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Նախագծերի փաթեթով առաջարկվող կարգավորումներից պարզ է դառնում, որ անձը իրացնելով միջազգային իրավական կոնվենցիաներով և ՀՀ Սահմանադրությամբ երաշխավորված իր դատական պաշտպանության իրավունքը, կարող է հայց, բողոք ներկայացնել դատարան, որը դատարանի կողմից կարող է որակվել որպես ակնհայտ անհիմն, որի պարագայում էլ, ըստ Նախագծերի փաթեթի՝ անձը, փաստորեն կարող է ենթարկվել դատական սանկցիայի իր դատական պաշտպանության իրավունքը իրացնելու համար: Ավելին, Նախագծերի փաթեթով  առաջարկվող կարգավորումներից պարզ է դառնում, որ ներկայացված օրենսդրական նախաձեռնությամբ դատարանին տրվում է լիազորություն՝ հայցադիմումի և բողոքի ընդունումը մերժելու մասին որոշմամբ գնահատելու և հաստատելու հայցի, բողոքի անկհայտ անհիմն ներկայացված լինելը, մինչդեռ այս առումով հարկ ենք համարում նշել, որ հայցի, բողոքի անհիմն լինելը դատարանի կողմից կարող է գնահատվել միայն գործի ըստ էության քննության արդյունքում՝ հանգեցնելով ներկայացված հայցը կամ բողոքը մերժելուն:</w:t>
            </w:r>
          </w:p>
          <w:p w14:paraId="0AD94477"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 Բացի այդ, հայտնում ենք, որ հայցադիմումի և բողոքի ընդունումը մերժելու հիմքերը հստակ նախատեսված են ՀՀ քաղաքացիական դատավարության և ՀՀ վարչական դատավարության օրենսգրքերով, որոնցով հայցի, բողոքի անկհայտ անհիմն լինելը որպես հայցադիմումի և բողոքի ընդունումը մերժելու հիմք նախատեսված չէ: Հայտնում ենք նաև, որ Նախագծերի փաթեթում կիրառվում է «անբարեխիղճ կերպով անհիմն հայց, վերաքննիչ կամ վճռաբեկ բողոք ներկայացնել» եզրույթը, մինչդեռ Հայաստանի Հանրապետության գործող օրենսդրությամբ հայցի, բողոքի ակնհայտ անհիմն լինելու գնահատման իրավական հիմքերը բացահայտված չեն, հետևաբար իրավական կանխատեսելիության և որոշակիության տեսանկյունից պարզ չէ, թե դատարանի կողմից որ հայցերը կամ բողոքները պետք է և կարող են գնահատվել որպես անբարեխիղճ կերպով անհիմն ներկայացված:</w:t>
            </w:r>
          </w:p>
          <w:p w14:paraId="4C24473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Ամփոփելով վերոգրյալը, հայտնում ենք, որ Նախագծերի փաթեթով Հայաստանի Հանրապետության քաղաքացիական դատավարության օրենսգրքում լրացվող                             նոր 155.3-րդ և Հայաստանի Հանրապետության վարչական դատավարության օրենսգրքում լրացվող նոր 101.5-րդ հոդվածներով առաջարկվող կարգավորումները հակասում են արդարադատության բուն էությանը, անձի՝ դատարանների մատչելիության սկզբունքին, խախտում անձի՝ վեճի արդար դատաքննության իրավունքը, քանի որ. </w:t>
            </w:r>
          </w:p>
          <w:p w14:paraId="26CC2B5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հայցի, բողոքի անհիմն լինելը պահանջում է իրավական գնահատական, որպիսին տրվում է դատարանի կողմից և դատական ակտով՝ գործի քննության արդյունքում.</w:t>
            </w:r>
          </w:p>
          <w:p w14:paraId="01A6C0AF"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պետությունը չի կարող անձի վրա դնել իր կողմից ներկայացվող հայցի, բողոքի իրավաչափությունը նախապես, նախքան դատարան դիմելը իրավական գնահատման ենթարկելու պահանջ, որպիսին, պայմանականորեն ոչ ճիշտ, ոչ բարեխիղճ կամ իրավաբանորեն ոչ գրագետ (այս բոլորը սուբյեկտիվ գնահատման առարկա են՝ ելնելով անձի իրավագիտակցությունից և իր իրավունքների վերաբերյալ պատկերացումներից, ինչն էլ իր հերթին առաջ է բերում վեճ, որը լուծում է դատարանը) կատարելու պարագայում անձի համար կարող է առաջանալ լրացուցիչ իրավական հետևանք, այն է դատական տուգանքի կիրառում.</w:t>
            </w:r>
          </w:p>
          <w:p w14:paraId="753AAF85"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դատարանի կողմից հայցը, բողոքը մերժելու պարագայում, անձը, փաստորեն  իր դատական պաշտպանությունն իրացնելու համար դատական կարգով ծանրաբեռնվելու է ֆինանսական պարտավորությամբ, որն առերևույթ իր մեջ պարունակում է դատարանի գնահատմամբ ակնհայտ անհիմն հայց, բողոք ներկայացնելու համար անձի նկատմամբ դատական սանկցիա կիրառելու տարրեր, մինչդեռ, այս առումով հայտնում ենք, որ սահմանադրությամբ երաշխավորված դատական պաշտպանության իրավունքի իրացման համար անձին լրացուցիչ ֆինանսական պարտավորությամբ «պատժելը» հակասում է դատարանների մատչելիության սկզբունքին և կաշկանդում է անձի՝ արդար դատաքննություն հայցելու իրավունքից օգտվելը:</w:t>
            </w:r>
          </w:p>
          <w:p w14:paraId="676C7920"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Հաշվի առնելով նշվածը՝ գտնում ենք, որ Նախագծերի փաթեթով առաջարկվող կարգավորումները խնդրահարույց են և հակասում են միջազգային իրավական ակտերով և ՀՀ Սահմանադրությամբ երաշխավորված դատական պաշտպանության արդյունավետ իրացման կառուցակարգերին:</w:t>
            </w:r>
          </w:p>
        </w:tc>
        <w:tc>
          <w:tcPr>
            <w:tcW w:w="7022" w:type="dxa"/>
            <w:gridSpan w:val="6"/>
          </w:tcPr>
          <w:p w14:paraId="476FB716" w14:textId="77777777" w:rsidR="00BF20B9" w:rsidRPr="00F2718E" w:rsidRDefault="00BF20B9"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23CFA780" w14:textId="77777777" w:rsidR="00BF20B9" w:rsidRPr="00F2718E" w:rsidRDefault="00BF20B9"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7059B18A" w14:textId="77777777" w:rsidR="00881AD5" w:rsidRPr="00F2718E" w:rsidRDefault="00881AD5" w:rsidP="00A961C5">
            <w:pPr>
              <w:spacing w:line="360" w:lineRule="auto"/>
              <w:jc w:val="center"/>
              <w:rPr>
                <w:rFonts w:ascii="GHEA Grapalat" w:hAnsi="GHEA Grapalat"/>
                <w:lang w:val="hy-AM"/>
              </w:rPr>
            </w:pPr>
          </w:p>
        </w:tc>
      </w:tr>
      <w:tr w:rsidR="00881AD5" w:rsidRPr="00F2718E" w14:paraId="6688744A" w14:textId="77777777" w:rsidTr="00F260E8">
        <w:trPr>
          <w:gridAfter w:val="1"/>
          <w:wAfter w:w="6" w:type="dxa"/>
        </w:trPr>
        <w:tc>
          <w:tcPr>
            <w:tcW w:w="7879" w:type="dxa"/>
          </w:tcPr>
          <w:p w14:paraId="6FF8A9F4"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w:t>
            </w:r>
            <w:r w:rsidR="00A940D2" w:rsidRPr="00F2718E">
              <w:rPr>
                <w:rFonts w:ascii="GHEA Grapalat" w:hAnsi="GHEA Grapalat"/>
                <w:lang w:val="hy-AM"/>
              </w:rPr>
              <w:t xml:space="preserve"> </w:t>
            </w:r>
            <w:r w:rsidRPr="00F2718E">
              <w:rPr>
                <w:rFonts w:ascii="GHEA Grapalat" w:hAnsi="GHEA Grapalat"/>
                <w:lang w:val="hy-AM"/>
              </w:rPr>
              <w:t>«Հայաստանի Հանրապետության քաղաքացիական դատավարության օրենսգրքում փոփոխություններ և լրացումներ կատարելու մասին» օրենքի նախագծով (այսուհետ՝ Նախագիծ) առաջարկվում է Հայաստանի Հանրապետության քաղաքացիական դատավարության օրենսգիրքը լրացնել նոր 147.1-ին հոդվածով՝ արդյունքում սահմանելով, որ նույն օրենսգրքի 158-րդ հոդվածի 3-րդ մասով, 234.9 հոդվածի 1-ին մասի 1-ին կետով, 247-րդ հոդվածի 1-ին մասի, 300-րդ հոդվածի 1-ին մասի 1-ին կետի, 318-րդ հոդվածի 2.2.-րդ մասով, 323-րդ հոդվածի 2-րդ մասով, 328-րդ հոդվածի 2-րդ մասով, 339-րդ հոդվածի 2-րդ մասով, 343-րդ հոդվածի 2-րդ մասով, 345.4-րդ հոդվածի 2-րդ մասով նախատեսված դեպքերում դատարանը դատավարության մասնակիցներին ուղղված ծանուցագրում նշում է կատարում դատական նիստին մասնակցելու անհրաժեշտության մասին: Եթե դատավարության մասնակիցը, ծանուցված լինելով դատական նիստին ներկայանալու անհրաժեշտության մասին, չի ներկայանում դատական նիստին կամ չի ներկայացնում դատական նիստը հետաձգելու մասին հիմնավորված միջնորդություն, ապա դատարանը դատական նիստին չմասնակցող դատավարության մասնակցի նկատմամբ կիրառում է դատական տուգանք:</w:t>
            </w:r>
          </w:p>
          <w:p w14:paraId="319CEF2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 առումով հայտնում ենք, որ Հայաստանի Հանրապետության քաղաքացիական դատավարության օրենսգրքի 146-րդ հոդվածի համաձայն՝ Դատական նիստի քարտուղարը զեկուցում է դատարանին` գործին մասնակցող անձանց և դատավարության այլ մասնակիցների` նիստին ներկա լինելու մասին, չներկայացած անձանց ծանուցված լինելու, ինչպես նաև նրանց բացակայության պատճառների մասին: Դատական նիստին դատավարության մասնակիցներից որևէ մեկի չներկայանալու դեպքում դատարանը, լսելով գործին մասնակցող անձանց կարծիքը, որոշում է կայացնում գործի քննությունը նրա բացակայությամբ շարունակելու կամ դատական նիստը հետաձգելու մասին:</w:t>
            </w:r>
          </w:p>
          <w:p w14:paraId="6C905CC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 օրենսգրքի 147-րդ հոդվածի համաձայն՝ Գործին մասնակցող անձն իրավունք ունի դատարանին խնդրել գործը քննել իր բացակայությամբ` ներկայացված փաստաթղթերի և նյութերի հիման վրա: Գործին մասնակցող անձն իրավունք ունի դատարանին խնդրել դատական նիստն անցկացնել իր բացակայությամբ: Դատական նիստի ժամանակի և վայրի մասին ծանուցված գործին մասնակցող անձի չներկայանալը դատական նիստին արգելք չէ գործի քննության համար:</w:t>
            </w:r>
          </w:p>
          <w:p w14:paraId="7944FAF0"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Այս առումով նկատի ունենալով Հայաստանի Հանրապետության քաղաքացիական դատավարության օրենսգրքով սահմանված կարգավորումները՝ հայտնում ենք, որ Նախագծով առաջարկվող կարգավորումները խնդրահարույց են և ուղղված են դատավարության մասնակիցների նկատմամբ լրացուցիչ ֆինանսական պարտավորությունների, բեռի ավելացմանը:</w:t>
            </w:r>
          </w:p>
        </w:tc>
        <w:tc>
          <w:tcPr>
            <w:tcW w:w="7022" w:type="dxa"/>
            <w:gridSpan w:val="6"/>
          </w:tcPr>
          <w:p w14:paraId="04DA5413" w14:textId="77777777" w:rsidR="00C3304A" w:rsidRPr="00F2718E" w:rsidRDefault="00C3304A" w:rsidP="00C3304A">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46D81865" w14:textId="37D4B5E9" w:rsidR="00C3304A" w:rsidRPr="00F2718E" w:rsidRDefault="00C3304A" w:rsidP="00C3304A">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4DF26138" w14:textId="5E69331A" w:rsidR="00881AD5" w:rsidRPr="00F2718E" w:rsidRDefault="00881AD5" w:rsidP="00A961C5">
            <w:pPr>
              <w:spacing w:line="360" w:lineRule="auto"/>
              <w:jc w:val="both"/>
              <w:rPr>
                <w:rFonts w:ascii="GHEA Grapalat" w:hAnsi="GHEA Grapalat"/>
                <w:lang w:val="hy-AM"/>
              </w:rPr>
            </w:pPr>
          </w:p>
        </w:tc>
      </w:tr>
      <w:tr w:rsidR="00881AD5" w:rsidRPr="00F2718E" w14:paraId="332CE027" w14:textId="77777777" w:rsidTr="00F260E8">
        <w:trPr>
          <w:gridAfter w:val="1"/>
          <w:wAfter w:w="6" w:type="dxa"/>
        </w:trPr>
        <w:tc>
          <w:tcPr>
            <w:tcW w:w="7879" w:type="dxa"/>
          </w:tcPr>
          <w:p w14:paraId="1BE217A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Նախագծով առաջարկվում է Հայաստանի Հանրապետության քաղաքացիական դատավարության օրենսգիրքը լրացնել նոր 155.4-րդ հոդվածով՝ կարգավորելով իրավունքի իրականացման սահմանափակում կիրառելու հետ կապած հարաբերությունները: Մասնավորապես, Հայաստանի Հանրապետության քաղաքացիական դատավարության օրենսգրքում լրացվող նոր 155.4-րդ հոդվածով առաջարկվում է նախատեսել, որ իրավունքի իրականացման սահմանափակումը դատավարության մասնակցի` որոշակի իրավունքների նույն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 Նույն 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lang w:val="hy-AM"/>
              </w:rPr>
              <w:t>․</w:t>
            </w:r>
          </w:p>
          <w:p w14:paraId="4BB1E9D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գործի նյութերին ծանոթանալը, դրանց պատճեններ ստանալը, քաղվածքներ, լուսանկարներ, լուսապատճեններ և պատճեններ անելը,</w:t>
            </w:r>
          </w:p>
          <w:p w14:paraId="036488DE"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բացարկ հայտնելը.</w:t>
            </w:r>
          </w:p>
          <w:p w14:paraId="42E3631F"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ապացույցներ ներկայացնելը,</w:t>
            </w:r>
          </w:p>
          <w:p w14:paraId="285E7820"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դատավարության մասնակիցներին հարցեր տալը,</w:t>
            </w:r>
          </w:p>
          <w:p w14:paraId="4B3331A0"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 միջնորդություններ ներկայացնելը,</w:t>
            </w:r>
          </w:p>
          <w:p w14:paraId="0603A457"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6) դիրքորոշում ներկայացնելը:</w:t>
            </w:r>
          </w:p>
          <w:p w14:paraId="54C44F95"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 առումով նկատի ունենալով Նախագծով առաջարկվող կարգավորումները և Հայաստանի Հանրապետության Սահմանադրությամբ երաշխավորված դատական պաշտպանության իրավունքը և դրա անշեղ իրականացման համար Հայաստանի Հանրապետության քաղաքացիական դատավարության օրենսգրքով գործին մասնակցող անձանց վերապահված իրավունքները՝ հայտնում ենք, որ Նախագծով առաջարկվող կարգավորումները խնդրահարույց են Հայաստանի Հանրապետության Սահմանադրության 79-րդ հոդվածում ամրագրված պահանջների տեսանկյունից, քանի որ առաջարկվող կարգավորումները միայն սահմանում են սահմանափակում կիրառելու իրավական հնարավորությունը՝ առանց սահմանելու սահմանափակում կիրառելու հիմքերը և ծավալը: Մասնավորապես, Նախագծով միայն նշվում է դատավարության մասնակցի կողմից օրենսգրքով սահմանված իրավունքների պարբերաբար չարաշահման մասին, մինչդեռ առաջարկվող կարգավորումներից պարզ չէ «իրավունքի պարբերաբար չարաշահման» դրսևորման բովանդակությունը, ինչպես նաև դրա գնահատման իրավական հիմքերը:</w:t>
            </w:r>
          </w:p>
          <w:p w14:paraId="0A2DE6E4"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Այս առումով հայտնում ենք, որ 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tc>
        <w:tc>
          <w:tcPr>
            <w:tcW w:w="7022" w:type="dxa"/>
            <w:gridSpan w:val="6"/>
          </w:tcPr>
          <w:p w14:paraId="1DFF718D" w14:textId="77777777" w:rsidR="00BF20B9" w:rsidRPr="00F2718E" w:rsidRDefault="00BF20B9" w:rsidP="00A961C5">
            <w:pPr>
              <w:spacing w:line="360" w:lineRule="auto"/>
              <w:contextualSpacing/>
              <w:jc w:val="center"/>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6BB3F4F4" w14:textId="003A69A9" w:rsidR="00BF20B9" w:rsidRPr="00F2718E" w:rsidRDefault="00BF20B9" w:rsidP="00A961C5">
            <w:pPr>
              <w:spacing w:line="360" w:lineRule="auto"/>
              <w:contextualSpacing/>
              <w:jc w:val="both"/>
              <w:rPr>
                <w:rFonts w:ascii="GHEA Grapalat" w:hAnsi="GHEA Grapalat"/>
                <w:lang w:val="hy-AM"/>
              </w:rPr>
            </w:pPr>
            <w:r w:rsidRPr="00F2718E">
              <w:rPr>
                <w:rFonts w:ascii="GHEA Grapalat" w:hAnsi="GHEA Grapalat"/>
                <w:shd w:val="clear" w:color="auto" w:fill="FFFFFF"/>
                <w:lang w:val="hy-AM"/>
              </w:rPr>
              <w:t xml:space="preserve">Նախագծերով առաջարկվող «իրավունքի իրականացման սահմանափակում» սանկցիայի </w:t>
            </w:r>
            <w:r w:rsidRPr="00F2718E">
              <w:rPr>
                <w:rFonts w:ascii="GHEA Grapalat" w:hAnsi="GHEA Grapalat"/>
                <w:lang w:val="hy-AM"/>
              </w:rPr>
              <w:t>էությունը կայանում է նրանում, որ երբ դատարանը գտնում է, որ դատավարության մասնակիցն իր դատավարական իրավունքներն օգտագործելիս</w:t>
            </w:r>
            <w:r w:rsidR="00275D06" w:rsidRPr="00F2718E">
              <w:rPr>
                <w:rFonts w:ascii="GHEA Grapalat" w:hAnsi="GHEA Grapalat"/>
                <w:lang w:val="hy-AM"/>
              </w:rPr>
              <w:t xml:space="preserve"> </w:t>
            </w:r>
            <w:r w:rsidRPr="00F2718E">
              <w:rPr>
                <w:rFonts w:ascii="GHEA Grapalat" w:hAnsi="GHEA Grapalat"/>
                <w:lang w:val="hy-AM"/>
              </w:rPr>
              <w:t xml:space="preserve">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14:paraId="71C92076" w14:textId="77777777" w:rsidR="00BF20B9" w:rsidRPr="00F2718E" w:rsidRDefault="00BF20B9" w:rsidP="00A961C5">
            <w:pPr>
              <w:spacing w:line="360" w:lineRule="auto"/>
              <w:contextualSpacing/>
              <w:jc w:val="both"/>
              <w:rPr>
                <w:rFonts w:ascii="GHEA Grapalat" w:hAnsi="GHEA Grapalat"/>
                <w:shd w:val="clear" w:color="auto" w:fill="FFFFFF"/>
                <w:lang w:val="hy-AM"/>
              </w:rPr>
            </w:pPr>
            <w:r w:rsidRPr="00F2718E">
              <w:rPr>
                <w:rFonts w:ascii="GHEA Grapalat" w:hAnsi="GHEA Grapalat"/>
                <w:lang w:val="hy-AM"/>
              </w:rPr>
              <w:t xml:space="preserve">Այսպիսով, Նախագծերով առաջարկվել է սահմանել գործի նյութերին ծանոթանալու, դրանց պատճեններ ստանալու, քաղվածքներ, լուսանկարներ, լուսապատճեններ և պատճեններ անելու, բացարկ հայտնելու, ինքնաբացարկ հայտնելու, միջնորդություններ անելու, ապացույցներ ներկայացնելու, դատավարության մասնակիցներին հարցեր տալու, միջնորդություններ ներկայացնելու, դիրքորոշում ներկայացնելու իրավունքների ժամանակային կամ քանակական սահմանափակումներ կիրառելու դատարանների իրավասությունը: </w:t>
            </w:r>
            <w:r w:rsidRPr="00F2718E">
              <w:rPr>
                <w:rFonts w:ascii="GHEA Grapalat" w:hAnsi="GHEA Grapalat"/>
                <w:shd w:val="clear" w:color="auto" w:fill="FFFFFF"/>
                <w:lang w:val="hy-AM"/>
              </w:rPr>
              <w:t>«Իրավունքները պարբերաբար չարաշահել» եզրույթի կիրառումն արդեն իսկ ենթադրում է, որ դատավարության մասնակցի վարքագիծը պետք է ունենա պարբերական, շարունակական բնույթ՝ չսահմանափակվելով մեկ անգամ կատարված գործողությամբ: Միաժամանակ, պետք է դատարանի կողմից հաստատվի «չարաշահման» փաստը, այսինքն՝ դատավարական իրավունքը ոչ դրա նպատակներին համահունչ օգտագործման փաստը, և դրան զուգահեռ չպետք է իրավունքի բուն իրացումը սահմանափակվի:</w:t>
            </w:r>
          </w:p>
          <w:p w14:paraId="4BEF3764" w14:textId="741CDEB4" w:rsidR="00881AD5" w:rsidRPr="00F2718E" w:rsidRDefault="00BF20B9" w:rsidP="00A961C5">
            <w:pPr>
              <w:spacing w:line="360" w:lineRule="auto"/>
              <w:jc w:val="both"/>
              <w:rPr>
                <w:rFonts w:ascii="GHEA Grapalat" w:hAnsi="GHEA Grapalat"/>
                <w:lang w:val="hy-AM"/>
              </w:rPr>
            </w:pPr>
            <w:r w:rsidRPr="00F2718E">
              <w:rPr>
                <w:rFonts w:ascii="GHEA Grapalat" w:hAnsi="GHEA Grapalat"/>
                <w:shd w:val="clear" w:color="auto" w:fill="FFFFFF"/>
                <w:lang w:val="hy-AM"/>
              </w:rPr>
              <w:t>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r w:rsidR="00B5343D" w:rsidRPr="00F2718E">
              <w:rPr>
                <w:rFonts w:ascii="GHEA Grapalat" w:hAnsi="GHEA Grapalat"/>
                <w:shd w:val="clear" w:color="auto" w:fill="FFFFFF"/>
                <w:lang w:val="hy-AM"/>
              </w:rPr>
              <w:t xml:space="preserve"> </w:t>
            </w:r>
            <w:r w:rsidRPr="00F2718E">
              <w:rPr>
                <w:rFonts w:ascii="GHEA Grapalat" w:hAnsi="GHEA Grapalat"/>
                <w:shd w:val="clear" w:color="auto" w:fill="FFFFFF"/>
                <w:lang w:val="hy-AM"/>
              </w:rPr>
              <w:t>Իրավունքի իրականացման սահմանափակում սանկցիայի կիրառումը ոչ թե անորոշ, այլ դատարանի կողմից գնահատման ենթակա հասկացություն է, որը ենթադրում է, որ պետք է հաշվի առնվեն դատավարական գործողության կատարման նպատակը, նախատեսված իրավունքի՝ օրենսդրի հետապնդած նպատակներին համահունչ կամ այլ՝ քողարկված նպատակների համար օգտագործելը: Ընդ որում, իրավունքի իրականացման սահմանափակումը որպես սանկցիայի տեսակ նույն տրամաբանությամբ սահմանված է նաև ՀՀ քրեական դատավարության օրենսգրքով: 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tc>
      </w:tr>
      <w:tr w:rsidR="00881AD5" w:rsidRPr="00F2718E" w14:paraId="4D93731A" w14:textId="77777777" w:rsidTr="00F260E8">
        <w:trPr>
          <w:gridAfter w:val="1"/>
          <w:wAfter w:w="6" w:type="dxa"/>
        </w:trPr>
        <w:tc>
          <w:tcPr>
            <w:tcW w:w="7879" w:type="dxa"/>
          </w:tcPr>
          <w:p w14:paraId="5BA0166D"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4. Նույն դիտարկումները վերաբերելի են նաև Հայաստանի Հանրապետության վարչական դատավարության օրենսգրքում լրացումներ և փոփոխություններ կատարելու մասին» օրենքի նախագծով առաջարկվող կարգավորումներին:</w:t>
            </w:r>
          </w:p>
        </w:tc>
        <w:tc>
          <w:tcPr>
            <w:tcW w:w="7022" w:type="dxa"/>
            <w:gridSpan w:val="6"/>
          </w:tcPr>
          <w:p w14:paraId="278940C5" w14:textId="77777777" w:rsidR="00BF20B9" w:rsidRPr="00F2718E" w:rsidRDefault="00BF20B9" w:rsidP="00A961C5">
            <w:pPr>
              <w:spacing w:line="360" w:lineRule="auto"/>
              <w:contextualSpacing/>
              <w:jc w:val="center"/>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578691FE" w14:textId="77777777" w:rsidR="00BF20B9" w:rsidRPr="00F2718E" w:rsidRDefault="00BF20B9"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Տե՛ս նախորդ կետը:</w:t>
            </w:r>
          </w:p>
          <w:p w14:paraId="609BA19A" w14:textId="77777777" w:rsidR="00881AD5" w:rsidRPr="00F2718E" w:rsidRDefault="00881AD5" w:rsidP="00A961C5">
            <w:pPr>
              <w:spacing w:line="360" w:lineRule="auto"/>
              <w:jc w:val="both"/>
              <w:rPr>
                <w:rFonts w:ascii="GHEA Grapalat" w:hAnsi="GHEA Grapalat"/>
                <w:lang w:val="hy-AM"/>
              </w:rPr>
            </w:pPr>
          </w:p>
        </w:tc>
      </w:tr>
      <w:tr w:rsidR="00BF20B9" w:rsidRPr="00F2718E" w14:paraId="633D2008" w14:textId="77777777" w:rsidTr="00F260E8">
        <w:trPr>
          <w:trHeight w:val="534"/>
        </w:trPr>
        <w:tc>
          <w:tcPr>
            <w:tcW w:w="11851" w:type="dxa"/>
            <w:gridSpan w:val="5"/>
            <w:vMerge w:val="restart"/>
            <w:shd w:val="clear" w:color="auto" w:fill="D9D9D9" w:themeFill="background1" w:themeFillShade="D9"/>
          </w:tcPr>
          <w:p w14:paraId="2CB38456" w14:textId="77777777" w:rsidR="00BF20B9" w:rsidRPr="00F2718E" w:rsidRDefault="00BF20B9" w:rsidP="00A961C5">
            <w:pPr>
              <w:spacing w:line="360" w:lineRule="auto"/>
              <w:jc w:val="center"/>
              <w:rPr>
                <w:rFonts w:ascii="GHEA Grapalat" w:hAnsi="GHEA Grapalat"/>
              </w:rPr>
            </w:pPr>
            <w:r w:rsidRPr="00F2718E">
              <w:rPr>
                <w:rFonts w:ascii="GHEA Grapalat" w:hAnsi="GHEA Grapalat"/>
                <w:b/>
                <w:lang w:val="hy-AM"/>
              </w:rPr>
              <w:t>26. ՀՀ ֆինանսների նախարարություն</w:t>
            </w:r>
          </w:p>
        </w:tc>
        <w:tc>
          <w:tcPr>
            <w:tcW w:w="3056" w:type="dxa"/>
            <w:gridSpan w:val="3"/>
            <w:shd w:val="clear" w:color="auto" w:fill="D9D9D9" w:themeFill="background1" w:themeFillShade="D9"/>
          </w:tcPr>
          <w:p w14:paraId="7DE8B38D"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10.05.2024թ.</w:t>
            </w:r>
          </w:p>
        </w:tc>
      </w:tr>
      <w:tr w:rsidR="00BF20B9" w:rsidRPr="00F2718E" w14:paraId="78AE80E8" w14:textId="77777777" w:rsidTr="00F260E8">
        <w:trPr>
          <w:trHeight w:val="418"/>
        </w:trPr>
        <w:tc>
          <w:tcPr>
            <w:tcW w:w="11851" w:type="dxa"/>
            <w:gridSpan w:val="5"/>
            <w:vMerge/>
            <w:shd w:val="clear" w:color="auto" w:fill="D9D9D9" w:themeFill="background1" w:themeFillShade="D9"/>
          </w:tcPr>
          <w:p w14:paraId="3B02BDD4" w14:textId="77777777" w:rsidR="00BF20B9" w:rsidRPr="00F2718E" w:rsidRDefault="00BF20B9" w:rsidP="00A961C5">
            <w:pPr>
              <w:spacing w:line="360" w:lineRule="auto"/>
              <w:jc w:val="center"/>
              <w:rPr>
                <w:rFonts w:ascii="GHEA Grapalat" w:hAnsi="GHEA Grapalat"/>
                <w:b/>
                <w:lang w:val="hy-AM"/>
              </w:rPr>
            </w:pPr>
          </w:p>
        </w:tc>
        <w:tc>
          <w:tcPr>
            <w:tcW w:w="3056" w:type="dxa"/>
            <w:gridSpan w:val="3"/>
            <w:shd w:val="clear" w:color="auto" w:fill="D9D9D9" w:themeFill="background1" w:themeFillShade="D9"/>
          </w:tcPr>
          <w:p w14:paraId="73394F92"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01/11-1/8554-2024</w:t>
            </w:r>
          </w:p>
        </w:tc>
      </w:tr>
      <w:tr w:rsidR="00881AD5" w:rsidRPr="00F2718E" w14:paraId="4AB03564" w14:textId="77777777" w:rsidTr="00F260E8">
        <w:trPr>
          <w:gridAfter w:val="1"/>
          <w:wAfter w:w="6" w:type="dxa"/>
        </w:trPr>
        <w:tc>
          <w:tcPr>
            <w:tcW w:w="7879" w:type="dxa"/>
          </w:tcPr>
          <w:p w14:paraId="599441A3"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«Հայաստանի Հանրապետության քաղաքացիական դատավարության օրենսգրքում փոփոխություններ և լրացումներ կատարելու մասին» օրենքի նախագծի 6-րդ հոդվածով լրացվող 155.3-րդ հոդվածի 1-ին մասի համաձայն՝ եթե գործին մասնակցող անձն անբարեխիղճ կերպով անհիմն հայց, վերաքննիչ կամ վճռաբեկ բողոք է ներկայացրել կամ դատավարական այլ վարքագծով չարաշահել է իր իրավունքները և եզրափակիչ դատական ակտով կամ հայցադիմումի ընդունումը մերժելու մասին որոշմամբ հաստատվել է իրավունքի չարաշահման փաստը, ապա դատարանը իրավունքը չարաշահած գործին մասնակցող անձի նկատմամբ կարող է կիրառել դատական տուգանք: </w:t>
            </w:r>
          </w:p>
          <w:p w14:paraId="27A6DFB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Նույնաբովանդակ կարգավորում նախատեսված է «Հայաստանի Հանրապետության վարչական դատավարության օրենսգրքում լրացումներ և փոփոխություններ կատարելու մասին» օրենքի նախագծի 3-րդ հոդվածով լրացվող 101.5-րդ հոդվածի 1-ին մասում: </w:t>
            </w:r>
          </w:p>
          <w:p w14:paraId="47E10642"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Վերոգրյալ կարգավորումները խմբագրման անհրաժեշտություն ունեն, քանի որ իրավական որոշակիության ապահովման տեսանկյունից վիճահարույց են, դրանցում օգտագործված «անբարեխիղճ կերպով անհիմն» ձևակերպումները ակնհայտ անորոշ և խիստ գնահատողական են, կարող են գործնականում տարաբնույթ ընկալման տեղիք տալ՝ հանգեցնելով դատական պաշտպանության իրավունքի անհամաչափ սահմանափակումների:</w:t>
            </w:r>
          </w:p>
        </w:tc>
        <w:tc>
          <w:tcPr>
            <w:tcW w:w="7022" w:type="dxa"/>
            <w:gridSpan w:val="6"/>
          </w:tcPr>
          <w:p w14:paraId="1EB9F436" w14:textId="77777777" w:rsidR="00BF20B9" w:rsidRPr="00F2718E" w:rsidRDefault="00BF20B9"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5EDA741D" w14:textId="77777777" w:rsidR="00BF20B9" w:rsidRPr="00F2718E" w:rsidRDefault="00BF20B9"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shd w:val="clear" w:color="auto" w:fill="FFFFFF"/>
                <w:lang w:val="hy-AM"/>
              </w:rPr>
              <w:t xml:space="preserve"> </w:t>
            </w:r>
          </w:p>
          <w:p w14:paraId="7DA554B9" w14:textId="77777777" w:rsidR="00881AD5" w:rsidRPr="00F2718E" w:rsidRDefault="00881AD5" w:rsidP="00A961C5">
            <w:pPr>
              <w:spacing w:line="360" w:lineRule="auto"/>
              <w:jc w:val="center"/>
              <w:rPr>
                <w:rFonts w:ascii="GHEA Grapalat" w:hAnsi="GHEA Grapalat"/>
                <w:lang w:val="hy-AM"/>
              </w:rPr>
            </w:pPr>
          </w:p>
        </w:tc>
      </w:tr>
      <w:tr w:rsidR="00BF20B9" w:rsidRPr="00F2718E" w14:paraId="243DF0F5" w14:textId="77777777" w:rsidTr="00F260E8">
        <w:trPr>
          <w:trHeight w:val="511"/>
        </w:trPr>
        <w:tc>
          <w:tcPr>
            <w:tcW w:w="12563" w:type="dxa"/>
            <w:gridSpan w:val="6"/>
            <w:vMerge w:val="restart"/>
            <w:shd w:val="clear" w:color="auto" w:fill="D9D9D9" w:themeFill="background1" w:themeFillShade="D9"/>
          </w:tcPr>
          <w:p w14:paraId="64FD24A7" w14:textId="77777777" w:rsidR="00BF20B9" w:rsidRPr="00F2718E" w:rsidRDefault="00BF20B9" w:rsidP="00A961C5">
            <w:pPr>
              <w:spacing w:line="360" w:lineRule="auto"/>
              <w:jc w:val="center"/>
              <w:rPr>
                <w:rFonts w:ascii="GHEA Grapalat" w:hAnsi="GHEA Grapalat"/>
                <w:lang w:val="hy-AM"/>
              </w:rPr>
            </w:pPr>
            <w:r w:rsidRPr="00F2718E">
              <w:rPr>
                <w:rFonts w:ascii="GHEA Grapalat" w:hAnsi="GHEA Grapalat"/>
                <w:b/>
                <w:lang w:val="hy-AM"/>
              </w:rPr>
              <w:t>27. Միջազգային իրավական հարցերով ներկայացուցչի գրասենյակ</w:t>
            </w:r>
          </w:p>
        </w:tc>
        <w:tc>
          <w:tcPr>
            <w:tcW w:w="2344" w:type="dxa"/>
            <w:gridSpan w:val="2"/>
            <w:shd w:val="clear" w:color="auto" w:fill="D9D9D9" w:themeFill="background1" w:themeFillShade="D9"/>
          </w:tcPr>
          <w:p w14:paraId="5E740703"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07.05.2024թ.</w:t>
            </w:r>
          </w:p>
        </w:tc>
      </w:tr>
      <w:tr w:rsidR="00BF20B9" w:rsidRPr="00F2718E" w14:paraId="4ACF070C" w14:textId="77777777" w:rsidTr="00F260E8">
        <w:trPr>
          <w:trHeight w:val="396"/>
        </w:trPr>
        <w:tc>
          <w:tcPr>
            <w:tcW w:w="12563" w:type="dxa"/>
            <w:gridSpan w:val="6"/>
            <w:vMerge/>
            <w:shd w:val="clear" w:color="auto" w:fill="D9D9D9" w:themeFill="background1" w:themeFillShade="D9"/>
          </w:tcPr>
          <w:p w14:paraId="7751ABEF" w14:textId="77777777" w:rsidR="00BF20B9" w:rsidRPr="00F2718E" w:rsidRDefault="00BF20B9"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133DF43A"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/64.39/16443-2024</w:t>
            </w:r>
          </w:p>
        </w:tc>
      </w:tr>
      <w:tr w:rsidR="00881AD5" w:rsidRPr="00F2718E" w14:paraId="64538248" w14:textId="77777777" w:rsidTr="00F260E8">
        <w:trPr>
          <w:gridAfter w:val="1"/>
          <w:wAfter w:w="6" w:type="dxa"/>
        </w:trPr>
        <w:tc>
          <w:tcPr>
            <w:tcW w:w="7879" w:type="dxa"/>
          </w:tcPr>
          <w:p w14:paraId="034E371F" w14:textId="77777777" w:rsidR="00881AD5" w:rsidRPr="00F2718E" w:rsidRDefault="00BF20B9" w:rsidP="00A961C5">
            <w:pPr>
              <w:spacing w:line="360" w:lineRule="auto"/>
              <w:jc w:val="both"/>
              <w:rPr>
                <w:rFonts w:ascii="GHEA Grapalat" w:hAnsi="GHEA Grapalat"/>
              </w:rPr>
            </w:pPr>
            <w:r w:rsidRPr="00F2718E">
              <w:rPr>
                <w:rFonts w:ascii="GHEA Grapalat" w:hAnsi="GHEA Grapalat"/>
                <w:lang w:val="hy-AM"/>
              </w:rPr>
              <w:t xml:space="preserve"> «Հայաստանի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և փոփոխություններ կատարելու մասին» օրենքների նախագծերի կապակցությամբ Միջազգային իրավական հարցերով ներկայացուցչի գրասենյակի իրավասության շրջանակներում դիտարկումներ չկան:</w:t>
            </w:r>
          </w:p>
        </w:tc>
        <w:tc>
          <w:tcPr>
            <w:tcW w:w="7022" w:type="dxa"/>
            <w:gridSpan w:val="6"/>
          </w:tcPr>
          <w:p w14:paraId="6AA558FB" w14:textId="77777777" w:rsidR="00881AD5" w:rsidRPr="00F2718E" w:rsidRDefault="00BF20B9" w:rsidP="00A961C5">
            <w:pPr>
              <w:spacing w:line="360" w:lineRule="auto"/>
              <w:jc w:val="center"/>
              <w:rPr>
                <w:rFonts w:ascii="GHEA Grapalat" w:hAnsi="GHEA Grapalat"/>
              </w:rPr>
            </w:pPr>
            <w:r w:rsidRPr="00F2718E">
              <w:rPr>
                <w:rFonts w:ascii="GHEA Grapalat" w:hAnsi="GHEA Grapalat"/>
                <w:b/>
                <w:lang w:val="hy-AM"/>
              </w:rPr>
              <w:t>Ընդունվել է:</w:t>
            </w:r>
          </w:p>
        </w:tc>
      </w:tr>
      <w:tr w:rsidR="00BF20B9" w:rsidRPr="00F2718E" w14:paraId="528A9756" w14:textId="77777777" w:rsidTr="00F260E8">
        <w:trPr>
          <w:trHeight w:val="488"/>
        </w:trPr>
        <w:tc>
          <w:tcPr>
            <w:tcW w:w="12563" w:type="dxa"/>
            <w:gridSpan w:val="6"/>
            <w:vMerge w:val="restart"/>
            <w:shd w:val="clear" w:color="auto" w:fill="D9D9D9" w:themeFill="background1" w:themeFillShade="D9"/>
          </w:tcPr>
          <w:p w14:paraId="72B9E09D" w14:textId="77777777" w:rsidR="00BF20B9" w:rsidRPr="00F2718E" w:rsidRDefault="00BF20B9" w:rsidP="00A961C5">
            <w:pPr>
              <w:spacing w:line="360" w:lineRule="auto"/>
              <w:jc w:val="center"/>
              <w:rPr>
                <w:rFonts w:ascii="GHEA Grapalat" w:hAnsi="GHEA Grapalat"/>
              </w:rPr>
            </w:pPr>
            <w:r w:rsidRPr="00F2718E">
              <w:rPr>
                <w:rFonts w:ascii="GHEA Grapalat" w:hAnsi="GHEA Grapalat"/>
                <w:b/>
                <w:lang w:val="en-US"/>
              </w:rPr>
              <w:t xml:space="preserve">28. </w:t>
            </w:r>
            <w:r w:rsidRPr="00F2718E">
              <w:rPr>
                <w:rFonts w:ascii="GHEA Grapalat" w:hAnsi="GHEA Grapalat"/>
                <w:b/>
                <w:lang w:val="hy-AM"/>
              </w:rPr>
              <w:t>Բարձրագույն դատական խորհուրդ</w:t>
            </w:r>
          </w:p>
        </w:tc>
        <w:tc>
          <w:tcPr>
            <w:tcW w:w="2344" w:type="dxa"/>
            <w:gridSpan w:val="2"/>
            <w:shd w:val="clear" w:color="auto" w:fill="D9D9D9" w:themeFill="background1" w:themeFillShade="D9"/>
          </w:tcPr>
          <w:p w14:paraId="5FEAECC8" w14:textId="77777777" w:rsidR="00BF20B9" w:rsidRPr="00F2718E" w:rsidRDefault="00BF20B9" w:rsidP="00A961C5">
            <w:pPr>
              <w:spacing w:line="360" w:lineRule="auto"/>
              <w:ind w:hanging="48"/>
              <w:rPr>
                <w:rFonts w:ascii="GHEA Grapalat" w:hAnsi="GHEA Grapalat"/>
              </w:rPr>
            </w:pPr>
            <w:r w:rsidRPr="00F2718E">
              <w:rPr>
                <w:rFonts w:ascii="GHEA Grapalat" w:hAnsi="GHEA Grapalat"/>
                <w:b/>
                <w:lang w:val="hy-AM"/>
              </w:rPr>
              <w:t>13.05.2024թ.</w:t>
            </w:r>
          </w:p>
        </w:tc>
      </w:tr>
      <w:tr w:rsidR="00BF20B9" w:rsidRPr="00F2718E" w14:paraId="1E0F3402" w14:textId="77777777" w:rsidTr="00F260E8">
        <w:trPr>
          <w:trHeight w:val="441"/>
        </w:trPr>
        <w:tc>
          <w:tcPr>
            <w:tcW w:w="12563" w:type="dxa"/>
            <w:gridSpan w:val="6"/>
            <w:vMerge/>
            <w:shd w:val="clear" w:color="auto" w:fill="D9D9D9" w:themeFill="background1" w:themeFillShade="D9"/>
          </w:tcPr>
          <w:p w14:paraId="29DCA08D" w14:textId="77777777" w:rsidR="00BF20B9" w:rsidRPr="00F2718E" w:rsidRDefault="00BF20B9"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100800B1" w14:textId="77777777" w:rsidR="00BF20B9" w:rsidRPr="00F2718E" w:rsidRDefault="00BF20B9" w:rsidP="00A961C5">
            <w:pPr>
              <w:spacing w:line="360" w:lineRule="auto"/>
              <w:rPr>
                <w:rFonts w:ascii="GHEA Grapalat" w:hAnsi="GHEA Grapalat"/>
              </w:rPr>
            </w:pPr>
            <w:r w:rsidRPr="00F2718E">
              <w:rPr>
                <w:rFonts w:ascii="GHEA Grapalat" w:hAnsi="GHEA Grapalat"/>
                <w:b/>
                <w:lang w:val="hy-AM"/>
              </w:rPr>
              <w:t>ԴԴ/1845-24</w:t>
            </w:r>
          </w:p>
        </w:tc>
      </w:tr>
      <w:tr w:rsidR="00881AD5" w:rsidRPr="00F2718E" w14:paraId="656281E7" w14:textId="77777777" w:rsidTr="00F260E8">
        <w:trPr>
          <w:gridAfter w:val="1"/>
          <w:wAfter w:w="6" w:type="dxa"/>
        </w:trPr>
        <w:tc>
          <w:tcPr>
            <w:tcW w:w="7879" w:type="dxa"/>
          </w:tcPr>
          <w:p w14:paraId="484B02EC" w14:textId="77777777" w:rsidR="00BF20B9" w:rsidRPr="00F2718E" w:rsidRDefault="00BF20B9" w:rsidP="00A961C5">
            <w:pPr>
              <w:widowControl w:val="0"/>
              <w:tabs>
                <w:tab w:val="left" w:pos="6660"/>
              </w:tabs>
              <w:spacing w:line="360" w:lineRule="auto"/>
              <w:ind w:right="-6"/>
              <w:jc w:val="both"/>
              <w:rPr>
                <w:rFonts w:ascii="GHEA Grapalat" w:eastAsia="Arial Unicode MS" w:hAnsi="GHEA Grapalat" w:cs="GHEA Grapalat"/>
                <w:lang w:val="af-ZA"/>
              </w:rPr>
            </w:pPr>
            <w:r w:rsidRPr="00F2718E">
              <w:rPr>
                <w:rFonts w:ascii="GHEA Grapalat" w:eastAsia="Arial Unicode MS" w:hAnsi="GHEA Grapalat" w:cs="GHEA Grapalat"/>
                <w:lang w:val="hy-AM"/>
              </w:rPr>
              <w:t xml:space="preserve">1. </w:t>
            </w:r>
            <w:r w:rsidRPr="00F2718E">
              <w:rPr>
                <w:rFonts w:ascii="GHEA Grapalat" w:eastAsia="Arial Unicode MS" w:hAnsi="GHEA Grapalat" w:cs="GHEA Grapalat"/>
                <w:lang w:val="af-ZA"/>
              </w:rPr>
              <w:t>Նախագծի 2-րդ հոդվածով Օրենսգրքի 27-րդ հոդվածում նախատեսվող փոփոխությունների վերաբերյալ հարկ է նշել հետևյալը.</w:t>
            </w:r>
          </w:p>
          <w:p w14:paraId="00BBFB8B" w14:textId="77777777" w:rsidR="00881AD5" w:rsidRPr="00F2718E" w:rsidRDefault="00BF20B9" w:rsidP="00A961C5">
            <w:pPr>
              <w:spacing w:line="360" w:lineRule="auto"/>
              <w:jc w:val="both"/>
              <w:rPr>
                <w:rFonts w:ascii="GHEA Grapalat" w:hAnsi="GHEA Grapalat"/>
                <w:lang w:val="af-ZA"/>
              </w:rPr>
            </w:pPr>
            <w:r w:rsidRPr="00F2718E">
              <w:rPr>
                <w:rFonts w:ascii="GHEA Grapalat" w:eastAsia="Arial Unicode MS" w:hAnsi="GHEA Grapalat" w:cs="GHEA Grapalat"/>
                <w:lang w:val="hy-AM"/>
              </w:rPr>
              <w:t>դ</w:t>
            </w:r>
            <w:r w:rsidRPr="00F2718E">
              <w:rPr>
                <w:rFonts w:ascii="GHEA Grapalat" w:eastAsia="Arial Unicode MS" w:hAnsi="GHEA Grapalat" w:cs="GHEA Grapalat"/>
                <w:lang w:val="af-ZA"/>
              </w:rPr>
              <w:t xml:space="preserve">ատական կազմի փոփոխության դեպքում գործն ընդհատման պահից շարունակելու հնարավորություն տալը միտված </w:t>
            </w:r>
            <w:r w:rsidRPr="00F2718E">
              <w:rPr>
                <w:rFonts w:ascii="GHEA Grapalat" w:eastAsia="Arial Unicode MS" w:hAnsi="GHEA Grapalat" w:cs="GHEA Grapalat"/>
                <w:lang w:val="hy-AM"/>
              </w:rPr>
              <w:t>է</w:t>
            </w:r>
            <w:r w:rsidRPr="00F2718E">
              <w:rPr>
                <w:rFonts w:ascii="GHEA Grapalat" w:eastAsia="Arial Unicode MS" w:hAnsi="GHEA Grapalat" w:cs="GHEA Grapalat"/>
                <w:lang w:val="af-ZA"/>
              </w:rPr>
              <w:t xml:space="preserve"> նպաստել գործը ողջամիտ ժամկետում քննելուն և դատական խնայողության սկզբունքների ապահովմանը</w:t>
            </w:r>
            <w:r w:rsidRPr="00F2718E">
              <w:rPr>
                <w:rFonts w:ascii="GHEA Grapalat" w:eastAsia="Arial Unicode MS" w:hAnsi="GHEA Grapalat" w:cs="GHEA Grapalat"/>
                <w:lang w:val="hy-AM"/>
              </w:rPr>
              <w:t>:</w:t>
            </w:r>
            <w:r w:rsidRPr="00F2718E">
              <w:rPr>
                <w:rFonts w:ascii="GHEA Grapalat" w:eastAsia="Arial Unicode MS" w:hAnsi="GHEA Grapalat" w:cs="GHEA Grapalat"/>
                <w:lang w:val="af-ZA"/>
              </w:rPr>
              <w:t xml:space="preserve"> </w:t>
            </w:r>
            <w:r w:rsidRPr="00F2718E">
              <w:rPr>
                <w:rFonts w:ascii="GHEA Grapalat" w:eastAsia="Arial Unicode MS" w:hAnsi="GHEA Grapalat" w:cs="GHEA Grapalat"/>
                <w:lang w:val="hy-AM"/>
              </w:rPr>
              <w:t>Մ</w:t>
            </w:r>
            <w:r w:rsidRPr="00F2718E">
              <w:rPr>
                <w:rFonts w:ascii="GHEA Grapalat" w:eastAsia="Arial Unicode MS" w:hAnsi="GHEA Grapalat" w:cs="GHEA Grapalat"/>
                <w:lang w:val="af-ZA"/>
              </w:rPr>
              <w:t>իևնույն ժամանակ</w:t>
            </w:r>
            <w:r w:rsidRPr="00F2718E">
              <w:rPr>
                <w:rFonts w:ascii="GHEA Grapalat" w:eastAsia="Arial Unicode MS" w:hAnsi="GHEA Grapalat" w:cs="GHEA Grapalat"/>
                <w:lang w:val="hy-AM"/>
              </w:rPr>
              <w:t>,</w:t>
            </w:r>
            <w:r w:rsidRPr="00F2718E">
              <w:rPr>
                <w:rFonts w:ascii="GHEA Grapalat" w:eastAsia="Arial Unicode MS" w:hAnsi="GHEA Grapalat" w:cs="GHEA Grapalat"/>
                <w:lang w:val="af-ZA"/>
              </w:rPr>
              <w:t xml:space="preserve"> </w:t>
            </w:r>
            <w:r w:rsidRPr="00F2718E">
              <w:rPr>
                <w:rFonts w:ascii="GHEA Grapalat" w:eastAsia="Arial Unicode MS" w:hAnsi="GHEA Grapalat" w:cs="GHEA Grapalat"/>
                <w:lang w:val="hy-AM"/>
              </w:rPr>
              <w:t>առաջարկում ենք հիմնավորումներում առավել մանրամասն նշել, որ նման կարգավորումը հակասության մեջ չէ անմիջականության սկզբունքի հետ՝ միջազգային փորձի, այդ թվում՝ միջազգային դատարանների պրակտիկայի համատեքստում:</w:t>
            </w:r>
          </w:p>
        </w:tc>
        <w:tc>
          <w:tcPr>
            <w:tcW w:w="7022" w:type="dxa"/>
            <w:gridSpan w:val="6"/>
          </w:tcPr>
          <w:p w14:paraId="46ADB4E0"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1100C3C1" w14:textId="77777777" w:rsidR="00881AD5" w:rsidRPr="00F2718E" w:rsidRDefault="00BF20B9" w:rsidP="00A961C5">
            <w:pPr>
              <w:spacing w:line="360" w:lineRule="auto"/>
              <w:rPr>
                <w:rFonts w:ascii="GHEA Grapalat" w:hAnsi="GHEA Grapalat"/>
                <w:lang w:val="af-ZA"/>
              </w:rPr>
            </w:pPr>
            <w:r w:rsidRPr="00F2718E">
              <w:rPr>
                <w:rFonts w:ascii="GHEA Grapalat" w:hAnsi="GHEA Grapalat"/>
                <w:lang w:val="hy-AM"/>
              </w:rPr>
              <w:t>Նախագծերի հիմնավորումները լրամշակվել են:</w:t>
            </w:r>
          </w:p>
        </w:tc>
      </w:tr>
      <w:tr w:rsidR="00881AD5" w:rsidRPr="00F2718E" w14:paraId="066AAF5D" w14:textId="77777777" w:rsidTr="00F260E8">
        <w:trPr>
          <w:gridAfter w:val="1"/>
          <w:wAfter w:w="6" w:type="dxa"/>
        </w:trPr>
        <w:tc>
          <w:tcPr>
            <w:tcW w:w="7879" w:type="dxa"/>
          </w:tcPr>
          <w:p w14:paraId="0F1E5D01"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Նախագծում առաջարկվում է լրացնել Օրենսգրքի 27-րդ հոդվածի 5-րդ մասը և այն լրացնել հետևյալ բովանդակությամբ 5.1-ին և 5.2-րդ մասերով.</w:t>
            </w:r>
          </w:p>
          <w:p w14:paraId="1AE299E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«5.1.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քննությունը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 Գործի դատաքննությունն ավարտված լինելու դեպքում առաջին ատյանի դատարանը գործը վարույթ ընդունելու հետ միաժամանակ որոշում է կայացնում գործի քննությունը սկզբից սկսելու կամ գործը դատաքննության փուլից վերսկսելու մասին:</w:t>
            </w:r>
          </w:p>
          <w:p w14:paraId="0237D32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5.2.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կամ բողոքի քննության համար սույն օրենսգրքով նախատեսված ժամկետը հավասար է մեկ ամսվա կամ պակաս է մեկ ամսից, ապա՝ տվյալ գործի կամ բողոքի քննության համար սույն օրենսգրքով նախատեսված ժամկետով»:</w:t>
            </w:r>
          </w:p>
          <w:p w14:paraId="32ACE9B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 սկզբանե հարկ է նշել, որ այսպիսի փոփոխության նպատակը միանշանակ անհրաժեշտ և արդարացված ենք համարում, ավելին՝ հրատապ խնդիր է, որը կարող է լուծվել միայն Օրենսգրքի օրենսդրական փոփոխությունների միջոցով:</w:t>
            </w:r>
          </w:p>
          <w:p w14:paraId="2E8E19A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Իրականում գործերի քննության ձգձգումները մեծապես պայմանավորված են այն հանգամանքով, որ դատարանի կազմի փոփոխության դեպքում դատավորները ստիպված են լինում նորից՝ սկզբից կատարել այդ բոլոր դատավարական գործողությունները, որոնք նախկինում կատարվել են նախորդ կազմի կողմից: Ընդ որում, կանոնն իմպերատիվ է, և դրանից շեղվելու կամ այլ կարգ կիրառելու հնարավորություն Օրենսգիրքը չի նախատեսում: Եվ ստացվում է, որ մեկ գործով կարող են լինել մի քանի, օրինակ՝ ապացուցման պարտականությունը բաշխելու մասին որոշումներ, երբեմն էլ՝ միմյանց հակասող, երբ դատավորների տեղափոխման կամ այլ պատճառով գործերն այլ դատավորների փոխանցվելու դեպքերում գործը վարույթ ընդունած դատավորները ստիպված այդ որոշումները նորից են կայացնում, և հաճախ՝ այլ բովանդակությամբ: </w:t>
            </w:r>
          </w:p>
          <w:p w14:paraId="1C7BBB5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 իրավիճակը ոչ միայն չի բխում գործը ողջամիտ ժամկետում քննվելու սկզբունքից, այլև՝ հակասում է իրավական որոշակիության սկզբունքին, ինչպես նաև շատ դեպքերում հեղինակազրկում է դատական իշխանությունը, քանի որ քաղաքացու առջև միևնույն հարցի վերաբերյալ տարբեր բովանդակությամբ որոշումները նվազեցնում են արդարադատության բուն որակի նկատմամբ վստահությունը՝ կասկածի տակ դնելով նաև դատավորների անկախությունն ու անկողմնակալությունը, ինչպես նաև ստեղծում են արդարադատությունը հայեցողական կերպով իրականացվելու տպավորություն:</w:t>
            </w:r>
          </w:p>
          <w:p w14:paraId="51CDF87A"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վերը նշված հետևանքներից, խախտվում են նաև մրցակցային դատավարության և դատարանի, օրենքի առջև հավասարության սկզբունքները, երբ այս սկզբունքներից բխող իրավունքների իրացման հարցում կողմերը հայտնվում են անհավասար պայմաններում: Մասնավորապես՝ սկզբից գործի քննությունն իրականացվելու դեպքում՝ այլևս կողմերը օգտվում են դատավարական լիարժեք իրավունքներից, այն դեպքում, երբ դատական նախորդ կազմի կողմից գործի քննության ընթացքում մրցակցային դատավարության կանոններն այլևս թույլ չէին տալիս օգտվել այս կամ այն իրավունքից, և ստացվում է, որ նոր դատավորի կողմից գործը վարույթ ընդունելուց սկսած կողմն այլևս օգտվում է, երբեմն, կորցրած իրավունքներից՝ հայտնվելով այդ կանոններից պատշաճ և բարեխղճորեն օգտված մյուս կողմի համեմատ առավել բարենպաստ վիճակում:</w:t>
            </w:r>
          </w:p>
          <w:p w14:paraId="65C2494B"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Այնուամենայնիվ, առաջարկում ենք հստակեցնել, թե ընդհատման պահից գործի քննությունը շարունակելու դեպքում ի՞նչ իրավական նշանակություն ունեն նախորդ դատավորի կողմից տվյալ գործով կատարված դատավարական գործողությունները (դրանք արդյո՞ք պարտադիր են, թե ամեն դեպքում կարող են վերանայվել, արդյո՞ք դրանք կարող են վերաքննության առարկա դարձվել, եթե դրանք նոր դատավորի կողմից չեն կատարվել և այլն):</w:t>
            </w:r>
          </w:p>
        </w:tc>
        <w:tc>
          <w:tcPr>
            <w:tcW w:w="7022" w:type="dxa"/>
            <w:gridSpan w:val="6"/>
          </w:tcPr>
          <w:p w14:paraId="6982AE71"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556B09FA"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Նախագիծը լրամշակվել է:</w:t>
            </w:r>
          </w:p>
        </w:tc>
      </w:tr>
      <w:tr w:rsidR="00881AD5" w:rsidRPr="00F2718E" w14:paraId="02B00C3D" w14:textId="77777777" w:rsidTr="00F260E8">
        <w:trPr>
          <w:gridAfter w:val="1"/>
          <w:wAfter w:w="6" w:type="dxa"/>
        </w:trPr>
        <w:tc>
          <w:tcPr>
            <w:tcW w:w="7879" w:type="dxa"/>
          </w:tcPr>
          <w:p w14:paraId="45D639B5" w14:textId="77777777" w:rsidR="00881AD5" w:rsidRPr="00F2718E" w:rsidRDefault="00BF20B9" w:rsidP="00A961C5">
            <w:pPr>
              <w:tabs>
                <w:tab w:val="left" w:pos="2926"/>
              </w:tabs>
              <w:spacing w:line="360" w:lineRule="auto"/>
              <w:jc w:val="both"/>
              <w:rPr>
                <w:rFonts w:ascii="GHEA Grapalat" w:hAnsi="GHEA Grapalat"/>
                <w:lang w:val="hy-AM"/>
              </w:rPr>
            </w:pPr>
            <w:r w:rsidRPr="00F2718E">
              <w:rPr>
                <w:rFonts w:ascii="GHEA Grapalat" w:eastAsia="Arial Unicode MS" w:hAnsi="GHEA Grapalat" w:cs="GHEA Grapalat"/>
                <w:lang w:val="af-ZA"/>
              </w:rPr>
              <w:t>3. Պարզ չէ, թե ընդհատման պահից գործի քննությունը շարունակելու դեպքում արդյո՞ք գործին մասնակցող անձինք զրկված են նախորդ դատավորի կողմից գործի քննության ժամանակ իրացրած իրավունքներից առհասարակ երբևէ օգտվելու հնարավորությունից:</w:t>
            </w:r>
          </w:p>
        </w:tc>
        <w:tc>
          <w:tcPr>
            <w:tcW w:w="7022" w:type="dxa"/>
            <w:gridSpan w:val="6"/>
          </w:tcPr>
          <w:p w14:paraId="4670B410"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6CB8A573"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Նախագիծը լրամշակվել է:</w:t>
            </w:r>
          </w:p>
        </w:tc>
      </w:tr>
      <w:tr w:rsidR="00881AD5" w:rsidRPr="00F2718E" w14:paraId="129D7912" w14:textId="77777777" w:rsidTr="00F260E8">
        <w:trPr>
          <w:gridAfter w:val="1"/>
          <w:wAfter w:w="6" w:type="dxa"/>
        </w:trPr>
        <w:tc>
          <w:tcPr>
            <w:tcW w:w="7879" w:type="dxa"/>
          </w:tcPr>
          <w:p w14:paraId="36D24386"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4. Առաջարկում ենք նաև օրենքի հիմնավորումներում հստակեցնել, թե արդյոք սկզբից գործի քննություն իրականացվելու դեպքում կողմերի՝ այս կամ այն գործողությունը կատարելու առումով նախկինում բաց թողնված ժամկետները վերականգնվում են:</w:t>
            </w:r>
          </w:p>
        </w:tc>
        <w:tc>
          <w:tcPr>
            <w:tcW w:w="7022" w:type="dxa"/>
            <w:gridSpan w:val="6"/>
          </w:tcPr>
          <w:p w14:paraId="3B752A79"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18EB36AE"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Նախագիծը և հիմնավորումը լրամշակվել են:</w:t>
            </w:r>
          </w:p>
        </w:tc>
      </w:tr>
      <w:tr w:rsidR="00881AD5" w:rsidRPr="00F2718E" w14:paraId="1F3B26C1" w14:textId="77777777" w:rsidTr="00F260E8">
        <w:trPr>
          <w:gridAfter w:val="1"/>
          <w:wAfter w:w="6" w:type="dxa"/>
        </w:trPr>
        <w:tc>
          <w:tcPr>
            <w:tcW w:w="7879" w:type="dxa"/>
          </w:tcPr>
          <w:p w14:paraId="3E3A626F"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5. Հարկ է նկատել, որ գործի քննությունը «ընդհատման պահից շարունակելու» եզրույթը օգտագործվում է Օրենսգրքի 156-րդ հոդվածի 3-րդ մասում, որի համաձայն՝ գործի քննությունը հետաձգելուց հետո այն շարունակվում է ընդհատման պահից: Կարծում ենք, որ հարկ է սահմանել հստակ դատավարական կարգ՝ գործի նախորդ քննության ընթացքում կատարած գործողություններին իրավական նշանակություն տալու կամ չտալու վերաբերյալ:</w:t>
            </w:r>
          </w:p>
        </w:tc>
        <w:tc>
          <w:tcPr>
            <w:tcW w:w="7022" w:type="dxa"/>
            <w:gridSpan w:val="6"/>
          </w:tcPr>
          <w:p w14:paraId="60DF0D52"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680EEA30"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Նախագիծը լրամշակվել է:</w:t>
            </w:r>
          </w:p>
        </w:tc>
      </w:tr>
      <w:tr w:rsidR="00881AD5" w:rsidRPr="00F2718E" w14:paraId="23DFC020" w14:textId="77777777" w:rsidTr="00F260E8">
        <w:trPr>
          <w:gridAfter w:val="1"/>
          <w:wAfter w:w="6" w:type="dxa"/>
        </w:trPr>
        <w:tc>
          <w:tcPr>
            <w:tcW w:w="7879" w:type="dxa"/>
          </w:tcPr>
          <w:p w14:paraId="3B4A827F"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6. Առաջարկում ենք քննարկել նախագծով ներդրվող իրավունքների իրականացման սահմանափակում սանկցիայի վերանայման հնարավորությունը։</w:t>
            </w:r>
          </w:p>
        </w:tc>
        <w:tc>
          <w:tcPr>
            <w:tcW w:w="7022" w:type="dxa"/>
            <w:gridSpan w:val="6"/>
          </w:tcPr>
          <w:p w14:paraId="347D0772"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3B937AEE"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Նախագծերը լրամշակվել են:</w:t>
            </w:r>
          </w:p>
        </w:tc>
      </w:tr>
      <w:tr w:rsidR="00881AD5" w:rsidRPr="00F2718E" w14:paraId="0FD4534E" w14:textId="77777777" w:rsidTr="00F260E8">
        <w:trPr>
          <w:gridAfter w:val="1"/>
          <w:wAfter w:w="6" w:type="dxa"/>
        </w:trPr>
        <w:tc>
          <w:tcPr>
            <w:tcW w:w="7879" w:type="dxa"/>
          </w:tcPr>
          <w:p w14:paraId="59DA3FE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7. Դատական տուգանքի կատարման ընթացակարգերի մասով Նախագիծը սահմանում է հետևյալ կարգավորումները.</w:t>
            </w:r>
          </w:p>
          <w:p w14:paraId="24D338B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դատական տուգանք կիրառելու մասին որոշումն ուժի մեջ է մտնում կայացման պահից և դատարանը դրա հիման վրա կազմված կատարողական թերթն ուղարկում է հարկադիր կատարման, եթե դատական տուգանքի չափը նվազեցնելու կամ վերացնելու միջնորդություն սահմանված ժամկետում չի ներկայացվում կամ կամովին չի կատարվում (Նախագծով առաջարկվող ՀՀ քաղաքացիական դատավարության Օրենսգրքի 155-րդ հոդվածի 2-րդ մասի փոփոխություն):</w:t>
            </w:r>
          </w:p>
          <w:p w14:paraId="5632D71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եթե դատական տուգանքի չափը նվազեցնելու կամ վերացնելու միջնորդություն ներկայացվում և այն մերժվում է, ապա դատարանը դրա հիման վրա կազմված կատարողական թերթն ուղարկում է հարկադիր կատարման, եթե կամովին չի կատարվում (Նախագծով առաջարկվող ՀՀ քաղաքացիական դատավարության Օրենսգրքի 155.2-րդ հոդվածի 6-րդ մաս):</w:t>
            </w:r>
          </w:p>
          <w:p w14:paraId="77723956"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Հարկ է նկատել, որ վերոնշյալ կանոնակարգումները խնդրահարույց են, քանի որ դատական տուգանքի չափը նվազեցնելու կամ վերացնելու միջնորդությունը մերժելիս դատարանը դատական տուգանքի չափը չի փոխում, այլ մերժում է դատական տուգանք կիրառելու մասին կայացված և ուժի մեջ մտած որոշման վերանայումը: Հետևաբար` Նախագծով առաջարկվող ՀՀ քաղաքացիական դատավարության Օրենսգրքի 155.2-րդ հոդվածի 6-րդ մասի՝ «դրա հիման վրա կազմված կատարողական թերթը ուղարկում է հարկադիր կատարման» ձևակերպումը խնդրահարույց է: Դատարանն այս դեպքում ոչ թե միջնորդությունը մերժելու մասին որոշման հիման վրա կազմված կատարողական թերթն է ուղարկում հարկադիր կատարման, այլ դրան նախորդած՝ դատական տուգանք կիրառելու մասին որոշման հիման վրա կազմված կատարողական թերթը:</w:t>
            </w:r>
          </w:p>
        </w:tc>
        <w:tc>
          <w:tcPr>
            <w:tcW w:w="7022" w:type="dxa"/>
            <w:gridSpan w:val="6"/>
          </w:tcPr>
          <w:p w14:paraId="3DCF6486"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58503E9F" w14:textId="77777777"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Նախագծերից հանվել են</w:t>
            </w:r>
            <w:r w:rsidRPr="00F2718E">
              <w:rPr>
                <w:rFonts w:ascii="GHEA Grapalat" w:hAnsi="GHEA Grapalat"/>
                <w:shd w:val="clear" w:color="auto" w:fill="FFFFFF"/>
                <w:lang w:val="hy-AM"/>
              </w:rPr>
              <w:t xml:space="preserve"> առաջարկվող </w:t>
            </w:r>
            <w:r>
              <w:rPr>
                <w:rFonts w:ascii="GHEA Grapalat" w:hAnsi="GHEA Grapalat"/>
                <w:lang w:val="hy-AM"/>
              </w:rPr>
              <w:t>101</w:t>
            </w:r>
            <w:r w:rsidRPr="00F2718E">
              <w:rPr>
                <w:rFonts w:ascii="GHEA Grapalat" w:hAnsi="GHEA Grapalat"/>
                <w:lang w:val="hy-AM"/>
              </w:rPr>
              <w:t>.</w:t>
            </w:r>
            <w:r>
              <w:rPr>
                <w:rFonts w:ascii="GHEA Grapalat" w:hAnsi="GHEA Grapalat"/>
                <w:lang w:val="hy-AM"/>
              </w:rPr>
              <w:t>4</w:t>
            </w:r>
            <w:r w:rsidRPr="00F2718E">
              <w:rPr>
                <w:rFonts w:ascii="GHEA Grapalat" w:hAnsi="GHEA Grapalat"/>
                <w:lang w:val="hy-AM"/>
              </w:rPr>
              <w:t>-</w:t>
            </w:r>
            <w:r>
              <w:rPr>
                <w:rFonts w:ascii="GHEA Grapalat" w:hAnsi="GHEA Grapalat"/>
                <w:lang w:val="hy-AM"/>
              </w:rPr>
              <w:t xml:space="preserve">րդ և </w:t>
            </w:r>
            <w:r>
              <w:rPr>
                <w:rFonts w:ascii="GHEA Grapalat" w:hAnsi="GHEA Grapalat"/>
                <w:lang w:val="en-US"/>
              </w:rPr>
              <w:t>155.2-</w:t>
            </w:r>
            <w:r>
              <w:rPr>
                <w:rFonts w:ascii="GHEA Grapalat" w:hAnsi="GHEA Grapalat"/>
                <w:lang w:val="hy-AM"/>
              </w:rPr>
              <w:t>րդ</w:t>
            </w:r>
            <w:r w:rsidRPr="00F2718E">
              <w:rPr>
                <w:rFonts w:ascii="GHEA Grapalat" w:hAnsi="GHEA Grapalat"/>
                <w:lang w:val="hy-AM"/>
              </w:rPr>
              <w:t xml:space="preserve"> </w:t>
            </w:r>
            <w:r>
              <w:rPr>
                <w:rFonts w:ascii="GHEA Grapalat" w:hAnsi="GHEA Grapalat"/>
                <w:lang w:val="hy-AM"/>
              </w:rPr>
              <w:t>հոդվածները:</w:t>
            </w:r>
          </w:p>
          <w:p w14:paraId="6CD05831" w14:textId="7653882E" w:rsidR="00881AD5" w:rsidRPr="00F2718E" w:rsidRDefault="00881AD5" w:rsidP="00A961C5">
            <w:pPr>
              <w:spacing w:line="360" w:lineRule="auto"/>
              <w:rPr>
                <w:rFonts w:ascii="GHEA Grapalat" w:hAnsi="GHEA Grapalat"/>
                <w:lang w:val="hy-AM"/>
              </w:rPr>
            </w:pPr>
          </w:p>
        </w:tc>
      </w:tr>
      <w:tr w:rsidR="00881AD5" w:rsidRPr="00F2718E" w14:paraId="386B5AF4" w14:textId="77777777" w:rsidTr="00F260E8">
        <w:trPr>
          <w:gridAfter w:val="1"/>
          <w:wAfter w:w="6" w:type="dxa"/>
        </w:trPr>
        <w:tc>
          <w:tcPr>
            <w:tcW w:w="7879" w:type="dxa"/>
          </w:tcPr>
          <w:p w14:paraId="5F8C826B" w14:textId="77777777" w:rsidR="00881AD5" w:rsidRPr="00F2718E" w:rsidRDefault="00BF20B9" w:rsidP="00A961C5">
            <w:pPr>
              <w:spacing w:line="360" w:lineRule="auto"/>
              <w:jc w:val="both"/>
              <w:rPr>
                <w:rFonts w:ascii="GHEA Grapalat" w:hAnsi="GHEA Grapalat"/>
                <w:lang w:val="af-ZA"/>
              </w:rPr>
            </w:pPr>
            <w:r w:rsidRPr="00F2718E">
              <w:rPr>
                <w:rFonts w:ascii="GHEA Grapalat" w:eastAsia="Arial Unicode MS" w:hAnsi="GHEA Grapalat" w:cs="GHEA Grapalat"/>
                <w:lang w:val="af-ZA"/>
              </w:rPr>
              <w:t>8.</w:t>
            </w:r>
            <w:r w:rsidRPr="00F2718E">
              <w:rPr>
                <w:rFonts w:ascii="GHEA Grapalat" w:eastAsia="Arial Unicode MS" w:hAnsi="GHEA Grapalat" w:cs="GHEA Grapalat"/>
                <w:b/>
                <w:lang w:val="af-ZA"/>
              </w:rPr>
              <w:t xml:space="preserve"> </w:t>
            </w:r>
            <w:r w:rsidRPr="00F2718E">
              <w:rPr>
                <w:rFonts w:ascii="GHEA Grapalat" w:eastAsia="Arial Unicode MS" w:hAnsi="GHEA Grapalat" w:cs="GHEA Grapalat"/>
                <w:lang w:val="af-ZA"/>
              </w:rPr>
              <w:t>Միաժամանակ առաջարկվում է դատարանների լիազորություններն ընդարձակել և հնարավորություն տալ դատական սանկցիա կիրառել ոչ միայն վարույթում գտնվող և քննվող գործերի շրջանակներում, այլև մակագրված գործերի առնչությամբ՝ հաշվի առնելով այն հանգամանքը, որ Նախագիծը, ի թիվս այլնի, նպատակ է հետապնդում բարձրացնել դատական սանկցիաների կիրառման արդյունավետությունը։ Առաջարկվող փոփոխության անհրաժեշտության մասին վկայում է պրակտիկան, մասնավորապես՝ դատարան դիմող անձինք նախքան գործը վարույթ ընդունելն իրենց կողմից դատարանին ներկայացված դատավարական փաստաթղթերում (օրինակ՝ վերաքննիչ բողոքում առաջին ատյանի դատավորի հասցեին) կարող են անհարգալից, անպարկեշտ և դատական իշխանության հեղինակությունը արատավորող արտահայտություններ թույլ տալ, իսկ դատավորը իրավական գործիքակազմ չունի կատարվածին պատշաճ արձագանք տալու համար, քանի որ հայցադիմումը, դիմումը կամ բողոքը վարույթ ընդունելու մասին որոշում դեռևս առկա չէ (օրինակ՝ ներկայացված բողոքը, հայցադիմումը ենթակա է վերադարձման)։</w:t>
            </w:r>
          </w:p>
        </w:tc>
        <w:tc>
          <w:tcPr>
            <w:tcW w:w="7022" w:type="dxa"/>
            <w:gridSpan w:val="6"/>
          </w:tcPr>
          <w:p w14:paraId="2C742DB8" w14:textId="77777777" w:rsidR="002114B1" w:rsidRPr="00F2718E" w:rsidRDefault="002114B1" w:rsidP="00A961C5">
            <w:pPr>
              <w:spacing w:line="360" w:lineRule="auto"/>
              <w:ind w:firstLine="720"/>
              <w:jc w:val="center"/>
              <w:rPr>
                <w:rFonts w:ascii="GHEA Grapalat" w:hAnsi="GHEA Grapalat"/>
                <w:b/>
                <w:lang w:val="hy-AM"/>
              </w:rPr>
            </w:pPr>
            <w:r w:rsidRPr="00F2718E">
              <w:rPr>
                <w:rFonts w:ascii="GHEA Grapalat" w:hAnsi="GHEA Grapalat"/>
                <w:b/>
                <w:lang w:val="hy-AM"/>
              </w:rPr>
              <w:t>Չի ընդունվել:</w:t>
            </w:r>
          </w:p>
          <w:p w14:paraId="000AC670" w14:textId="77777777" w:rsidR="00881AD5" w:rsidRPr="00F2718E" w:rsidRDefault="002114B1" w:rsidP="00A961C5">
            <w:pPr>
              <w:spacing w:line="360" w:lineRule="auto"/>
              <w:jc w:val="both"/>
              <w:rPr>
                <w:rFonts w:ascii="GHEA Grapalat" w:hAnsi="GHEA Grapalat"/>
                <w:lang w:val="af-ZA"/>
              </w:rPr>
            </w:pPr>
            <w:r w:rsidRPr="00F2718E">
              <w:rPr>
                <w:rFonts w:ascii="GHEA Grapalat" w:hAnsi="GHEA Grapalat"/>
                <w:lang w:val="hy-AM"/>
              </w:rPr>
              <w:t>Ընդունելով, որ պրակտիկայում կարող են առաջանալ իրավիճակներ, երբ դատական սանկցիայի կիրառման անհրաժեշտություն առաջանա հայցադիմումը կամ բողոքը վարույթ ընդունելու փուլում՝ միաժամանակ, կարծում ենք, որ նման կարգավորումը կարող է խնդրահարույց լինել անձի լսված լինելու իրավունքի ապահովման տեսանկյունից՝ հաշվի առնելով, որ անձը հնարավորություն չի ունենա լսված լինելու դատարանի առջև, հայցելու ներողամտություն, դատարանը միաժամանակ չի կարողանա նախազգուշացնել սանկցիայի կիրառման հնարավորության մասին: Մյուս կողմից, եթե շարունակվի կիրառվել դատական նիստից դուրս դատական տուգանք կիրառելու ընթացակարգը, ապա հայցը կամ բողոքը վարույթ ընդունելու ժամկետների պահպանվածության և դատական պաշտպանության իրավունքների տեսանկյուններից կարող են խնդիրներ առաջանալ: Խնդիրն առավել ակնառու կլինի օրինակ հայցադիմումի ընդունումը մերժելու դեպքերում, երբ մի կողմից դատարանը մերժում է հայցադիմումի ընդունումը, իսկ մյուս կողմից դատական տուգանք կիրառում հայց ներկայացրած անձի նկատմամբ:</w:t>
            </w:r>
          </w:p>
        </w:tc>
      </w:tr>
      <w:tr w:rsidR="00881AD5" w:rsidRPr="00F2718E" w14:paraId="64162408" w14:textId="77777777" w:rsidTr="00F260E8">
        <w:trPr>
          <w:gridAfter w:val="1"/>
          <w:wAfter w:w="6" w:type="dxa"/>
        </w:trPr>
        <w:tc>
          <w:tcPr>
            <w:tcW w:w="7879" w:type="dxa"/>
          </w:tcPr>
          <w:p w14:paraId="098D1930"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hy-AM"/>
              </w:rPr>
              <w:t xml:space="preserve">9. </w:t>
            </w:r>
            <w:r w:rsidRPr="00F2718E">
              <w:rPr>
                <w:rFonts w:ascii="GHEA Grapalat" w:hAnsi="GHEA Grapalat"/>
                <w:lang w:val="af-ZA"/>
              </w:rPr>
              <w:t>Նախագծի 2-րդ հոդվածով նախատեսվում է Օրենսգրքի 29-րդ հոդվածը լրացնել 11-րդ մասով</w:t>
            </w:r>
            <w:r w:rsidRPr="00F2718E">
              <w:rPr>
                <w:rFonts w:ascii="GHEA Grapalat" w:hAnsi="GHEA Grapalat"/>
                <w:lang w:val="hy-AM"/>
              </w:rPr>
              <w:t xml:space="preserve">, որը </w:t>
            </w:r>
            <w:r w:rsidRPr="00F2718E">
              <w:rPr>
                <w:rFonts w:ascii="GHEA Grapalat" w:hAnsi="GHEA Grapalat"/>
                <w:lang w:val="af-ZA"/>
              </w:rPr>
              <w:t xml:space="preserve">հնարավորություն է ընձեռում դատավորին բացահայտել ինքնաբացարկի հիմքերը դատական նիստում՝ սահմանելով դրա վերաբերյալ ծանուցագրի բովանդակությանը ներկայացվող պահանջներ, ինչպես նաև կողմի՝ նշված հիմքի վերաբերյալ որևէ դիրքորոշում չհայտնելը որպես հիմքի անտեսում համարել: Նման իրավակարգավորումը Օրենսգրքի 29-րդ հոդվածի 1-10-րդ մասերի համատեքստում ենթադրում է դատավորի կողմից հայցադիմումը վարույթ ընդունելուց հետո համապատասխան գործողությունների կատարում: Միևնույն ժամանակ հարկ է փաստել, որ ինչպես Օրենսգրքի 29-րդ հոդվածը, այնպես էլ առաջարկվող փոփոխությունը չեն բովանդակում ինքնաբացարկի հիմքի առկայության դեպքում հարցին մինչև հայցադիմումը կամ վերաքննիչ (վճռաբեկ) բողոքը վարույթ ընդունելը անդրադառնալու որևէ իրավական հնարավորություն, երբ դատավորը հայցադիմումը կամ վերաքննիչ (վճռաբեկ) բողոքն ստանալու պահից արդեն իսկ գիտի ինքնաբացարկի հիմքի մասին: </w:t>
            </w:r>
          </w:p>
          <w:p w14:paraId="050BFFB0"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 xml:space="preserve">Ընդ որում, դատական պրակտիկայում նման իրավիճակներում դատավորը առանց հայցադիմումի կամ վերաքննիչ (վճռաբեկ) բողոքի վարույթ ընդունման հարցը լուծելու՝ հայտնում է ինքնաբացարկ, ինչը ողջամտորեն տրամաբանական գործողություն է, քանի որ դատավորի կողմից հայցադիմումը կամ վերաքննիչ (վճռաբեկ) բողոք վարույթ ընդունելու հարցի լուծման /ինչպես նաև որպես կանոն հայցի ապահովման միջնորդության լուծման/ մասին ցանկացած որոշում արդեն իսկ անաչառության սկզբունքի խախտում կարող է հանդիսանալ: Առաջարկվող իրավակարգավորումը կրկին դուրս է թողել այդ հարցը, թե ինչ գործողություն պետք է կատարի դատավորը հայցադիմումը կամ վերաքննիչ (վճռաբեկ) բողոքը վարույթ ընդունելու փուլում ինքնաբացարկի հիմքի առկայության դեպքում, իսկ առաջարկվող փոփոխությունը, եթե մեկնաբանենք առանց հայցադիմումը կամ վերաքննիչ (վճռաբեկ) բողոքը վարույթ ընդունելու որոշակի գործողության կատարում՝ ուղղված այդ հարցի քննարկման համար դատական նիստի հրավիրմանը, ապա նախ՝ խախտվում է հայցադիմումը վարույթ ընդունելու հարցի լուծման համար օրենսգրքով սահմանված 7-օրյա ժամկետը, քանի որ այդ միջակայքում օբյեկտիվորեն անհնարին է ապահովել կողմերի ծանուցում և հրավիրել դատական նիստ՝ կայացնելով համապատասխան որոշում, երկրորդ՝ ստացվում է, որ դատական նիստ հրավիրելու գործողությունը կատարում է այն դատավորը, ով դեռ վարույթ չի ընդունել հայցադիմումը կամ վերաքննիչ (վճռաբեկ) բողոքը: </w:t>
            </w:r>
          </w:p>
          <w:p w14:paraId="385CADB9"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Հետևաբար, առաջարկվող փոփոխությունը պետք է լինի համակարգային՝ թույլ տալով նշված նորմը կիրառել ինչպես դատավորի վարույթում արդեն իսկ գտնվող գործերով, այնպես էլ նոր ստացված և դեռևս վարույթ չընդունված գործերով:</w:t>
            </w:r>
          </w:p>
          <w:p w14:paraId="5681612E" w14:textId="77777777" w:rsidR="00BF20B9" w:rsidRPr="00F2718E" w:rsidRDefault="00BF20B9" w:rsidP="00A961C5">
            <w:pPr>
              <w:tabs>
                <w:tab w:val="left" w:pos="810"/>
                <w:tab w:val="left" w:pos="900"/>
              </w:tabs>
              <w:spacing w:line="360" w:lineRule="auto"/>
              <w:jc w:val="both"/>
              <w:rPr>
                <w:rFonts w:ascii="GHEA Grapalat" w:hAnsi="GHEA Grapalat"/>
                <w:i/>
                <w:lang w:val="af-ZA"/>
              </w:rPr>
            </w:pPr>
            <w:r w:rsidRPr="00F2718E">
              <w:rPr>
                <w:rFonts w:ascii="GHEA Grapalat" w:hAnsi="GHEA Grapalat"/>
                <w:i/>
                <w:lang w:val="af-ZA"/>
              </w:rPr>
              <w:t>Այս առումով «ՔԴՕ իրավակիրառ պրակտիկան» աշխատության մեջ (հեղինակներ՝ Գ. Թորոսյան, Հ. Զարգարյան, Հ. Շահնազարյան, 59-61 էջեր) արտահայտել էին հետևյալ՝ սույն խնդրին վերաբերող դիրքորոշումները.</w:t>
            </w:r>
          </w:p>
          <w:p w14:paraId="3C7A0CC9"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«Հոդ</w:t>
            </w:r>
            <w:r w:rsidRPr="00F2718E">
              <w:rPr>
                <w:rFonts w:ascii="GHEA Grapalat" w:hAnsi="GHEA Grapalat"/>
                <w:lang w:val="af-ZA"/>
              </w:rPr>
              <w:softHyphen/>
              <w:t>վա</w:t>
            </w:r>
            <w:r w:rsidRPr="00F2718E">
              <w:rPr>
                <w:rFonts w:ascii="GHEA Grapalat" w:hAnsi="GHEA Grapalat"/>
                <w:lang w:val="af-ZA"/>
              </w:rPr>
              <w:softHyphen/>
              <w:t>ծի և օ</w:t>
            </w:r>
            <w:r w:rsidRPr="00F2718E">
              <w:rPr>
                <w:rFonts w:ascii="GHEA Grapalat" w:hAnsi="GHEA Grapalat"/>
                <w:lang w:val="af-ZA"/>
              </w:rPr>
              <w:softHyphen/>
              <w:t>րեն</w:t>
            </w:r>
            <w:r w:rsidRPr="00F2718E">
              <w:rPr>
                <w:rFonts w:ascii="GHEA Grapalat" w:hAnsi="GHEA Grapalat"/>
                <w:lang w:val="af-ZA"/>
              </w:rPr>
              <w:softHyphen/>
              <w:t>քի՝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կամ բա</w:t>
            </w:r>
            <w:r w:rsidRPr="00F2718E">
              <w:rPr>
                <w:rFonts w:ascii="GHEA Grapalat" w:hAnsi="GHEA Grapalat"/>
                <w:lang w:val="af-ZA"/>
              </w:rPr>
              <w:softHyphen/>
              <w:t>ցար</w:t>
            </w:r>
            <w:r w:rsidRPr="00F2718E">
              <w:rPr>
                <w:rFonts w:ascii="GHEA Grapalat" w:hAnsi="GHEA Grapalat"/>
                <w:lang w:val="af-ZA"/>
              </w:rPr>
              <w:softHyphen/>
              <w:t>կի քննութ</w:t>
            </w:r>
            <w:r w:rsidRPr="00F2718E">
              <w:rPr>
                <w:rFonts w:ascii="GHEA Grapalat" w:hAnsi="GHEA Grapalat"/>
                <w:lang w:val="af-ZA"/>
              </w:rPr>
              <w:softHyphen/>
              <w:t>յան կար</w:t>
            </w:r>
            <w:r w:rsidRPr="00F2718E">
              <w:rPr>
                <w:rFonts w:ascii="GHEA Grapalat" w:hAnsi="GHEA Grapalat"/>
                <w:lang w:val="af-ZA"/>
              </w:rPr>
              <w:softHyphen/>
              <w:t>գի վե</w:t>
            </w:r>
            <w:r w:rsidRPr="00F2718E">
              <w:rPr>
                <w:rFonts w:ascii="GHEA Grapalat" w:hAnsi="GHEA Grapalat"/>
                <w:lang w:val="af-ZA"/>
              </w:rPr>
              <w:softHyphen/>
              <w:t>րա</w:t>
            </w:r>
            <w:r w:rsidRPr="00F2718E">
              <w:rPr>
                <w:rFonts w:ascii="GHEA Grapalat" w:hAnsi="GHEA Grapalat"/>
                <w:lang w:val="af-ZA"/>
              </w:rPr>
              <w:softHyphen/>
              <w:t>բեր</w:t>
            </w:r>
            <w:r w:rsidRPr="00F2718E">
              <w:rPr>
                <w:rFonts w:ascii="GHEA Grapalat" w:hAnsi="GHEA Grapalat"/>
                <w:lang w:val="af-ZA"/>
              </w:rPr>
              <w:softHyphen/>
              <w:t>յալ նոր</w:t>
            </w:r>
            <w:r w:rsidRPr="00F2718E">
              <w:rPr>
                <w:rFonts w:ascii="GHEA Grapalat" w:hAnsi="GHEA Grapalat"/>
                <w:lang w:val="af-ZA"/>
              </w:rPr>
              <w:softHyphen/>
              <w:t>մե</w:t>
            </w:r>
            <w:r w:rsidRPr="00F2718E">
              <w:rPr>
                <w:rFonts w:ascii="GHEA Grapalat" w:hAnsi="GHEA Grapalat"/>
                <w:lang w:val="af-ZA"/>
              </w:rPr>
              <w:softHyphen/>
              <w:t>րի հա</w:t>
            </w:r>
            <w:r w:rsidRPr="00F2718E">
              <w:rPr>
                <w:rFonts w:ascii="GHEA Grapalat" w:hAnsi="GHEA Grapalat"/>
                <w:lang w:val="af-ZA"/>
              </w:rPr>
              <w:softHyphen/>
              <w:t>մա</w:t>
            </w:r>
            <w:r w:rsidRPr="00F2718E">
              <w:rPr>
                <w:rFonts w:ascii="GHEA Grapalat" w:hAnsi="GHEA Grapalat"/>
                <w:lang w:val="af-ZA"/>
              </w:rPr>
              <w:softHyphen/>
              <w:t>կար</w:t>
            </w:r>
            <w:r w:rsidRPr="00F2718E">
              <w:rPr>
                <w:rFonts w:ascii="GHEA Grapalat" w:hAnsi="GHEA Grapalat"/>
                <w:lang w:val="af-ZA"/>
              </w:rPr>
              <w:softHyphen/>
              <w:t>գա</w:t>
            </w:r>
            <w:r w:rsidRPr="00F2718E">
              <w:rPr>
                <w:rFonts w:ascii="GHEA Grapalat" w:hAnsi="GHEA Grapalat"/>
                <w:lang w:val="af-ZA"/>
              </w:rPr>
              <w:softHyphen/>
              <w:t>յին վեր</w:t>
            </w:r>
            <w:r w:rsidRPr="00F2718E">
              <w:rPr>
                <w:rFonts w:ascii="GHEA Grapalat" w:hAnsi="GHEA Grapalat"/>
                <w:lang w:val="af-ZA"/>
              </w:rPr>
              <w:softHyphen/>
              <w:t>լու</w:t>
            </w:r>
            <w:r w:rsidRPr="00F2718E">
              <w:rPr>
                <w:rFonts w:ascii="GHEA Grapalat" w:hAnsi="GHEA Grapalat"/>
                <w:lang w:val="af-ZA"/>
              </w:rPr>
              <w:softHyphen/>
              <w:t>ծութ</w:t>
            </w:r>
            <w:r w:rsidRPr="00F2718E">
              <w:rPr>
                <w:rFonts w:ascii="GHEA Grapalat" w:hAnsi="GHEA Grapalat"/>
                <w:lang w:val="af-ZA"/>
              </w:rPr>
              <w:softHyphen/>
              <w:t>յու</w:t>
            </w:r>
            <w:r w:rsidRPr="00F2718E">
              <w:rPr>
                <w:rFonts w:ascii="GHEA Grapalat" w:hAnsi="GHEA Grapalat"/>
                <w:lang w:val="af-ZA"/>
              </w:rPr>
              <w:softHyphen/>
              <w:t>նից հետևում է, որ ինչ</w:t>
            </w:r>
            <w:r w:rsidRPr="00F2718E">
              <w:rPr>
                <w:rFonts w:ascii="GHEA Grapalat" w:hAnsi="GHEA Grapalat"/>
                <w:lang w:val="af-ZA"/>
              </w:rPr>
              <w:softHyphen/>
              <w:t>պես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հիմ</w:t>
            </w:r>
            <w:r w:rsidRPr="00F2718E">
              <w:rPr>
                <w:rFonts w:ascii="GHEA Grapalat" w:hAnsi="GHEA Grapalat"/>
                <w:lang w:val="af-ZA"/>
              </w:rPr>
              <w:softHyphen/>
              <w:t>քե</w:t>
            </w:r>
            <w:r w:rsidRPr="00F2718E">
              <w:rPr>
                <w:rFonts w:ascii="GHEA Grapalat" w:hAnsi="GHEA Grapalat"/>
                <w:lang w:val="af-ZA"/>
              </w:rPr>
              <w:softHyphen/>
              <w:t>րի բա</w:t>
            </w:r>
            <w:r w:rsidRPr="00F2718E">
              <w:rPr>
                <w:rFonts w:ascii="GHEA Grapalat" w:hAnsi="GHEA Grapalat"/>
                <w:lang w:val="af-ZA"/>
              </w:rPr>
              <w:softHyphen/>
              <w:t>ցա</w:t>
            </w:r>
            <w:r w:rsidRPr="00F2718E">
              <w:rPr>
                <w:rFonts w:ascii="GHEA Grapalat" w:hAnsi="GHEA Grapalat"/>
                <w:lang w:val="af-ZA"/>
              </w:rPr>
              <w:softHyphen/>
              <w:t>հայտ</w:t>
            </w:r>
            <w:r w:rsidRPr="00F2718E">
              <w:rPr>
                <w:rFonts w:ascii="GHEA Grapalat" w:hAnsi="GHEA Grapalat"/>
                <w:lang w:val="af-ZA"/>
              </w:rPr>
              <w:softHyphen/>
              <w:t>ման գործընթացը, այն</w:t>
            </w:r>
            <w:r w:rsidRPr="00F2718E">
              <w:rPr>
                <w:rFonts w:ascii="GHEA Grapalat" w:hAnsi="GHEA Grapalat"/>
                <w:lang w:val="af-ZA"/>
              </w:rPr>
              <w:softHyphen/>
              <w:t>պես էլ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 կող</w:t>
            </w:r>
            <w:r w:rsidRPr="00F2718E">
              <w:rPr>
                <w:rFonts w:ascii="GHEA Grapalat" w:hAnsi="GHEA Grapalat"/>
                <w:lang w:val="af-ZA"/>
              </w:rPr>
              <w:softHyphen/>
              <w:t>մից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հայտ</w:t>
            </w:r>
            <w:r w:rsidRPr="00F2718E">
              <w:rPr>
                <w:rFonts w:ascii="GHEA Grapalat" w:hAnsi="GHEA Grapalat"/>
                <w:lang w:val="af-ZA"/>
              </w:rPr>
              <w:softHyphen/>
              <w:t>նե</w:t>
            </w:r>
            <w:r w:rsidRPr="00F2718E">
              <w:rPr>
                <w:rFonts w:ascii="GHEA Grapalat" w:hAnsi="GHEA Grapalat"/>
                <w:lang w:val="af-ZA"/>
              </w:rPr>
              <w:softHyphen/>
              <w:t>լու բուն գործընթացը՝ ընդ</w:t>
            </w:r>
            <w:r w:rsidRPr="00F2718E">
              <w:rPr>
                <w:rFonts w:ascii="GHEA Grapalat" w:hAnsi="GHEA Grapalat"/>
                <w:lang w:val="af-ZA"/>
              </w:rPr>
              <w:softHyphen/>
              <w:t>հուպ մինչև այդ մա</w:t>
            </w:r>
            <w:r w:rsidRPr="00F2718E">
              <w:rPr>
                <w:rFonts w:ascii="GHEA Grapalat" w:hAnsi="GHEA Grapalat"/>
                <w:lang w:val="af-ZA"/>
              </w:rPr>
              <w:softHyphen/>
              <w:t>սին ո</w:t>
            </w:r>
            <w:r w:rsidRPr="00F2718E">
              <w:rPr>
                <w:rFonts w:ascii="GHEA Grapalat" w:hAnsi="GHEA Grapalat"/>
                <w:lang w:val="af-ZA"/>
              </w:rPr>
              <w:softHyphen/>
              <w:t>րո</w:t>
            </w:r>
            <w:r w:rsidRPr="00F2718E">
              <w:rPr>
                <w:rFonts w:ascii="GHEA Grapalat" w:hAnsi="GHEA Grapalat"/>
                <w:lang w:val="af-ZA"/>
              </w:rPr>
              <w:softHyphen/>
              <w:t>շում կա</w:t>
            </w:r>
            <w:r w:rsidRPr="00F2718E">
              <w:rPr>
                <w:rFonts w:ascii="GHEA Grapalat" w:hAnsi="GHEA Grapalat"/>
                <w:lang w:val="af-ZA"/>
              </w:rPr>
              <w:softHyphen/>
              <w:t>յաց</w:t>
            </w:r>
            <w:r w:rsidRPr="00F2718E">
              <w:rPr>
                <w:rFonts w:ascii="GHEA Grapalat" w:hAnsi="GHEA Grapalat"/>
                <w:lang w:val="af-ZA"/>
              </w:rPr>
              <w:softHyphen/>
              <w:t>նե</w:t>
            </w:r>
            <w:r w:rsidRPr="00F2718E">
              <w:rPr>
                <w:rFonts w:ascii="GHEA Grapalat" w:hAnsi="GHEA Grapalat"/>
                <w:lang w:val="af-ZA"/>
              </w:rPr>
              <w:softHyphen/>
              <w:t>լը, պետք է պար</w:t>
            </w:r>
            <w:r w:rsidRPr="00F2718E">
              <w:rPr>
                <w:rFonts w:ascii="GHEA Grapalat" w:hAnsi="GHEA Grapalat"/>
                <w:lang w:val="af-ZA"/>
              </w:rPr>
              <w:softHyphen/>
              <w:t>տա</w:t>
            </w:r>
            <w:r w:rsidRPr="00F2718E">
              <w:rPr>
                <w:rFonts w:ascii="GHEA Grapalat" w:hAnsi="GHEA Grapalat"/>
                <w:lang w:val="af-ZA"/>
              </w:rPr>
              <w:softHyphen/>
              <w:t>դիր ի</w:t>
            </w:r>
            <w:r w:rsidRPr="00F2718E">
              <w:rPr>
                <w:rFonts w:ascii="GHEA Grapalat" w:hAnsi="GHEA Grapalat"/>
                <w:lang w:val="af-ZA"/>
              </w:rPr>
              <w:softHyphen/>
              <w:t>րա</w:t>
            </w:r>
            <w:r w:rsidRPr="00F2718E">
              <w:rPr>
                <w:rFonts w:ascii="GHEA Grapalat" w:hAnsi="GHEA Grapalat"/>
                <w:lang w:val="af-ZA"/>
              </w:rPr>
              <w:softHyphen/>
              <w:t>կա</w:t>
            </w:r>
            <w:r w:rsidRPr="00F2718E">
              <w:rPr>
                <w:rFonts w:ascii="GHEA Grapalat" w:hAnsi="GHEA Grapalat"/>
                <w:lang w:val="af-ZA"/>
              </w:rPr>
              <w:softHyphen/>
              <w:t>նաց</w:t>
            </w:r>
            <w:r w:rsidRPr="00F2718E">
              <w:rPr>
                <w:rFonts w:ascii="GHEA Grapalat" w:hAnsi="GHEA Grapalat"/>
                <w:lang w:val="af-ZA"/>
              </w:rPr>
              <w:softHyphen/>
              <w:t>վի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տում՝ բա</w:t>
            </w:r>
            <w:r w:rsidRPr="00F2718E">
              <w:rPr>
                <w:rFonts w:ascii="GHEA Grapalat" w:hAnsi="GHEA Grapalat"/>
                <w:lang w:val="af-ZA"/>
              </w:rPr>
              <w:softHyphen/>
              <w:t>ցա</w:t>
            </w:r>
            <w:r w:rsidRPr="00F2718E">
              <w:rPr>
                <w:rFonts w:ascii="GHEA Grapalat" w:hAnsi="GHEA Grapalat"/>
                <w:lang w:val="af-ZA"/>
              </w:rPr>
              <w:softHyphen/>
              <w:t>ռութ</w:t>
            </w:r>
            <w:r w:rsidRPr="00F2718E">
              <w:rPr>
                <w:rFonts w:ascii="GHEA Grapalat" w:hAnsi="GHEA Grapalat"/>
                <w:lang w:val="af-ZA"/>
              </w:rPr>
              <w:softHyphen/>
              <w:t>յամբ այն դեպ</w:t>
            </w:r>
            <w:r w:rsidRPr="00F2718E">
              <w:rPr>
                <w:rFonts w:ascii="GHEA Grapalat" w:hAnsi="GHEA Grapalat"/>
                <w:lang w:val="af-ZA"/>
              </w:rPr>
              <w:softHyphen/>
              <w:t>քե</w:t>
            </w:r>
            <w:r w:rsidRPr="00F2718E">
              <w:rPr>
                <w:rFonts w:ascii="GHEA Grapalat" w:hAnsi="GHEA Grapalat"/>
                <w:lang w:val="af-ZA"/>
              </w:rPr>
              <w:softHyphen/>
              <w:t>րի, երբ գործն Օ</w:t>
            </w:r>
            <w:r w:rsidRPr="00F2718E">
              <w:rPr>
                <w:rFonts w:ascii="GHEA Grapalat" w:hAnsi="GHEA Grapalat"/>
                <w:lang w:val="af-ZA"/>
              </w:rPr>
              <w:softHyphen/>
              <w:t>րենսգր</w:t>
            </w:r>
            <w:r w:rsidRPr="00F2718E">
              <w:rPr>
                <w:rFonts w:ascii="GHEA Grapalat" w:hAnsi="GHEA Grapalat"/>
                <w:lang w:val="af-ZA"/>
              </w:rPr>
              <w:softHyphen/>
              <w:t>քով սահ</w:t>
            </w:r>
            <w:r w:rsidRPr="00F2718E">
              <w:rPr>
                <w:rFonts w:ascii="GHEA Grapalat" w:hAnsi="GHEA Grapalat"/>
                <w:lang w:val="af-ZA"/>
              </w:rPr>
              <w:softHyphen/>
              <w:t>ման</w:t>
            </w:r>
            <w:r w:rsidRPr="00F2718E">
              <w:rPr>
                <w:rFonts w:ascii="GHEA Grapalat" w:hAnsi="GHEA Grapalat"/>
                <w:lang w:val="af-ZA"/>
              </w:rPr>
              <w:softHyphen/>
              <w:t>ված դեպ</w:t>
            </w:r>
            <w:r w:rsidRPr="00F2718E">
              <w:rPr>
                <w:rFonts w:ascii="GHEA Grapalat" w:hAnsi="GHEA Grapalat"/>
                <w:lang w:val="af-ZA"/>
              </w:rPr>
              <w:softHyphen/>
              <w:t>քե</w:t>
            </w:r>
            <w:r w:rsidRPr="00F2718E">
              <w:rPr>
                <w:rFonts w:ascii="GHEA Grapalat" w:hAnsi="GHEA Grapalat"/>
                <w:lang w:val="af-ZA"/>
              </w:rPr>
              <w:softHyphen/>
              <w:t>րում քննվում է ա</w:t>
            </w:r>
            <w:r w:rsidRPr="00F2718E">
              <w:rPr>
                <w:rFonts w:ascii="GHEA Grapalat" w:hAnsi="GHEA Grapalat"/>
                <w:lang w:val="af-ZA"/>
              </w:rPr>
              <w:softHyphen/>
              <w:t>ռանց նախ</w:t>
            </w:r>
            <w:r w:rsidRPr="00F2718E">
              <w:rPr>
                <w:rFonts w:ascii="GHEA Grapalat" w:hAnsi="GHEA Grapalat"/>
                <w:lang w:val="af-ZA"/>
              </w:rPr>
              <w:softHyphen/>
              <w:t>նա</w:t>
            </w:r>
            <w:r w:rsidRPr="00F2718E">
              <w:rPr>
                <w:rFonts w:ascii="GHEA Grapalat" w:hAnsi="GHEA Grapalat"/>
                <w:lang w:val="af-ZA"/>
              </w:rPr>
              <w:softHyphen/>
              <w:t>կան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w:t>
            </w:r>
            <w:r w:rsidRPr="00F2718E">
              <w:rPr>
                <w:rFonts w:ascii="GHEA Grapalat" w:hAnsi="GHEA Grapalat"/>
                <w:lang w:val="af-ZA"/>
              </w:rPr>
              <w:softHyphen/>
              <w:t>րե</w:t>
            </w:r>
            <w:r w:rsidRPr="00F2718E">
              <w:rPr>
                <w:rFonts w:ascii="GHEA Grapalat" w:hAnsi="GHEA Grapalat"/>
                <w:lang w:val="af-ZA"/>
              </w:rPr>
              <w:softHyphen/>
              <w:t>լու:</w:t>
            </w:r>
          </w:p>
          <w:p w14:paraId="31494427"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Մինչ</w:t>
            </w:r>
            <w:r w:rsidRPr="00F2718E">
              <w:rPr>
                <w:rFonts w:ascii="GHEA Grapalat" w:hAnsi="GHEA Grapalat"/>
                <w:lang w:val="af-ZA"/>
              </w:rPr>
              <w:softHyphen/>
              <w:t>դեռ, պրակ</w:t>
            </w:r>
            <w:r w:rsidRPr="00F2718E">
              <w:rPr>
                <w:rFonts w:ascii="GHEA Grapalat" w:hAnsi="GHEA Grapalat"/>
                <w:lang w:val="af-ZA"/>
              </w:rPr>
              <w:softHyphen/>
              <w:t>տի</w:t>
            </w:r>
            <w:r w:rsidRPr="00F2718E">
              <w:rPr>
                <w:rFonts w:ascii="GHEA Grapalat" w:hAnsi="GHEA Grapalat"/>
                <w:lang w:val="af-ZA"/>
              </w:rPr>
              <w:softHyphen/>
              <w:t>կա</w:t>
            </w:r>
            <w:r w:rsidRPr="00F2718E">
              <w:rPr>
                <w:rFonts w:ascii="GHEA Grapalat" w:hAnsi="GHEA Grapalat"/>
                <w:lang w:val="af-ZA"/>
              </w:rPr>
              <w:softHyphen/>
              <w:t>յում և օբ</w:t>
            </w:r>
            <w:r w:rsidRPr="00F2718E">
              <w:rPr>
                <w:rFonts w:ascii="GHEA Grapalat" w:hAnsi="GHEA Grapalat"/>
                <w:lang w:val="af-ZA"/>
              </w:rPr>
              <w:softHyphen/>
              <w:t>յեկ</w:t>
            </w:r>
            <w:r w:rsidRPr="00F2718E">
              <w:rPr>
                <w:rFonts w:ascii="GHEA Grapalat" w:hAnsi="GHEA Grapalat"/>
                <w:lang w:val="af-ZA"/>
              </w:rPr>
              <w:softHyphen/>
              <w:t>տիվ ի</w:t>
            </w:r>
            <w:r w:rsidRPr="00F2718E">
              <w:rPr>
                <w:rFonts w:ascii="GHEA Grapalat" w:hAnsi="GHEA Grapalat"/>
                <w:lang w:val="af-ZA"/>
              </w:rPr>
              <w:softHyphen/>
              <w:t>րա</w:t>
            </w:r>
            <w:r w:rsidRPr="00F2718E">
              <w:rPr>
                <w:rFonts w:ascii="GHEA Grapalat" w:hAnsi="GHEA Grapalat"/>
                <w:lang w:val="af-ZA"/>
              </w:rPr>
              <w:softHyphen/>
              <w:t>կա</w:t>
            </w:r>
            <w:r w:rsidRPr="00F2718E">
              <w:rPr>
                <w:rFonts w:ascii="GHEA Grapalat" w:hAnsi="GHEA Grapalat"/>
                <w:lang w:val="af-ZA"/>
              </w:rPr>
              <w:softHyphen/>
              <w:t>նութ</w:t>
            </w:r>
            <w:r w:rsidRPr="00F2718E">
              <w:rPr>
                <w:rFonts w:ascii="GHEA Grapalat" w:hAnsi="GHEA Grapalat"/>
                <w:lang w:val="af-ZA"/>
              </w:rPr>
              <w:softHyphen/>
              <w:t>յան մեջ բազ</w:t>
            </w:r>
            <w:r w:rsidRPr="00F2718E">
              <w:rPr>
                <w:rFonts w:ascii="GHEA Grapalat" w:hAnsi="GHEA Grapalat"/>
                <w:lang w:val="af-ZA"/>
              </w:rPr>
              <w:softHyphen/>
              <w:t>մա</w:t>
            </w:r>
            <w:r w:rsidRPr="00F2718E">
              <w:rPr>
                <w:rFonts w:ascii="GHEA Grapalat" w:hAnsi="GHEA Grapalat"/>
                <w:lang w:val="af-ZA"/>
              </w:rPr>
              <w:softHyphen/>
              <w:t>թիվ են դեպքերը, երբ ի սկզբա</w:t>
            </w:r>
            <w:r w:rsidRPr="00F2718E">
              <w:rPr>
                <w:rFonts w:ascii="GHEA Grapalat" w:hAnsi="GHEA Grapalat"/>
                <w:lang w:val="af-ZA"/>
              </w:rPr>
              <w:softHyphen/>
              <w:t>նե, երբ դա</w:t>
            </w:r>
            <w:r w:rsidRPr="00F2718E">
              <w:rPr>
                <w:rFonts w:ascii="GHEA Grapalat" w:hAnsi="GHEA Grapalat"/>
                <w:lang w:val="af-ZA"/>
              </w:rPr>
              <w:softHyphen/>
              <w:t>տա</w:t>
            </w:r>
            <w:r w:rsidRPr="00F2718E">
              <w:rPr>
                <w:rFonts w:ascii="GHEA Grapalat" w:hAnsi="GHEA Grapalat"/>
                <w:lang w:val="af-ZA"/>
              </w:rPr>
              <w:softHyphen/>
              <w:t>վորն ստա</w:t>
            </w:r>
            <w:r w:rsidRPr="00F2718E">
              <w:rPr>
                <w:rFonts w:ascii="GHEA Grapalat" w:hAnsi="GHEA Grapalat"/>
                <w:lang w:val="af-ZA"/>
              </w:rPr>
              <w:softHyphen/>
              <w:t>նում է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մը և պետք է այն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լու, ըն</w:t>
            </w:r>
            <w:r w:rsidRPr="00F2718E">
              <w:rPr>
                <w:rFonts w:ascii="GHEA Grapalat" w:hAnsi="GHEA Grapalat"/>
                <w:lang w:val="af-ZA"/>
              </w:rPr>
              <w:softHyphen/>
              <w:t>դու</w:t>
            </w:r>
            <w:r w:rsidRPr="00F2718E">
              <w:rPr>
                <w:rFonts w:ascii="GHEA Grapalat" w:hAnsi="GHEA Grapalat"/>
                <w:lang w:val="af-ZA"/>
              </w:rPr>
              <w:softHyphen/>
              <w:t>նու</w:t>
            </w:r>
            <w:r w:rsidRPr="00F2718E">
              <w:rPr>
                <w:rFonts w:ascii="GHEA Grapalat" w:hAnsi="GHEA Grapalat"/>
                <w:lang w:val="af-ZA"/>
              </w:rPr>
              <w:softHyphen/>
              <w:t>մը մեր</w:t>
            </w:r>
            <w:r w:rsidRPr="00F2718E">
              <w:rPr>
                <w:rFonts w:ascii="GHEA Grapalat" w:hAnsi="GHEA Grapalat"/>
                <w:lang w:val="af-ZA"/>
              </w:rPr>
              <w:softHyphen/>
              <w:t>ժե</w:t>
            </w:r>
            <w:r w:rsidRPr="00F2718E">
              <w:rPr>
                <w:rFonts w:ascii="GHEA Grapalat" w:hAnsi="GHEA Grapalat"/>
                <w:lang w:val="af-ZA"/>
              </w:rPr>
              <w:softHyphen/>
              <w:t>լու, վե</w:t>
            </w:r>
            <w:r w:rsidRPr="00F2718E">
              <w:rPr>
                <w:rFonts w:ascii="GHEA Grapalat" w:hAnsi="GHEA Grapalat"/>
                <w:lang w:val="af-ZA"/>
              </w:rPr>
              <w:softHyphen/>
              <w:t>րա</w:t>
            </w:r>
            <w:r w:rsidRPr="00F2718E">
              <w:rPr>
                <w:rFonts w:ascii="GHEA Grapalat" w:hAnsi="GHEA Grapalat"/>
                <w:lang w:val="af-ZA"/>
              </w:rPr>
              <w:softHyphen/>
              <w:t>դարձ</w:t>
            </w:r>
            <w:r w:rsidRPr="00F2718E">
              <w:rPr>
                <w:rFonts w:ascii="GHEA Grapalat" w:hAnsi="GHEA Grapalat"/>
                <w:lang w:val="af-ZA"/>
              </w:rPr>
              <w:softHyphen/>
              <w:t>նե</w:t>
            </w:r>
            <w:r w:rsidRPr="00F2718E">
              <w:rPr>
                <w:rFonts w:ascii="GHEA Grapalat" w:hAnsi="GHEA Grapalat"/>
                <w:lang w:val="af-ZA"/>
              </w:rPr>
              <w:softHyphen/>
              <w:t>լու մա</w:t>
            </w:r>
            <w:r w:rsidRPr="00F2718E">
              <w:rPr>
                <w:rFonts w:ascii="GHEA Grapalat" w:hAnsi="GHEA Grapalat"/>
                <w:lang w:val="af-ZA"/>
              </w:rPr>
              <w:softHyphen/>
              <w:t>սին ո</w:t>
            </w:r>
            <w:r w:rsidRPr="00F2718E">
              <w:rPr>
                <w:rFonts w:ascii="GHEA Grapalat" w:hAnsi="GHEA Grapalat"/>
                <w:lang w:val="af-ZA"/>
              </w:rPr>
              <w:softHyphen/>
              <w:t>րո</w:t>
            </w:r>
            <w:r w:rsidRPr="00F2718E">
              <w:rPr>
                <w:rFonts w:ascii="GHEA Grapalat" w:hAnsi="GHEA Grapalat"/>
                <w:lang w:val="af-ZA"/>
              </w:rPr>
              <w:softHyphen/>
              <w:t>շում կա</w:t>
            </w:r>
            <w:r w:rsidRPr="00F2718E">
              <w:rPr>
                <w:rFonts w:ascii="GHEA Grapalat" w:hAnsi="GHEA Grapalat"/>
                <w:lang w:val="af-ZA"/>
              </w:rPr>
              <w:softHyphen/>
              <w:t>յաց</w:t>
            </w:r>
            <w:r w:rsidRPr="00F2718E">
              <w:rPr>
                <w:rFonts w:ascii="GHEA Grapalat" w:hAnsi="GHEA Grapalat"/>
                <w:lang w:val="af-ZA"/>
              </w:rPr>
              <w:softHyphen/>
              <w:t>նի, կամ երբ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վե</w:t>
            </w:r>
            <w:r w:rsidRPr="00F2718E">
              <w:rPr>
                <w:rFonts w:ascii="GHEA Grapalat" w:hAnsi="GHEA Grapalat"/>
                <w:lang w:val="af-ZA"/>
              </w:rPr>
              <w:softHyphen/>
              <w:t>րա</w:t>
            </w:r>
            <w:r w:rsidRPr="00F2718E">
              <w:rPr>
                <w:rFonts w:ascii="GHEA Grapalat" w:hAnsi="GHEA Grapalat"/>
                <w:lang w:val="af-ZA"/>
              </w:rPr>
              <w:softHyphen/>
              <w:t>դաս կամ այլ դա</w:t>
            </w:r>
            <w:r w:rsidRPr="00F2718E">
              <w:rPr>
                <w:rFonts w:ascii="GHEA Grapalat" w:hAnsi="GHEA Grapalat"/>
                <w:lang w:val="af-ZA"/>
              </w:rPr>
              <w:softHyphen/>
              <w:t>տա</w:t>
            </w:r>
            <w:r w:rsidRPr="00F2718E">
              <w:rPr>
                <w:rFonts w:ascii="GHEA Grapalat" w:hAnsi="GHEA Grapalat"/>
                <w:lang w:val="af-ZA"/>
              </w:rPr>
              <w:softHyphen/>
              <w:t>րա</w:t>
            </w:r>
            <w:r w:rsidRPr="00F2718E">
              <w:rPr>
                <w:rFonts w:ascii="GHEA Grapalat" w:hAnsi="GHEA Grapalat"/>
                <w:lang w:val="af-ZA"/>
              </w:rPr>
              <w:softHyphen/>
              <w:t>նից ստա</w:t>
            </w:r>
            <w:r w:rsidRPr="00F2718E">
              <w:rPr>
                <w:rFonts w:ascii="GHEA Grapalat" w:hAnsi="GHEA Grapalat"/>
                <w:lang w:val="af-ZA"/>
              </w:rPr>
              <w:softHyphen/>
              <w:t>նում է գոր</w:t>
            </w:r>
            <w:r w:rsidRPr="00F2718E">
              <w:rPr>
                <w:rFonts w:ascii="GHEA Grapalat" w:hAnsi="GHEA Grapalat"/>
                <w:lang w:val="af-ZA"/>
              </w:rPr>
              <w:softHyphen/>
              <w:t>ծը, պետք է այն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լու և քն</w:t>
            </w:r>
            <w:r w:rsidRPr="00F2718E">
              <w:rPr>
                <w:rFonts w:ascii="GHEA Grapalat" w:hAnsi="GHEA Grapalat"/>
                <w:lang w:val="af-ZA"/>
              </w:rPr>
              <w:softHyphen/>
              <w:t>նութ</w:t>
            </w:r>
            <w:r w:rsidRPr="00F2718E">
              <w:rPr>
                <w:rFonts w:ascii="GHEA Grapalat" w:hAnsi="GHEA Grapalat"/>
                <w:lang w:val="af-ZA"/>
              </w:rPr>
              <w:softHyphen/>
              <w:t>յան առ</w:t>
            </w:r>
            <w:r w:rsidRPr="00F2718E">
              <w:rPr>
                <w:rFonts w:ascii="GHEA Grapalat" w:hAnsi="GHEA Grapalat"/>
                <w:lang w:val="af-ZA"/>
              </w:rPr>
              <w:softHyphen/>
              <w:t>նե</w:t>
            </w:r>
            <w:r w:rsidRPr="00F2718E">
              <w:rPr>
                <w:rFonts w:ascii="GHEA Grapalat" w:hAnsi="GHEA Grapalat"/>
                <w:lang w:val="af-ZA"/>
              </w:rPr>
              <w:softHyphen/>
              <w:t>լու մա</w:t>
            </w:r>
            <w:r w:rsidRPr="00F2718E">
              <w:rPr>
                <w:rFonts w:ascii="GHEA Grapalat" w:hAnsi="GHEA Grapalat"/>
                <w:lang w:val="af-ZA"/>
              </w:rPr>
              <w:softHyphen/>
              <w:t>սին ո</w:t>
            </w:r>
            <w:r w:rsidRPr="00F2718E">
              <w:rPr>
                <w:rFonts w:ascii="GHEA Grapalat" w:hAnsi="GHEA Grapalat"/>
                <w:lang w:val="af-ZA"/>
              </w:rPr>
              <w:softHyphen/>
              <w:t>րո</w:t>
            </w:r>
            <w:r w:rsidRPr="00F2718E">
              <w:rPr>
                <w:rFonts w:ascii="GHEA Grapalat" w:hAnsi="GHEA Grapalat"/>
                <w:lang w:val="af-ZA"/>
              </w:rPr>
              <w:softHyphen/>
              <w:t>շում կա</w:t>
            </w:r>
            <w:r w:rsidRPr="00F2718E">
              <w:rPr>
                <w:rFonts w:ascii="GHEA Grapalat" w:hAnsi="GHEA Grapalat"/>
                <w:lang w:val="af-ZA"/>
              </w:rPr>
              <w:softHyphen/>
              <w:t>յաց</w:t>
            </w:r>
            <w:r w:rsidRPr="00F2718E">
              <w:rPr>
                <w:rFonts w:ascii="GHEA Grapalat" w:hAnsi="GHEA Grapalat"/>
                <w:lang w:val="af-ZA"/>
              </w:rPr>
              <w:softHyphen/>
              <w:t>նի, իր հա</w:t>
            </w:r>
            <w:r w:rsidRPr="00F2718E">
              <w:rPr>
                <w:rFonts w:ascii="GHEA Grapalat" w:hAnsi="GHEA Grapalat"/>
                <w:lang w:val="af-ZA"/>
              </w:rPr>
              <w:softHyphen/>
              <w:t>մար ակն</w:t>
            </w:r>
            <w:r w:rsidRPr="00F2718E">
              <w:rPr>
                <w:rFonts w:ascii="GHEA Grapalat" w:hAnsi="GHEA Grapalat"/>
                <w:lang w:val="af-ZA"/>
              </w:rPr>
              <w:softHyphen/>
              <w:t>հայտ է, որ առ</w:t>
            </w:r>
            <w:r w:rsidRPr="00F2718E">
              <w:rPr>
                <w:rFonts w:ascii="GHEA Grapalat" w:hAnsi="GHEA Grapalat"/>
                <w:lang w:val="af-ZA"/>
              </w:rPr>
              <w:softHyphen/>
              <w:t>կա է/են օրեն</w:t>
            </w:r>
            <w:r w:rsidRPr="00F2718E">
              <w:rPr>
                <w:rFonts w:ascii="GHEA Grapalat" w:hAnsi="GHEA Grapalat"/>
                <w:lang w:val="af-ZA"/>
              </w:rPr>
              <w:softHyphen/>
              <w:t>քի 71-րդ հոդ</w:t>
            </w:r>
            <w:r w:rsidRPr="00F2718E">
              <w:rPr>
                <w:rFonts w:ascii="GHEA Grapalat" w:hAnsi="GHEA Grapalat"/>
                <w:lang w:val="af-ZA"/>
              </w:rPr>
              <w:softHyphen/>
              <w:t>վա</w:t>
            </w:r>
            <w:r w:rsidRPr="00F2718E">
              <w:rPr>
                <w:rFonts w:ascii="GHEA Grapalat" w:hAnsi="GHEA Grapalat"/>
                <w:lang w:val="af-ZA"/>
              </w:rPr>
              <w:softHyphen/>
              <w:t>ծի 2-րդ մա</w:t>
            </w:r>
            <w:r w:rsidRPr="00F2718E">
              <w:rPr>
                <w:rFonts w:ascii="GHEA Grapalat" w:hAnsi="GHEA Grapalat"/>
                <w:lang w:val="af-ZA"/>
              </w:rPr>
              <w:softHyphen/>
              <w:t>սով սահ</w:t>
            </w:r>
            <w:r w:rsidRPr="00F2718E">
              <w:rPr>
                <w:rFonts w:ascii="GHEA Grapalat" w:hAnsi="GHEA Grapalat"/>
                <w:lang w:val="af-ZA"/>
              </w:rPr>
              <w:softHyphen/>
              <w:t>ման</w:t>
            </w:r>
            <w:r w:rsidRPr="00F2718E">
              <w:rPr>
                <w:rFonts w:ascii="GHEA Grapalat" w:hAnsi="GHEA Grapalat"/>
                <w:lang w:val="af-ZA"/>
              </w:rPr>
              <w:softHyphen/>
              <w:t>ված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հայտ</w:t>
            </w:r>
            <w:r w:rsidRPr="00F2718E">
              <w:rPr>
                <w:rFonts w:ascii="GHEA Grapalat" w:hAnsi="GHEA Grapalat"/>
                <w:lang w:val="af-ZA"/>
              </w:rPr>
              <w:softHyphen/>
              <w:t>նե</w:t>
            </w:r>
            <w:r w:rsidRPr="00F2718E">
              <w:rPr>
                <w:rFonts w:ascii="GHEA Grapalat" w:hAnsi="GHEA Grapalat"/>
                <w:lang w:val="af-ZA"/>
              </w:rPr>
              <w:softHyphen/>
              <w:t>լու հիմք(եր):</w:t>
            </w:r>
          </w:p>
          <w:p w14:paraId="62C84A6E"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Նման ի</w:t>
            </w:r>
            <w:r w:rsidRPr="00F2718E">
              <w:rPr>
                <w:rFonts w:ascii="GHEA Grapalat" w:hAnsi="GHEA Grapalat"/>
                <w:lang w:val="af-ZA"/>
              </w:rPr>
              <w:softHyphen/>
              <w:t>րա</w:t>
            </w:r>
            <w:r w:rsidRPr="00F2718E">
              <w:rPr>
                <w:rFonts w:ascii="GHEA Grapalat" w:hAnsi="GHEA Grapalat"/>
                <w:lang w:val="af-ZA"/>
              </w:rPr>
              <w:softHyphen/>
              <w:t>վի</w:t>
            </w:r>
            <w:r w:rsidRPr="00F2718E">
              <w:rPr>
                <w:rFonts w:ascii="GHEA Grapalat" w:hAnsi="GHEA Grapalat"/>
                <w:lang w:val="af-ZA"/>
              </w:rPr>
              <w:softHyphen/>
              <w:t>ճա</w:t>
            </w:r>
            <w:r w:rsidRPr="00F2718E">
              <w:rPr>
                <w:rFonts w:ascii="GHEA Grapalat" w:hAnsi="GHEA Grapalat"/>
                <w:lang w:val="af-ZA"/>
              </w:rPr>
              <w:softHyphen/>
              <w:t>կում օ</w:t>
            </w:r>
            <w:r w:rsidRPr="00F2718E">
              <w:rPr>
                <w:rFonts w:ascii="GHEA Grapalat" w:hAnsi="GHEA Grapalat"/>
                <w:lang w:val="af-ZA"/>
              </w:rPr>
              <w:softHyphen/>
              <w:t>րենսդ</w:t>
            </w:r>
            <w:r w:rsidRPr="00F2718E">
              <w:rPr>
                <w:rFonts w:ascii="GHEA Grapalat" w:hAnsi="GHEA Grapalat"/>
                <w:lang w:val="af-ZA"/>
              </w:rPr>
              <w:softHyphen/>
              <w:t>րա</w:t>
            </w:r>
            <w:r w:rsidRPr="00F2718E">
              <w:rPr>
                <w:rFonts w:ascii="GHEA Grapalat" w:hAnsi="GHEA Grapalat"/>
                <w:lang w:val="af-ZA"/>
              </w:rPr>
              <w:softHyphen/>
              <w:t>կան կար</w:t>
            </w:r>
            <w:r w:rsidRPr="00F2718E">
              <w:rPr>
                <w:rFonts w:ascii="GHEA Grapalat" w:hAnsi="GHEA Grapalat"/>
                <w:lang w:val="af-ZA"/>
              </w:rPr>
              <w:softHyphen/>
              <w:t>գա</w:t>
            </w:r>
            <w:r w:rsidRPr="00F2718E">
              <w:rPr>
                <w:rFonts w:ascii="GHEA Grapalat" w:hAnsi="GHEA Grapalat"/>
                <w:lang w:val="af-ZA"/>
              </w:rPr>
              <w:softHyphen/>
              <w:t>վո</w:t>
            </w:r>
            <w:r w:rsidRPr="00F2718E">
              <w:rPr>
                <w:rFonts w:ascii="GHEA Grapalat" w:hAnsi="GHEA Grapalat"/>
                <w:lang w:val="af-ZA"/>
              </w:rPr>
              <w:softHyphen/>
              <w:t>րում</w:t>
            </w:r>
            <w:r w:rsidRPr="00F2718E">
              <w:rPr>
                <w:rFonts w:ascii="GHEA Grapalat" w:hAnsi="GHEA Grapalat"/>
                <w:lang w:val="af-ZA"/>
              </w:rPr>
              <w:softHyphen/>
              <w:t>նե</w:t>
            </w:r>
            <w:r w:rsidRPr="00F2718E">
              <w:rPr>
                <w:rFonts w:ascii="GHEA Grapalat" w:hAnsi="GHEA Grapalat"/>
                <w:lang w:val="af-ZA"/>
              </w:rPr>
              <w:softHyphen/>
              <w:t>րը, փաս</w:t>
            </w:r>
            <w:r w:rsidRPr="00F2718E">
              <w:rPr>
                <w:rFonts w:ascii="GHEA Grapalat" w:hAnsi="GHEA Grapalat"/>
                <w:lang w:val="af-ZA"/>
              </w:rPr>
              <w:softHyphen/>
              <w:t>տո</w:t>
            </w:r>
            <w:r w:rsidRPr="00F2718E">
              <w:rPr>
                <w:rFonts w:ascii="GHEA Grapalat" w:hAnsi="GHEA Grapalat"/>
                <w:lang w:val="af-ZA"/>
              </w:rPr>
              <w:softHyphen/>
              <w:t>րեն, թույլ չեն տալիս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րին ա</w:t>
            </w:r>
            <w:r w:rsidRPr="00F2718E">
              <w:rPr>
                <w:rFonts w:ascii="GHEA Grapalat" w:hAnsi="GHEA Grapalat"/>
                <w:lang w:val="af-ZA"/>
              </w:rPr>
              <w:softHyphen/>
              <w:t>ռանց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w:t>
            </w:r>
            <w:r w:rsidRPr="00F2718E">
              <w:rPr>
                <w:rFonts w:ascii="GHEA Grapalat" w:hAnsi="GHEA Grapalat"/>
                <w:lang w:val="af-ZA"/>
              </w:rPr>
              <w:softHyphen/>
              <w:t>րե</w:t>
            </w:r>
            <w:r w:rsidRPr="00F2718E">
              <w:rPr>
                <w:rFonts w:ascii="GHEA Grapalat" w:hAnsi="GHEA Grapalat"/>
                <w:lang w:val="af-ZA"/>
              </w:rPr>
              <w:softHyphen/>
              <w:t>լու և այդ հան</w:t>
            </w:r>
            <w:r w:rsidRPr="00F2718E">
              <w:rPr>
                <w:rFonts w:ascii="GHEA Grapalat" w:hAnsi="GHEA Grapalat"/>
                <w:lang w:val="af-ZA"/>
              </w:rPr>
              <w:softHyphen/>
              <w:t>գա</w:t>
            </w:r>
            <w:r w:rsidRPr="00F2718E">
              <w:rPr>
                <w:rFonts w:ascii="GHEA Grapalat" w:hAnsi="GHEA Grapalat"/>
                <w:lang w:val="af-ZA"/>
              </w:rPr>
              <w:softHyphen/>
              <w:t>մանք</w:t>
            </w:r>
            <w:r w:rsidRPr="00F2718E">
              <w:rPr>
                <w:rFonts w:ascii="GHEA Grapalat" w:hAnsi="GHEA Grapalat"/>
                <w:lang w:val="af-ZA"/>
              </w:rPr>
              <w:softHyphen/>
              <w:t>նե</w:t>
            </w:r>
            <w:r w:rsidRPr="00F2718E">
              <w:rPr>
                <w:rFonts w:ascii="GHEA Grapalat" w:hAnsi="GHEA Grapalat"/>
                <w:lang w:val="af-ZA"/>
              </w:rPr>
              <w:softHyphen/>
              <w:t>րը դատա</w:t>
            </w:r>
            <w:r w:rsidRPr="00F2718E">
              <w:rPr>
                <w:rFonts w:ascii="GHEA Grapalat" w:hAnsi="GHEA Grapalat"/>
                <w:lang w:val="af-ZA"/>
              </w:rPr>
              <w:softHyphen/>
              <w:t>կան նիս</w:t>
            </w:r>
            <w:r w:rsidRPr="00F2718E">
              <w:rPr>
                <w:rFonts w:ascii="GHEA Grapalat" w:hAnsi="GHEA Grapalat"/>
                <w:lang w:val="af-ZA"/>
              </w:rPr>
              <w:softHyphen/>
              <w:t>տում ար</w:t>
            </w:r>
            <w:r w:rsidRPr="00F2718E">
              <w:rPr>
                <w:rFonts w:ascii="GHEA Grapalat" w:hAnsi="GHEA Grapalat"/>
                <w:lang w:val="af-ZA"/>
              </w:rPr>
              <w:softHyphen/>
              <w:t>ձա</w:t>
            </w:r>
            <w:r w:rsidRPr="00F2718E">
              <w:rPr>
                <w:rFonts w:ascii="GHEA Grapalat" w:hAnsi="GHEA Grapalat"/>
                <w:lang w:val="af-ZA"/>
              </w:rPr>
              <w:softHyphen/>
              <w:t>նագ</w:t>
            </w:r>
            <w:r w:rsidRPr="00F2718E">
              <w:rPr>
                <w:rFonts w:ascii="GHEA Grapalat" w:hAnsi="GHEA Grapalat"/>
                <w:lang w:val="af-ZA"/>
              </w:rPr>
              <w:softHyphen/>
              <w:t>րե</w:t>
            </w:r>
            <w:r w:rsidRPr="00F2718E">
              <w:rPr>
                <w:rFonts w:ascii="GHEA Grapalat" w:hAnsi="GHEA Grapalat"/>
                <w:lang w:val="af-ZA"/>
              </w:rPr>
              <w:softHyphen/>
              <w:t>լու, նախ, բա</w:t>
            </w:r>
            <w:r w:rsidRPr="00F2718E">
              <w:rPr>
                <w:rFonts w:ascii="GHEA Grapalat" w:hAnsi="GHEA Grapalat"/>
                <w:lang w:val="af-ZA"/>
              </w:rPr>
              <w:softHyphen/>
              <w:t>ցա</w:t>
            </w:r>
            <w:r w:rsidRPr="00F2718E">
              <w:rPr>
                <w:rFonts w:ascii="GHEA Grapalat" w:hAnsi="GHEA Grapalat"/>
                <w:lang w:val="af-ZA"/>
              </w:rPr>
              <w:softHyphen/>
              <w:t>հայ</w:t>
            </w:r>
            <w:r w:rsidRPr="00F2718E">
              <w:rPr>
                <w:rFonts w:ascii="GHEA Grapalat" w:hAnsi="GHEA Grapalat"/>
                <w:lang w:val="af-ZA"/>
              </w:rPr>
              <w:softHyphen/>
              <w:t>տել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հիմ</w:t>
            </w:r>
            <w:r w:rsidRPr="00F2718E">
              <w:rPr>
                <w:rFonts w:ascii="GHEA Grapalat" w:hAnsi="GHEA Grapalat"/>
                <w:lang w:val="af-ZA"/>
              </w:rPr>
              <w:softHyphen/>
              <w:t>քե</w:t>
            </w:r>
            <w:r w:rsidRPr="00F2718E">
              <w:rPr>
                <w:rFonts w:ascii="GHEA Grapalat" w:hAnsi="GHEA Grapalat"/>
                <w:lang w:val="af-ZA"/>
              </w:rPr>
              <w:softHyphen/>
              <w:t>րը, երկ</w:t>
            </w:r>
            <w:r w:rsidRPr="00F2718E">
              <w:rPr>
                <w:rFonts w:ascii="GHEA Grapalat" w:hAnsi="GHEA Grapalat"/>
                <w:lang w:val="af-ZA"/>
              </w:rPr>
              <w:softHyphen/>
              <w:t>րորդ, ա</w:t>
            </w:r>
            <w:r w:rsidRPr="00F2718E">
              <w:rPr>
                <w:rFonts w:ascii="GHEA Grapalat" w:hAnsi="GHEA Grapalat"/>
                <w:lang w:val="af-ZA"/>
              </w:rPr>
              <w:softHyphen/>
              <w:t>ռանց բա</w:t>
            </w:r>
            <w:r w:rsidRPr="00F2718E">
              <w:rPr>
                <w:rFonts w:ascii="GHEA Grapalat" w:hAnsi="GHEA Grapalat"/>
                <w:lang w:val="af-ZA"/>
              </w:rPr>
              <w:softHyphen/>
              <w:t>ցա</w:t>
            </w:r>
            <w:r w:rsidRPr="00F2718E">
              <w:rPr>
                <w:rFonts w:ascii="GHEA Grapalat" w:hAnsi="GHEA Grapalat"/>
                <w:lang w:val="af-ZA"/>
              </w:rPr>
              <w:softHyphen/>
              <w:t>հայ</w:t>
            </w:r>
            <w:r w:rsidRPr="00F2718E">
              <w:rPr>
                <w:rFonts w:ascii="GHEA Grapalat" w:hAnsi="GHEA Grapalat"/>
                <w:lang w:val="af-ZA"/>
              </w:rPr>
              <w:softHyphen/>
              <w:t>տե</w:t>
            </w:r>
            <w:r w:rsidRPr="00F2718E">
              <w:rPr>
                <w:rFonts w:ascii="GHEA Grapalat" w:hAnsi="GHEA Grapalat"/>
                <w:lang w:val="af-ZA"/>
              </w:rPr>
              <w:softHyphen/>
              <w:t>լու անհ</w:t>
            </w:r>
            <w:r w:rsidRPr="00F2718E">
              <w:rPr>
                <w:rFonts w:ascii="GHEA Grapalat" w:hAnsi="GHEA Grapalat"/>
                <w:lang w:val="af-ZA"/>
              </w:rPr>
              <w:softHyphen/>
              <w:t>րա</w:t>
            </w:r>
            <w:r w:rsidRPr="00F2718E">
              <w:rPr>
                <w:rFonts w:ascii="GHEA Grapalat" w:hAnsi="GHEA Grapalat"/>
                <w:lang w:val="af-ZA"/>
              </w:rPr>
              <w:softHyphen/>
              <w:t>ժեշ</w:t>
            </w:r>
            <w:r w:rsidRPr="00F2718E">
              <w:rPr>
                <w:rFonts w:ascii="GHEA Grapalat" w:hAnsi="GHEA Grapalat"/>
                <w:lang w:val="af-ZA"/>
              </w:rPr>
              <w:softHyphen/>
              <w:t>տութ</w:t>
            </w:r>
            <w:r w:rsidRPr="00F2718E">
              <w:rPr>
                <w:rFonts w:ascii="GHEA Grapalat" w:hAnsi="GHEA Grapalat"/>
                <w:lang w:val="af-ZA"/>
              </w:rPr>
              <w:softHyphen/>
              <w:t>յան և ի</w:t>
            </w:r>
            <w:r w:rsidRPr="00F2718E">
              <w:rPr>
                <w:rFonts w:ascii="GHEA Grapalat" w:hAnsi="GHEA Grapalat"/>
                <w:lang w:val="af-ZA"/>
              </w:rPr>
              <w:softHyphen/>
              <w:t>րեն հայտ</w:t>
            </w:r>
            <w:r w:rsidRPr="00F2718E">
              <w:rPr>
                <w:rFonts w:ascii="GHEA Grapalat" w:hAnsi="GHEA Grapalat"/>
                <w:lang w:val="af-ZA"/>
              </w:rPr>
              <w:softHyphen/>
              <w:t>նի հան</w:t>
            </w:r>
            <w:r w:rsidRPr="00F2718E">
              <w:rPr>
                <w:rFonts w:ascii="GHEA Grapalat" w:hAnsi="GHEA Grapalat"/>
                <w:lang w:val="af-ZA"/>
              </w:rPr>
              <w:softHyphen/>
              <w:t>գա</w:t>
            </w:r>
            <w:r w:rsidRPr="00F2718E">
              <w:rPr>
                <w:rFonts w:ascii="GHEA Grapalat" w:hAnsi="GHEA Grapalat"/>
                <w:lang w:val="af-ZA"/>
              </w:rPr>
              <w:softHyphen/>
              <w:t>մանք</w:t>
            </w:r>
            <w:r w:rsidRPr="00F2718E">
              <w:rPr>
                <w:rFonts w:ascii="GHEA Grapalat" w:hAnsi="GHEA Grapalat"/>
                <w:lang w:val="af-ZA"/>
              </w:rPr>
              <w:softHyphen/>
              <w:t>նե</w:t>
            </w:r>
            <w:r w:rsidRPr="00F2718E">
              <w:rPr>
                <w:rFonts w:ascii="GHEA Grapalat" w:hAnsi="GHEA Grapalat"/>
                <w:lang w:val="af-ZA"/>
              </w:rPr>
              <w:softHyphen/>
              <w:t>րի պայ</w:t>
            </w:r>
            <w:r w:rsidRPr="00F2718E">
              <w:rPr>
                <w:rFonts w:ascii="GHEA Grapalat" w:hAnsi="GHEA Grapalat"/>
                <w:lang w:val="af-ZA"/>
              </w:rPr>
              <w:softHyphen/>
              <w:t>ման</w:t>
            </w:r>
            <w:r w:rsidRPr="00F2718E">
              <w:rPr>
                <w:rFonts w:ascii="GHEA Grapalat" w:hAnsi="GHEA Grapalat"/>
                <w:lang w:val="af-ZA"/>
              </w:rPr>
              <w:softHyphen/>
              <w:t>նե</w:t>
            </w:r>
            <w:r w:rsidRPr="00F2718E">
              <w:rPr>
                <w:rFonts w:ascii="GHEA Grapalat" w:hAnsi="GHEA Grapalat"/>
                <w:lang w:val="af-ZA"/>
              </w:rPr>
              <w:softHyphen/>
              <w:t>րում չու</w:t>
            </w:r>
            <w:r w:rsidRPr="00F2718E">
              <w:rPr>
                <w:rFonts w:ascii="GHEA Grapalat" w:hAnsi="GHEA Grapalat"/>
                <w:lang w:val="af-ZA"/>
              </w:rPr>
              <w:softHyphen/>
              <w:t>նե</w:t>
            </w:r>
            <w:r w:rsidRPr="00F2718E">
              <w:rPr>
                <w:rFonts w:ascii="GHEA Grapalat" w:hAnsi="GHEA Grapalat"/>
                <w:lang w:val="af-ZA"/>
              </w:rPr>
              <w:softHyphen/>
              <w:t>նա</w:t>
            </w:r>
            <w:r w:rsidRPr="00F2718E">
              <w:rPr>
                <w:rFonts w:ascii="GHEA Grapalat" w:hAnsi="GHEA Grapalat"/>
                <w:lang w:val="af-ZA"/>
              </w:rPr>
              <w:softHyphen/>
              <w:t>լով տվյալ գոր</w:t>
            </w:r>
            <w:r w:rsidRPr="00F2718E">
              <w:rPr>
                <w:rFonts w:ascii="GHEA Grapalat" w:hAnsi="GHEA Grapalat"/>
                <w:lang w:val="af-ZA"/>
              </w:rPr>
              <w:softHyphen/>
              <w:t>ծով ա</w:t>
            </w:r>
            <w:r w:rsidRPr="00F2718E">
              <w:rPr>
                <w:rFonts w:ascii="GHEA Grapalat" w:hAnsi="GHEA Grapalat"/>
                <w:lang w:val="af-ZA"/>
              </w:rPr>
              <w:softHyphen/>
              <w:t>նա</w:t>
            </w:r>
            <w:r w:rsidRPr="00F2718E">
              <w:rPr>
                <w:rFonts w:ascii="GHEA Grapalat" w:hAnsi="GHEA Grapalat"/>
                <w:lang w:val="af-ZA"/>
              </w:rPr>
              <w:softHyphen/>
              <w:t>չառ լի</w:t>
            </w:r>
            <w:r w:rsidRPr="00F2718E">
              <w:rPr>
                <w:rFonts w:ascii="GHEA Grapalat" w:hAnsi="GHEA Grapalat"/>
                <w:lang w:val="af-ZA"/>
              </w:rPr>
              <w:softHyphen/>
              <w:t>նե</w:t>
            </w:r>
            <w:r w:rsidRPr="00F2718E">
              <w:rPr>
                <w:rFonts w:ascii="GHEA Grapalat" w:hAnsi="GHEA Grapalat"/>
                <w:lang w:val="af-ZA"/>
              </w:rPr>
              <w:softHyphen/>
              <w:t>լու հա</w:t>
            </w:r>
            <w:r w:rsidRPr="00F2718E">
              <w:rPr>
                <w:rFonts w:ascii="GHEA Grapalat" w:hAnsi="GHEA Grapalat"/>
                <w:lang w:val="af-ZA"/>
              </w:rPr>
              <w:softHyphen/>
              <w:t>մոզ</w:t>
            </w:r>
            <w:r w:rsidRPr="00F2718E">
              <w:rPr>
                <w:rFonts w:ascii="GHEA Grapalat" w:hAnsi="GHEA Grapalat"/>
                <w:lang w:val="af-ZA"/>
              </w:rPr>
              <w:softHyphen/>
              <w:t>մունք՝ ան</w:t>
            </w:r>
            <w:r w:rsidRPr="00F2718E">
              <w:rPr>
                <w:rFonts w:ascii="GHEA Grapalat" w:hAnsi="GHEA Grapalat"/>
                <w:lang w:val="af-ZA"/>
              </w:rPr>
              <w:softHyphen/>
              <w:t>մի</w:t>
            </w:r>
            <w:r w:rsidRPr="00F2718E">
              <w:rPr>
                <w:rFonts w:ascii="GHEA Grapalat" w:hAnsi="GHEA Grapalat"/>
                <w:lang w:val="af-ZA"/>
              </w:rPr>
              <w:softHyphen/>
              <w:t>ջա</w:t>
            </w:r>
            <w:r w:rsidRPr="00F2718E">
              <w:rPr>
                <w:rFonts w:ascii="GHEA Grapalat" w:hAnsi="GHEA Grapalat"/>
                <w:lang w:val="af-ZA"/>
              </w:rPr>
              <w:softHyphen/>
              <w:t>պես հայտ</w:t>
            </w:r>
            <w:r w:rsidRPr="00F2718E">
              <w:rPr>
                <w:rFonts w:ascii="GHEA Grapalat" w:hAnsi="GHEA Grapalat"/>
                <w:lang w:val="af-ZA"/>
              </w:rPr>
              <w:softHyphen/>
              <w:t>նե</w:t>
            </w:r>
            <w:r w:rsidRPr="00F2718E">
              <w:rPr>
                <w:rFonts w:ascii="GHEA Grapalat" w:hAnsi="GHEA Grapalat"/>
                <w:lang w:val="af-ZA"/>
              </w:rPr>
              <w:softHyphen/>
              <w:t>լու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w:t>
            </w:r>
          </w:p>
          <w:p w14:paraId="38DC5BFE"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Առ</w:t>
            </w:r>
            <w:r w:rsidRPr="00F2718E">
              <w:rPr>
                <w:rFonts w:ascii="GHEA Grapalat" w:hAnsi="GHEA Grapalat"/>
                <w:lang w:val="af-ZA"/>
              </w:rPr>
              <w:softHyphen/>
              <w:t>կա կար</w:t>
            </w:r>
            <w:r w:rsidRPr="00F2718E">
              <w:rPr>
                <w:rFonts w:ascii="GHEA Grapalat" w:hAnsi="GHEA Grapalat"/>
                <w:lang w:val="af-ZA"/>
              </w:rPr>
              <w:softHyphen/>
              <w:t>գա</w:t>
            </w:r>
            <w:r w:rsidRPr="00F2718E">
              <w:rPr>
                <w:rFonts w:ascii="GHEA Grapalat" w:hAnsi="GHEA Grapalat"/>
                <w:lang w:val="af-ZA"/>
              </w:rPr>
              <w:softHyphen/>
              <w:t>վոր</w:t>
            </w:r>
            <w:r w:rsidRPr="00F2718E">
              <w:rPr>
                <w:rFonts w:ascii="GHEA Grapalat" w:hAnsi="GHEA Grapalat"/>
                <w:lang w:val="af-ZA"/>
              </w:rPr>
              <w:softHyphen/>
              <w:t>ման պայ</w:t>
            </w:r>
            <w:r w:rsidRPr="00F2718E">
              <w:rPr>
                <w:rFonts w:ascii="GHEA Grapalat" w:hAnsi="GHEA Grapalat"/>
                <w:lang w:val="af-ZA"/>
              </w:rPr>
              <w:softHyphen/>
              <w:t>ման</w:t>
            </w:r>
            <w:r w:rsidRPr="00F2718E">
              <w:rPr>
                <w:rFonts w:ascii="GHEA Grapalat" w:hAnsi="GHEA Grapalat"/>
                <w:lang w:val="af-ZA"/>
              </w:rPr>
              <w:softHyphen/>
              <w:t>նե</w:t>
            </w:r>
            <w:r w:rsidRPr="00F2718E">
              <w:rPr>
                <w:rFonts w:ascii="GHEA Grapalat" w:hAnsi="GHEA Grapalat"/>
                <w:lang w:val="af-ZA"/>
              </w:rPr>
              <w:softHyphen/>
              <w:t>րում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պետք է հայ</w:t>
            </w:r>
            <w:r w:rsidRPr="00F2718E">
              <w:rPr>
                <w:rFonts w:ascii="GHEA Grapalat" w:hAnsi="GHEA Grapalat"/>
                <w:lang w:val="af-ZA"/>
              </w:rPr>
              <w:softHyphen/>
              <w:t>ցը կամ գործն ընդու</w:t>
            </w:r>
            <w:r w:rsidRPr="00F2718E">
              <w:rPr>
                <w:rFonts w:ascii="GHEA Grapalat" w:hAnsi="GHEA Grapalat"/>
                <w:lang w:val="af-ZA"/>
              </w:rPr>
              <w:softHyphen/>
              <w:t>նի վա</w:t>
            </w:r>
            <w:r w:rsidRPr="00F2718E">
              <w:rPr>
                <w:rFonts w:ascii="GHEA Grapalat" w:hAnsi="GHEA Grapalat"/>
                <w:lang w:val="af-ZA"/>
              </w:rPr>
              <w:softHyphen/>
              <w:t>րույթ, լու</w:t>
            </w:r>
            <w:r w:rsidRPr="00F2718E">
              <w:rPr>
                <w:rFonts w:ascii="GHEA Grapalat" w:hAnsi="GHEA Grapalat"/>
                <w:lang w:val="af-ZA"/>
              </w:rPr>
              <w:softHyphen/>
              <w:t>ծում տա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մին կից քննարկ</w:t>
            </w:r>
            <w:r w:rsidRPr="00F2718E">
              <w:rPr>
                <w:rFonts w:ascii="GHEA Grapalat" w:hAnsi="GHEA Grapalat"/>
                <w:lang w:val="af-ZA"/>
              </w:rPr>
              <w:softHyphen/>
              <w:t>ման են</w:t>
            </w:r>
            <w:r w:rsidRPr="00F2718E">
              <w:rPr>
                <w:rFonts w:ascii="GHEA Grapalat" w:hAnsi="GHEA Grapalat"/>
                <w:lang w:val="af-ZA"/>
              </w:rPr>
              <w:softHyphen/>
              <w:t>թա</w:t>
            </w:r>
            <w:r w:rsidRPr="00F2718E">
              <w:rPr>
                <w:rFonts w:ascii="GHEA Grapalat" w:hAnsi="GHEA Grapalat"/>
                <w:lang w:val="af-ZA"/>
              </w:rPr>
              <w:softHyphen/>
              <w:t>կա միջնորդություն</w:t>
            </w:r>
            <w:r w:rsidRPr="00F2718E">
              <w:rPr>
                <w:rFonts w:ascii="GHEA Grapalat" w:hAnsi="GHEA Grapalat"/>
                <w:lang w:val="af-ZA"/>
              </w:rPr>
              <w:softHyphen/>
              <w:t>նե</w:t>
            </w:r>
            <w:r w:rsidRPr="00F2718E">
              <w:rPr>
                <w:rFonts w:ascii="GHEA Grapalat" w:hAnsi="GHEA Grapalat"/>
                <w:lang w:val="af-ZA"/>
              </w:rPr>
              <w:softHyphen/>
              <w:t>րին, ո</w:t>
            </w:r>
            <w:r w:rsidRPr="00F2718E">
              <w:rPr>
                <w:rFonts w:ascii="GHEA Grapalat" w:hAnsi="GHEA Grapalat"/>
                <w:lang w:val="af-ZA"/>
              </w:rPr>
              <w:softHyphen/>
              <w:t>րից հե</w:t>
            </w:r>
            <w:r w:rsidRPr="00F2718E">
              <w:rPr>
                <w:rFonts w:ascii="GHEA Grapalat" w:hAnsi="GHEA Grapalat"/>
                <w:lang w:val="af-ZA"/>
              </w:rPr>
              <w:softHyphen/>
              <w:t>տո միայն ո</w:t>
            </w:r>
            <w:r w:rsidRPr="00F2718E">
              <w:rPr>
                <w:rFonts w:ascii="GHEA Grapalat" w:hAnsi="GHEA Grapalat"/>
                <w:lang w:val="af-ZA"/>
              </w:rPr>
              <w:softHyphen/>
              <w:t>րո</w:t>
            </w:r>
            <w:r w:rsidRPr="00F2718E">
              <w:rPr>
                <w:rFonts w:ascii="GHEA Grapalat" w:hAnsi="GHEA Grapalat"/>
                <w:lang w:val="af-ZA"/>
              </w:rPr>
              <w:softHyphen/>
              <w:t>շի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հար</w:t>
            </w:r>
            <w:r w:rsidRPr="00F2718E">
              <w:rPr>
                <w:rFonts w:ascii="GHEA Grapalat" w:hAnsi="GHEA Grapalat"/>
                <w:lang w:val="af-ZA"/>
              </w:rPr>
              <w:softHyphen/>
              <w:t>ցը, այ</w:t>
            </w:r>
            <w:r w:rsidRPr="00F2718E">
              <w:rPr>
                <w:rFonts w:ascii="GHEA Grapalat" w:hAnsi="GHEA Grapalat"/>
                <w:lang w:val="af-ZA"/>
              </w:rPr>
              <w:softHyphen/>
              <w:t>նինչ, երբեմն, գործը կամ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մը ստա</w:t>
            </w:r>
            <w:r w:rsidRPr="00F2718E">
              <w:rPr>
                <w:rFonts w:ascii="GHEA Grapalat" w:hAnsi="GHEA Grapalat"/>
                <w:lang w:val="af-ZA"/>
              </w:rPr>
              <w:softHyphen/>
              <w:t>նա</w:t>
            </w:r>
            <w:r w:rsidRPr="00F2718E">
              <w:rPr>
                <w:rFonts w:ascii="GHEA Grapalat" w:hAnsi="GHEA Grapalat"/>
                <w:lang w:val="af-ZA"/>
              </w:rPr>
              <w:softHyphen/>
              <w:t>լիս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 հա</w:t>
            </w:r>
            <w:r w:rsidRPr="00F2718E">
              <w:rPr>
                <w:rFonts w:ascii="GHEA Grapalat" w:hAnsi="GHEA Grapalat"/>
                <w:lang w:val="af-ZA"/>
              </w:rPr>
              <w:softHyphen/>
              <w:t>մար ակն</w:t>
            </w:r>
            <w:r w:rsidRPr="00F2718E">
              <w:rPr>
                <w:rFonts w:ascii="GHEA Grapalat" w:hAnsi="GHEA Grapalat"/>
                <w:lang w:val="af-ZA"/>
              </w:rPr>
              <w:softHyphen/>
              <w:t>հայտ է, որ առ</w:t>
            </w:r>
            <w:r w:rsidRPr="00F2718E">
              <w:rPr>
                <w:rFonts w:ascii="GHEA Grapalat" w:hAnsi="GHEA Grapalat"/>
                <w:lang w:val="af-ZA"/>
              </w:rPr>
              <w:softHyphen/>
              <w:t>կա է ինքնա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հիմք, և ցան</w:t>
            </w:r>
            <w:r w:rsidRPr="00F2718E">
              <w:rPr>
                <w:rFonts w:ascii="GHEA Grapalat" w:hAnsi="GHEA Grapalat"/>
                <w:lang w:val="af-ZA"/>
              </w:rPr>
              <w:softHyphen/>
              <w:t>կա</w:t>
            </w:r>
            <w:r w:rsidRPr="00F2718E">
              <w:rPr>
                <w:rFonts w:ascii="GHEA Grapalat" w:hAnsi="GHEA Grapalat"/>
                <w:lang w:val="af-ZA"/>
              </w:rPr>
              <w:softHyphen/>
              <w:t>ցած դա</w:t>
            </w:r>
            <w:r w:rsidRPr="00F2718E">
              <w:rPr>
                <w:rFonts w:ascii="GHEA Grapalat" w:hAnsi="GHEA Grapalat"/>
                <w:lang w:val="af-ZA"/>
              </w:rPr>
              <w:softHyphen/>
              <w:t>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յան կա</w:t>
            </w:r>
            <w:r w:rsidRPr="00F2718E">
              <w:rPr>
                <w:rFonts w:ascii="GHEA Grapalat" w:hAnsi="GHEA Grapalat"/>
                <w:lang w:val="af-ZA"/>
              </w:rPr>
              <w:softHyphen/>
              <w:t>տա</w:t>
            </w:r>
            <w:r w:rsidRPr="00F2718E">
              <w:rPr>
                <w:rFonts w:ascii="GHEA Grapalat" w:hAnsi="GHEA Grapalat"/>
                <w:lang w:val="af-ZA"/>
              </w:rPr>
              <w:softHyphen/>
              <w:t>րում, այդ թվում՝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մը կամ գոր</w:t>
            </w:r>
            <w:r w:rsidRPr="00F2718E">
              <w:rPr>
                <w:rFonts w:ascii="GHEA Grapalat" w:hAnsi="GHEA Grapalat"/>
                <w:lang w:val="af-ZA"/>
              </w:rPr>
              <w:softHyphen/>
              <w:t>ծը վա</w:t>
            </w:r>
            <w:r w:rsidRPr="00F2718E">
              <w:rPr>
                <w:rFonts w:ascii="GHEA Grapalat" w:hAnsi="GHEA Grapalat"/>
                <w:lang w:val="af-ZA"/>
              </w:rPr>
              <w:softHyphen/>
              <w:t>րույթ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լը, ինչ</w:t>
            </w:r>
            <w:r w:rsidRPr="00F2718E">
              <w:rPr>
                <w:rFonts w:ascii="GHEA Grapalat" w:hAnsi="GHEA Grapalat"/>
                <w:lang w:val="af-ZA"/>
              </w:rPr>
              <w:softHyphen/>
              <w:t>պես նաև միջ</w:t>
            </w:r>
            <w:r w:rsidRPr="00F2718E">
              <w:rPr>
                <w:rFonts w:ascii="GHEA Grapalat" w:hAnsi="GHEA Grapalat"/>
                <w:lang w:val="af-ZA"/>
              </w:rPr>
              <w:softHyphen/>
              <w:t>նոր</w:t>
            </w:r>
            <w:r w:rsidRPr="00F2718E">
              <w:rPr>
                <w:rFonts w:ascii="GHEA Grapalat" w:hAnsi="GHEA Grapalat"/>
                <w:lang w:val="af-ZA"/>
              </w:rPr>
              <w:softHyphen/>
              <w:t>դութ</w:t>
            </w:r>
            <w:r w:rsidRPr="00F2718E">
              <w:rPr>
                <w:rFonts w:ascii="GHEA Grapalat" w:hAnsi="GHEA Grapalat"/>
                <w:lang w:val="af-ZA"/>
              </w:rPr>
              <w:softHyphen/>
              <w:t>յուն</w:t>
            </w:r>
            <w:r w:rsidRPr="00F2718E">
              <w:rPr>
                <w:rFonts w:ascii="GHEA Grapalat" w:hAnsi="GHEA Grapalat"/>
                <w:lang w:val="af-ZA"/>
              </w:rPr>
              <w:softHyphen/>
              <w:t>նե</w:t>
            </w:r>
            <w:r w:rsidRPr="00F2718E">
              <w:rPr>
                <w:rFonts w:ascii="GHEA Grapalat" w:hAnsi="GHEA Grapalat"/>
                <w:lang w:val="af-ZA"/>
              </w:rPr>
              <w:softHyphen/>
              <w:t>րի, այդ թվում՝ հայ</w:t>
            </w:r>
            <w:r w:rsidRPr="00F2718E">
              <w:rPr>
                <w:rFonts w:ascii="GHEA Grapalat" w:hAnsi="GHEA Grapalat"/>
                <w:lang w:val="af-ZA"/>
              </w:rPr>
              <w:softHyphen/>
              <w:t>ցի ա</w:t>
            </w:r>
            <w:r w:rsidRPr="00F2718E">
              <w:rPr>
                <w:rFonts w:ascii="GHEA Grapalat" w:hAnsi="GHEA Grapalat"/>
                <w:lang w:val="af-ZA"/>
              </w:rPr>
              <w:softHyphen/>
              <w:t>պա</w:t>
            </w:r>
            <w:r w:rsidRPr="00F2718E">
              <w:rPr>
                <w:rFonts w:ascii="GHEA Grapalat" w:hAnsi="GHEA Grapalat"/>
                <w:lang w:val="af-ZA"/>
              </w:rPr>
              <w:softHyphen/>
              <w:t>հով</w:t>
            </w:r>
            <w:r w:rsidRPr="00F2718E">
              <w:rPr>
                <w:rFonts w:ascii="GHEA Grapalat" w:hAnsi="GHEA Grapalat"/>
                <w:lang w:val="af-ZA"/>
              </w:rPr>
              <w:softHyphen/>
              <w:t>ման, պե</w:t>
            </w:r>
            <w:r w:rsidRPr="00F2718E">
              <w:rPr>
                <w:rFonts w:ascii="GHEA Grapalat" w:hAnsi="GHEA Grapalat"/>
                <w:lang w:val="af-ZA"/>
              </w:rPr>
              <w:softHyphen/>
              <w:t>տա</w:t>
            </w:r>
            <w:r w:rsidRPr="00F2718E">
              <w:rPr>
                <w:rFonts w:ascii="GHEA Grapalat" w:hAnsi="GHEA Grapalat"/>
                <w:lang w:val="af-ZA"/>
              </w:rPr>
              <w:softHyphen/>
              <w:t>կան տուր</w:t>
            </w:r>
            <w:r w:rsidRPr="00F2718E">
              <w:rPr>
                <w:rFonts w:ascii="GHEA Grapalat" w:hAnsi="GHEA Grapalat"/>
                <w:lang w:val="af-ZA"/>
              </w:rPr>
              <w:softHyphen/>
              <w:t>քի վճար</w:t>
            </w:r>
            <w:r w:rsidRPr="00F2718E">
              <w:rPr>
                <w:rFonts w:ascii="GHEA Grapalat" w:hAnsi="GHEA Grapalat"/>
                <w:lang w:val="af-ZA"/>
              </w:rPr>
              <w:softHyphen/>
              <w:t>ման մա</w:t>
            </w:r>
            <w:r w:rsidRPr="00F2718E">
              <w:rPr>
                <w:rFonts w:ascii="GHEA Grapalat" w:hAnsi="GHEA Grapalat"/>
                <w:lang w:val="af-ZA"/>
              </w:rPr>
              <w:softHyphen/>
              <w:t>սով ար</w:t>
            </w:r>
            <w:r w:rsidRPr="00F2718E">
              <w:rPr>
                <w:rFonts w:ascii="GHEA Grapalat" w:hAnsi="GHEA Grapalat"/>
                <w:lang w:val="af-ZA"/>
              </w:rPr>
              <w:softHyphen/>
              <w:t>տո</w:t>
            </w:r>
            <w:r w:rsidRPr="00F2718E">
              <w:rPr>
                <w:rFonts w:ascii="GHEA Grapalat" w:hAnsi="GHEA Grapalat"/>
                <w:lang w:val="af-ZA"/>
              </w:rPr>
              <w:softHyphen/>
              <w:t>նութ</w:t>
            </w:r>
            <w:r w:rsidRPr="00F2718E">
              <w:rPr>
                <w:rFonts w:ascii="GHEA Grapalat" w:hAnsi="GHEA Grapalat"/>
                <w:lang w:val="af-ZA"/>
              </w:rPr>
              <w:softHyphen/>
              <w:t>յուն կիրա</w:t>
            </w:r>
            <w:r w:rsidRPr="00F2718E">
              <w:rPr>
                <w:rFonts w:ascii="GHEA Grapalat" w:hAnsi="GHEA Grapalat"/>
                <w:lang w:val="af-ZA"/>
              </w:rPr>
              <w:softHyphen/>
              <w:t>ռե</w:t>
            </w:r>
            <w:r w:rsidRPr="00F2718E">
              <w:rPr>
                <w:rFonts w:ascii="GHEA Grapalat" w:hAnsi="GHEA Grapalat"/>
                <w:lang w:val="af-ZA"/>
              </w:rPr>
              <w:softHyphen/>
              <w:t>լու միջ</w:t>
            </w:r>
            <w:r w:rsidRPr="00F2718E">
              <w:rPr>
                <w:rFonts w:ascii="GHEA Grapalat" w:hAnsi="GHEA Grapalat"/>
                <w:lang w:val="af-ZA"/>
              </w:rPr>
              <w:softHyphen/>
              <w:t>նոր</w:t>
            </w:r>
            <w:r w:rsidRPr="00F2718E">
              <w:rPr>
                <w:rFonts w:ascii="GHEA Grapalat" w:hAnsi="GHEA Grapalat"/>
                <w:lang w:val="af-ZA"/>
              </w:rPr>
              <w:softHyphen/>
              <w:t>դութ</w:t>
            </w:r>
            <w:r w:rsidRPr="00F2718E">
              <w:rPr>
                <w:rFonts w:ascii="GHEA Grapalat" w:hAnsi="GHEA Grapalat"/>
                <w:lang w:val="af-ZA"/>
              </w:rPr>
              <w:softHyphen/>
              <w:t>յուն</w:t>
            </w:r>
            <w:r w:rsidRPr="00F2718E">
              <w:rPr>
                <w:rFonts w:ascii="GHEA Grapalat" w:hAnsi="GHEA Grapalat"/>
                <w:lang w:val="af-ZA"/>
              </w:rPr>
              <w:softHyphen/>
              <w:t>նե</w:t>
            </w:r>
            <w:r w:rsidRPr="00F2718E">
              <w:rPr>
                <w:rFonts w:ascii="GHEA Grapalat" w:hAnsi="GHEA Grapalat"/>
                <w:lang w:val="af-ZA"/>
              </w:rPr>
              <w:softHyphen/>
              <w:t>րի հար</w:t>
            </w:r>
            <w:r w:rsidRPr="00F2718E">
              <w:rPr>
                <w:rFonts w:ascii="GHEA Grapalat" w:hAnsi="GHEA Grapalat"/>
                <w:lang w:val="af-ZA"/>
              </w:rPr>
              <w:softHyphen/>
              <w:t>ցի լու</w:t>
            </w:r>
            <w:r w:rsidRPr="00F2718E">
              <w:rPr>
                <w:rFonts w:ascii="GHEA Grapalat" w:hAnsi="GHEA Grapalat"/>
                <w:lang w:val="af-ZA"/>
              </w:rPr>
              <w:softHyphen/>
              <w:t>ծումն (հայ</w:t>
            </w:r>
            <w:r w:rsidRPr="00F2718E">
              <w:rPr>
                <w:rFonts w:ascii="GHEA Grapalat" w:hAnsi="GHEA Grapalat"/>
                <w:lang w:val="af-ZA"/>
              </w:rPr>
              <w:softHyphen/>
              <w:t>ցի ա</w:t>
            </w:r>
            <w:r w:rsidRPr="00F2718E">
              <w:rPr>
                <w:rFonts w:ascii="GHEA Grapalat" w:hAnsi="GHEA Grapalat"/>
                <w:lang w:val="af-ZA"/>
              </w:rPr>
              <w:softHyphen/>
              <w:t>պա</w:t>
            </w:r>
            <w:r w:rsidRPr="00F2718E">
              <w:rPr>
                <w:rFonts w:ascii="GHEA Grapalat" w:hAnsi="GHEA Grapalat"/>
                <w:lang w:val="af-ZA"/>
              </w:rPr>
              <w:softHyphen/>
              <w:t>հով</w:t>
            </w:r>
            <w:r w:rsidRPr="00F2718E">
              <w:rPr>
                <w:rFonts w:ascii="GHEA Grapalat" w:hAnsi="GHEA Grapalat"/>
                <w:lang w:val="af-ZA"/>
              </w:rPr>
              <w:softHyphen/>
              <w:t>ման դեպ</w:t>
            </w:r>
            <w:r w:rsidRPr="00F2718E">
              <w:rPr>
                <w:rFonts w:ascii="GHEA Grapalat" w:hAnsi="GHEA Grapalat"/>
                <w:lang w:val="af-ZA"/>
              </w:rPr>
              <w:softHyphen/>
              <w:t>քում խնդի</w:t>
            </w:r>
            <w:r w:rsidRPr="00F2718E">
              <w:rPr>
                <w:rFonts w:ascii="GHEA Grapalat" w:hAnsi="GHEA Grapalat"/>
                <w:lang w:val="af-ZA"/>
              </w:rPr>
              <w:softHyphen/>
              <w:t>րը շատ ա</w:t>
            </w:r>
            <w:r w:rsidRPr="00F2718E">
              <w:rPr>
                <w:rFonts w:ascii="GHEA Grapalat" w:hAnsi="GHEA Grapalat"/>
                <w:lang w:val="af-ZA"/>
              </w:rPr>
              <w:softHyphen/>
              <w:t>վե</w:t>
            </w:r>
            <w:r w:rsidRPr="00F2718E">
              <w:rPr>
                <w:rFonts w:ascii="GHEA Grapalat" w:hAnsi="GHEA Grapalat"/>
                <w:lang w:val="af-ZA"/>
              </w:rPr>
              <w:softHyphen/>
              <w:t>լի լուրջ է, քա</w:t>
            </w:r>
            <w:r w:rsidRPr="00F2718E">
              <w:rPr>
                <w:rFonts w:ascii="GHEA Grapalat" w:hAnsi="GHEA Grapalat"/>
                <w:lang w:val="af-ZA"/>
              </w:rPr>
              <w:softHyphen/>
              <w:t>նի որ դա կա</w:t>
            </w:r>
            <w:r w:rsidRPr="00F2718E">
              <w:rPr>
                <w:rFonts w:ascii="GHEA Grapalat" w:hAnsi="GHEA Grapalat"/>
                <w:lang w:val="af-ZA"/>
              </w:rPr>
              <w:softHyphen/>
              <w:t>րող է ու</w:t>
            </w:r>
            <w:r w:rsidRPr="00F2718E">
              <w:rPr>
                <w:rFonts w:ascii="GHEA Grapalat" w:hAnsi="GHEA Grapalat"/>
                <w:lang w:val="af-ZA"/>
              </w:rPr>
              <w:softHyphen/>
              <w:t>նե</w:t>
            </w:r>
            <w:r w:rsidRPr="00F2718E">
              <w:rPr>
                <w:rFonts w:ascii="GHEA Grapalat" w:hAnsi="GHEA Grapalat"/>
                <w:lang w:val="af-ZA"/>
              </w:rPr>
              <w:softHyphen/>
              <w:t>նալ շատ ա</w:t>
            </w:r>
            <w:r w:rsidRPr="00F2718E">
              <w:rPr>
                <w:rFonts w:ascii="GHEA Grapalat" w:hAnsi="GHEA Grapalat"/>
                <w:lang w:val="af-ZA"/>
              </w:rPr>
              <w:softHyphen/>
              <w:t>վե</w:t>
            </w:r>
            <w:r w:rsidRPr="00F2718E">
              <w:rPr>
                <w:rFonts w:ascii="GHEA Grapalat" w:hAnsi="GHEA Grapalat"/>
                <w:lang w:val="af-ZA"/>
              </w:rPr>
              <w:softHyphen/>
              <w:t>լի ծանր հետևանք) ար</w:t>
            </w:r>
            <w:r w:rsidRPr="00F2718E">
              <w:rPr>
                <w:rFonts w:ascii="GHEA Grapalat" w:hAnsi="GHEA Grapalat"/>
                <w:lang w:val="af-ZA"/>
              </w:rPr>
              <w:softHyphen/>
              <w:t>դեն իսկ ա</w:t>
            </w:r>
            <w:r w:rsidRPr="00F2718E">
              <w:rPr>
                <w:rFonts w:ascii="GHEA Grapalat" w:hAnsi="GHEA Grapalat"/>
                <w:lang w:val="af-ZA"/>
              </w:rPr>
              <w:softHyphen/>
              <w:t>ռա</w:t>
            </w:r>
            <w:r w:rsidRPr="00F2718E">
              <w:rPr>
                <w:rFonts w:ascii="GHEA Grapalat" w:hAnsi="GHEA Grapalat"/>
                <w:lang w:val="af-ZA"/>
              </w:rPr>
              <w:softHyphen/>
              <w:t>ջաց</w:t>
            </w:r>
            <w:r w:rsidRPr="00F2718E">
              <w:rPr>
                <w:rFonts w:ascii="GHEA Grapalat" w:hAnsi="GHEA Grapalat"/>
                <w:lang w:val="af-ZA"/>
              </w:rPr>
              <w:softHyphen/>
              <w:t>նե</w:t>
            </w:r>
            <w:r w:rsidRPr="00F2718E">
              <w:rPr>
                <w:rFonts w:ascii="GHEA Grapalat" w:hAnsi="GHEA Grapalat"/>
                <w:lang w:val="af-ZA"/>
              </w:rPr>
              <w:softHyphen/>
              <w:t>լու է ող</w:t>
            </w:r>
            <w:r w:rsidRPr="00F2718E">
              <w:rPr>
                <w:rFonts w:ascii="GHEA Grapalat" w:hAnsi="GHEA Grapalat"/>
                <w:lang w:val="af-ZA"/>
              </w:rPr>
              <w:softHyphen/>
              <w:t>ջա</w:t>
            </w:r>
            <w:r w:rsidRPr="00F2718E">
              <w:rPr>
                <w:rFonts w:ascii="GHEA Grapalat" w:hAnsi="GHEA Grapalat"/>
                <w:lang w:val="af-ZA"/>
              </w:rPr>
              <w:softHyphen/>
              <w:t>միտ կաս</w:t>
            </w:r>
            <w:r w:rsidRPr="00F2718E">
              <w:rPr>
                <w:rFonts w:ascii="GHEA Grapalat" w:hAnsi="GHEA Grapalat"/>
                <w:lang w:val="af-ZA"/>
              </w:rPr>
              <w:softHyphen/>
              <w:t>կած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 ա</w:t>
            </w:r>
            <w:r w:rsidRPr="00F2718E">
              <w:rPr>
                <w:rFonts w:ascii="GHEA Grapalat" w:hAnsi="GHEA Grapalat"/>
                <w:lang w:val="af-ZA"/>
              </w:rPr>
              <w:softHyphen/>
              <w:t>նա</w:t>
            </w:r>
            <w:r w:rsidRPr="00F2718E">
              <w:rPr>
                <w:rFonts w:ascii="GHEA Grapalat" w:hAnsi="GHEA Grapalat"/>
                <w:lang w:val="af-ZA"/>
              </w:rPr>
              <w:softHyphen/>
              <w:t>չա</w:t>
            </w:r>
            <w:r w:rsidRPr="00F2718E">
              <w:rPr>
                <w:rFonts w:ascii="GHEA Grapalat" w:hAnsi="GHEA Grapalat"/>
                <w:lang w:val="af-ZA"/>
              </w:rPr>
              <w:softHyphen/>
              <w:t>ռութ</w:t>
            </w:r>
            <w:r w:rsidRPr="00F2718E">
              <w:rPr>
                <w:rFonts w:ascii="GHEA Grapalat" w:hAnsi="GHEA Grapalat"/>
                <w:lang w:val="af-ZA"/>
              </w:rPr>
              <w:softHyphen/>
              <w:t>յան վե</w:t>
            </w:r>
            <w:r w:rsidRPr="00F2718E">
              <w:rPr>
                <w:rFonts w:ascii="GHEA Grapalat" w:hAnsi="GHEA Grapalat"/>
                <w:lang w:val="af-ZA"/>
              </w:rPr>
              <w:softHyphen/>
              <w:t>րա</w:t>
            </w:r>
            <w:r w:rsidRPr="00F2718E">
              <w:rPr>
                <w:rFonts w:ascii="GHEA Grapalat" w:hAnsi="GHEA Grapalat"/>
                <w:lang w:val="af-ZA"/>
              </w:rPr>
              <w:softHyphen/>
              <w:t>բեր</w:t>
            </w:r>
            <w:r w:rsidRPr="00F2718E">
              <w:rPr>
                <w:rFonts w:ascii="GHEA Grapalat" w:hAnsi="GHEA Grapalat"/>
                <w:lang w:val="af-ZA"/>
              </w:rPr>
              <w:softHyphen/>
              <w:t>յալ:</w:t>
            </w:r>
          </w:p>
          <w:p w14:paraId="78C1E6AD"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Մինչ</w:t>
            </w:r>
            <w:r w:rsidRPr="00F2718E">
              <w:rPr>
                <w:rFonts w:ascii="GHEA Grapalat" w:hAnsi="GHEA Grapalat"/>
                <w:lang w:val="af-ZA"/>
              </w:rPr>
              <w:softHyphen/>
              <w:t>դեռ գոր</w:t>
            </w:r>
            <w:r w:rsidRPr="00F2718E">
              <w:rPr>
                <w:rFonts w:ascii="GHEA Grapalat" w:hAnsi="GHEA Grapalat"/>
                <w:lang w:val="af-ZA"/>
              </w:rPr>
              <w:softHyphen/>
              <w:t>ծող օ</w:t>
            </w:r>
            <w:r w:rsidRPr="00F2718E">
              <w:rPr>
                <w:rFonts w:ascii="GHEA Grapalat" w:hAnsi="GHEA Grapalat"/>
                <w:lang w:val="af-ZA"/>
              </w:rPr>
              <w:softHyphen/>
              <w:t>րենսդ</w:t>
            </w:r>
            <w:r w:rsidRPr="00F2718E">
              <w:rPr>
                <w:rFonts w:ascii="GHEA Grapalat" w:hAnsi="GHEA Grapalat"/>
                <w:lang w:val="af-ZA"/>
              </w:rPr>
              <w:softHyphen/>
              <w:t>րութ</w:t>
            </w:r>
            <w:r w:rsidRPr="00F2718E">
              <w:rPr>
                <w:rFonts w:ascii="GHEA Grapalat" w:hAnsi="GHEA Grapalat"/>
                <w:lang w:val="af-ZA"/>
              </w:rPr>
              <w:softHyphen/>
              <w:t>յու</w:t>
            </w:r>
            <w:r w:rsidRPr="00F2718E">
              <w:rPr>
                <w:rFonts w:ascii="GHEA Grapalat" w:hAnsi="GHEA Grapalat"/>
                <w:lang w:val="af-ZA"/>
              </w:rPr>
              <w:softHyphen/>
              <w:t>նը հնա</w:t>
            </w:r>
            <w:r w:rsidRPr="00F2718E">
              <w:rPr>
                <w:rFonts w:ascii="GHEA Grapalat" w:hAnsi="GHEA Grapalat"/>
                <w:lang w:val="af-ZA"/>
              </w:rPr>
              <w:softHyphen/>
              <w:t>րա</w:t>
            </w:r>
            <w:r w:rsidRPr="00F2718E">
              <w:rPr>
                <w:rFonts w:ascii="GHEA Grapalat" w:hAnsi="GHEA Grapalat"/>
                <w:lang w:val="af-ZA"/>
              </w:rPr>
              <w:softHyphen/>
              <w:t>վո</w:t>
            </w:r>
            <w:r w:rsidRPr="00F2718E">
              <w:rPr>
                <w:rFonts w:ascii="GHEA Grapalat" w:hAnsi="GHEA Grapalat"/>
                <w:lang w:val="af-ZA"/>
              </w:rPr>
              <w:softHyphen/>
              <w:t>րութ</w:t>
            </w:r>
            <w:r w:rsidRPr="00F2718E">
              <w:rPr>
                <w:rFonts w:ascii="GHEA Grapalat" w:hAnsi="GHEA Grapalat"/>
                <w:lang w:val="af-ZA"/>
              </w:rPr>
              <w:softHyphen/>
              <w:t>յուն չի տա</w:t>
            </w:r>
            <w:r w:rsidRPr="00F2718E">
              <w:rPr>
                <w:rFonts w:ascii="GHEA Grapalat" w:hAnsi="GHEA Grapalat"/>
                <w:lang w:val="af-ZA"/>
              </w:rPr>
              <w:softHyphen/>
              <w:t>լիս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րին ինքնա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հարց քննար</w:t>
            </w:r>
            <w:r w:rsidRPr="00F2718E">
              <w:rPr>
                <w:rFonts w:ascii="GHEA Grapalat" w:hAnsi="GHEA Grapalat"/>
                <w:lang w:val="af-ZA"/>
              </w:rPr>
              <w:softHyphen/>
              <w:t>կել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մը կամ գոր</w:t>
            </w:r>
            <w:r w:rsidRPr="00F2718E">
              <w:rPr>
                <w:rFonts w:ascii="GHEA Grapalat" w:hAnsi="GHEA Grapalat"/>
                <w:lang w:val="af-ZA"/>
              </w:rPr>
              <w:softHyphen/>
              <w:t>ծը վա</w:t>
            </w:r>
            <w:r w:rsidRPr="00F2718E">
              <w:rPr>
                <w:rFonts w:ascii="GHEA Grapalat" w:hAnsi="GHEA Grapalat"/>
                <w:lang w:val="af-ZA"/>
              </w:rPr>
              <w:softHyphen/>
              <w:t>րույթ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լու փուլում, ինչն ար</w:t>
            </w:r>
            <w:r w:rsidRPr="00F2718E">
              <w:rPr>
                <w:rFonts w:ascii="GHEA Grapalat" w:hAnsi="GHEA Grapalat"/>
                <w:lang w:val="af-ZA"/>
              </w:rPr>
              <w:softHyphen/>
              <w:t>դա</w:t>
            </w:r>
            <w:r w:rsidRPr="00F2718E">
              <w:rPr>
                <w:rFonts w:ascii="GHEA Grapalat" w:hAnsi="GHEA Grapalat"/>
                <w:lang w:val="af-ZA"/>
              </w:rPr>
              <w:softHyphen/>
              <w:t>րաց</w:t>
            </w:r>
            <w:r w:rsidRPr="00F2718E">
              <w:rPr>
                <w:rFonts w:ascii="GHEA Grapalat" w:hAnsi="GHEA Grapalat"/>
                <w:lang w:val="af-ZA"/>
              </w:rPr>
              <w:softHyphen/>
              <w:t>ված չէ և ակն</w:t>
            </w:r>
            <w:r w:rsidRPr="00F2718E">
              <w:rPr>
                <w:rFonts w:ascii="GHEA Grapalat" w:hAnsi="GHEA Grapalat"/>
                <w:lang w:val="af-ZA"/>
              </w:rPr>
              <w:softHyphen/>
              <w:t>հայտ հա</w:t>
            </w:r>
            <w:r w:rsidRPr="00F2718E">
              <w:rPr>
                <w:rFonts w:ascii="GHEA Grapalat" w:hAnsi="GHEA Grapalat"/>
                <w:lang w:val="af-ZA"/>
              </w:rPr>
              <w:softHyphen/>
              <w:t>կա</w:t>
            </w:r>
            <w:r w:rsidRPr="00F2718E">
              <w:rPr>
                <w:rFonts w:ascii="GHEA Grapalat" w:hAnsi="GHEA Grapalat"/>
                <w:lang w:val="af-ZA"/>
              </w:rPr>
              <w:softHyphen/>
              <w:t>սում է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ինս</w:t>
            </w:r>
            <w:r w:rsidRPr="00F2718E">
              <w:rPr>
                <w:rFonts w:ascii="GHEA Grapalat" w:hAnsi="GHEA Grapalat"/>
                <w:lang w:val="af-ZA"/>
              </w:rPr>
              <w:softHyphen/>
              <w:t>տի</w:t>
            </w:r>
            <w:r w:rsidRPr="00F2718E">
              <w:rPr>
                <w:rFonts w:ascii="GHEA Grapalat" w:hAnsi="GHEA Grapalat"/>
                <w:lang w:val="af-ZA"/>
              </w:rPr>
              <w:softHyphen/>
              <w:t>տու</w:t>
            </w:r>
            <w:r w:rsidRPr="00F2718E">
              <w:rPr>
                <w:rFonts w:ascii="GHEA Grapalat" w:hAnsi="GHEA Grapalat"/>
                <w:lang w:val="af-ZA"/>
              </w:rPr>
              <w:softHyphen/>
              <w:t>տի ի</w:t>
            </w:r>
            <w:r w:rsidRPr="00F2718E">
              <w:rPr>
                <w:rFonts w:ascii="GHEA Grapalat" w:hAnsi="GHEA Grapalat"/>
                <w:lang w:val="af-ZA"/>
              </w:rPr>
              <w:softHyphen/>
              <w:t>րա</w:t>
            </w:r>
            <w:r w:rsidRPr="00F2718E">
              <w:rPr>
                <w:rFonts w:ascii="GHEA Grapalat" w:hAnsi="GHEA Grapalat"/>
                <w:lang w:val="af-ZA"/>
              </w:rPr>
              <w:softHyphen/>
              <w:t>գործ</w:t>
            </w:r>
            <w:r w:rsidRPr="00F2718E">
              <w:rPr>
                <w:rFonts w:ascii="GHEA Grapalat" w:hAnsi="GHEA Grapalat"/>
                <w:lang w:val="af-ZA"/>
              </w:rPr>
              <w:softHyphen/>
              <w:t>ման բո</w:t>
            </w:r>
            <w:r w:rsidRPr="00F2718E">
              <w:rPr>
                <w:rFonts w:ascii="GHEA Grapalat" w:hAnsi="GHEA Grapalat"/>
                <w:lang w:val="af-ZA"/>
              </w:rPr>
              <w:softHyphen/>
              <w:t>լոր ի</w:t>
            </w:r>
            <w:r w:rsidRPr="00F2718E">
              <w:rPr>
                <w:rFonts w:ascii="GHEA Grapalat" w:hAnsi="GHEA Grapalat"/>
                <w:lang w:val="af-ZA"/>
              </w:rPr>
              <w:softHyphen/>
              <w:t>րա</w:t>
            </w:r>
            <w:r w:rsidRPr="00F2718E">
              <w:rPr>
                <w:rFonts w:ascii="GHEA Grapalat" w:hAnsi="GHEA Grapalat"/>
                <w:lang w:val="af-ZA"/>
              </w:rPr>
              <w:softHyphen/>
              <w:t>վա</w:t>
            </w:r>
            <w:r w:rsidRPr="00F2718E">
              <w:rPr>
                <w:rFonts w:ascii="GHEA Grapalat" w:hAnsi="GHEA Grapalat"/>
                <w:lang w:val="af-ZA"/>
              </w:rPr>
              <w:softHyphen/>
              <w:t>չափ նպա</w:t>
            </w:r>
            <w:r w:rsidRPr="00F2718E">
              <w:rPr>
                <w:rFonts w:ascii="GHEA Grapalat" w:hAnsi="GHEA Grapalat"/>
                <w:lang w:val="af-ZA"/>
              </w:rPr>
              <w:softHyphen/>
              <w:t>տակ</w:t>
            </w:r>
            <w:r w:rsidRPr="00F2718E">
              <w:rPr>
                <w:rFonts w:ascii="GHEA Grapalat" w:hAnsi="GHEA Grapalat"/>
                <w:lang w:val="af-ZA"/>
              </w:rPr>
              <w:softHyphen/>
              <w:t>նե</w:t>
            </w:r>
            <w:r w:rsidRPr="00F2718E">
              <w:rPr>
                <w:rFonts w:ascii="GHEA Grapalat" w:hAnsi="GHEA Grapalat"/>
                <w:lang w:val="af-ZA"/>
              </w:rPr>
              <w:softHyphen/>
              <w:t>րին։</w:t>
            </w:r>
          </w:p>
          <w:p w14:paraId="41BB7F05"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Պրակ</w:t>
            </w:r>
            <w:r w:rsidRPr="00F2718E">
              <w:rPr>
                <w:rFonts w:ascii="GHEA Grapalat" w:hAnsi="GHEA Grapalat"/>
                <w:lang w:val="af-ZA"/>
              </w:rPr>
              <w:softHyphen/>
              <w:t>տի</w:t>
            </w:r>
            <w:r w:rsidRPr="00F2718E">
              <w:rPr>
                <w:rFonts w:ascii="GHEA Grapalat" w:hAnsi="GHEA Grapalat"/>
                <w:lang w:val="af-ZA"/>
              </w:rPr>
              <w:softHyphen/>
              <w:t>կա</w:t>
            </w:r>
            <w:r w:rsidRPr="00F2718E">
              <w:rPr>
                <w:rFonts w:ascii="GHEA Grapalat" w:hAnsi="GHEA Grapalat"/>
                <w:lang w:val="af-ZA"/>
              </w:rPr>
              <w:softHyphen/>
              <w:t>յում ստաց</w:t>
            </w:r>
            <w:r w:rsidRPr="00F2718E">
              <w:rPr>
                <w:rFonts w:ascii="GHEA Grapalat" w:hAnsi="GHEA Grapalat"/>
                <w:lang w:val="af-ZA"/>
              </w:rPr>
              <w:softHyphen/>
              <w:t>վում է մի ա</w:t>
            </w:r>
            <w:r w:rsidRPr="00F2718E">
              <w:rPr>
                <w:rFonts w:ascii="GHEA Grapalat" w:hAnsi="GHEA Grapalat"/>
                <w:lang w:val="af-ZA"/>
              </w:rPr>
              <w:softHyphen/>
              <w:t>նըն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լի ի</w:t>
            </w:r>
            <w:r w:rsidRPr="00F2718E">
              <w:rPr>
                <w:rFonts w:ascii="GHEA Grapalat" w:hAnsi="GHEA Grapalat"/>
                <w:lang w:val="af-ZA"/>
              </w:rPr>
              <w:softHyphen/>
              <w:t>րա</w:t>
            </w:r>
            <w:r w:rsidRPr="00F2718E">
              <w:rPr>
                <w:rFonts w:ascii="GHEA Grapalat" w:hAnsi="GHEA Grapalat"/>
                <w:lang w:val="af-ZA"/>
              </w:rPr>
              <w:softHyphen/>
              <w:t>վի</w:t>
            </w:r>
            <w:r w:rsidRPr="00F2718E">
              <w:rPr>
                <w:rFonts w:ascii="GHEA Grapalat" w:hAnsi="GHEA Grapalat"/>
                <w:lang w:val="af-ZA"/>
              </w:rPr>
              <w:softHyphen/>
              <w:t>ճակ, երբ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հետևելով վե</w:t>
            </w:r>
            <w:r w:rsidRPr="00F2718E">
              <w:rPr>
                <w:rFonts w:ascii="GHEA Grapalat" w:hAnsi="GHEA Grapalat"/>
                <w:lang w:val="af-ZA"/>
              </w:rPr>
              <w:softHyphen/>
              <w:t>րը նշված հոդ</w:t>
            </w:r>
            <w:r w:rsidRPr="00F2718E">
              <w:rPr>
                <w:rFonts w:ascii="GHEA Grapalat" w:hAnsi="GHEA Grapalat"/>
                <w:lang w:val="af-ZA"/>
              </w:rPr>
              <w:softHyphen/>
              <w:t>վա</w:t>
            </w:r>
            <w:r w:rsidRPr="00F2718E">
              <w:rPr>
                <w:rFonts w:ascii="GHEA Grapalat" w:hAnsi="GHEA Grapalat"/>
                <w:lang w:val="af-ZA"/>
              </w:rPr>
              <w:softHyphen/>
              <w:t>ծի ուղ</w:t>
            </w:r>
            <w:r w:rsidRPr="00F2718E">
              <w:rPr>
                <w:rFonts w:ascii="GHEA Grapalat" w:hAnsi="GHEA Grapalat"/>
                <w:lang w:val="af-ZA"/>
              </w:rPr>
              <w:softHyphen/>
              <w:t>ղա</w:t>
            </w:r>
            <w:r w:rsidRPr="00F2718E">
              <w:rPr>
                <w:rFonts w:ascii="GHEA Grapalat" w:hAnsi="GHEA Grapalat"/>
                <w:lang w:val="af-ZA"/>
              </w:rPr>
              <w:softHyphen/>
              <w:t>կի պա</w:t>
            </w:r>
            <w:r w:rsidRPr="00F2718E">
              <w:rPr>
                <w:rFonts w:ascii="GHEA Grapalat" w:hAnsi="GHEA Grapalat"/>
                <w:lang w:val="af-ZA"/>
              </w:rPr>
              <w:softHyphen/>
              <w:t>հանջ</w:t>
            </w:r>
            <w:r w:rsidRPr="00F2718E">
              <w:rPr>
                <w:rFonts w:ascii="GHEA Grapalat" w:hAnsi="GHEA Grapalat"/>
                <w:lang w:val="af-ZA"/>
              </w:rPr>
              <w:softHyphen/>
              <w:t>նե</w:t>
            </w:r>
            <w:r w:rsidRPr="00F2718E">
              <w:rPr>
                <w:rFonts w:ascii="GHEA Grapalat" w:hAnsi="GHEA Grapalat"/>
                <w:lang w:val="af-ZA"/>
              </w:rPr>
              <w:softHyphen/>
              <w:t>րին (ներ</w:t>
            </w:r>
            <w:r w:rsidRPr="00F2718E">
              <w:rPr>
                <w:rFonts w:ascii="GHEA Grapalat" w:hAnsi="GHEA Grapalat"/>
                <w:lang w:val="af-ZA"/>
              </w:rPr>
              <w:softHyphen/>
              <w:t>կա</w:t>
            </w:r>
            <w:r w:rsidRPr="00F2718E">
              <w:rPr>
                <w:rFonts w:ascii="GHEA Grapalat" w:hAnsi="GHEA Grapalat"/>
                <w:lang w:val="af-ZA"/>
              </w:rPr>
              <w:softHyphen/>
              <w:t>յումս դա</w:t>
            </w:r>
            <w:r w:rsidRPr="00F2718E">
              <w:rPr>
                <w:rFonts w:ascii="GHEA Grapalat" w:hAnsi="GHEA Grapalat"/>
                <w:lang w:val="af-ZA"/>
              </w:rPr>
              <w:softHyphen/>
              <w:t>տա</w:t>
            </w:r>
            <w:r w:rsidRPr="00F2718E">
              <w:rPr>
                <w:rFonts w:ascii="GHEA Grapalat" w:hAnsi="GHEA Grapalat"/>
                <w:lang w:val="af-ZA"/>
              </w:rPr>
              <w:softHyphen/>
              <w:t>կան պրակ</w:t>
            </w:r>
            <w:r w:rsidRPr="00F2718E">
              <w:rPr>
                <w:rFonts w:ascii="GHEA Grapalat" w:hAnsi="GHEA Grapalat"/>
                <w:lang w:val="af-ZA"/>
              </w:rPr>
              <w:softHyphen/>
              <w:t>տի</w:t>
            </w:r>
            <w:r w:rsidRPr="00F2718E">
              <w:rPr>
                <w:rFonts w:ascii="GHEA Grapalat" w:hAnsi="GHEA Grapalat"/>
                <w:lang w:val="af-ZA"/>
              </w:rPr>
              <w:softHyphen/>
              <w:t>կան ըն</w:t>
            </w:r>
            <w:r w:rsidRPr="00F2718E">
              <w:rPr>
                <w:rFonts w:ascii="GHEA Grapalat" w:hAnsi="GHEA Grapalat"/>
                <w:lang w:val="af-ZA"/>
              </w:rPr>
              <w:softHyphen/>
              <w:t>թա</w:t>
            </w:r>
            <w:r w:rsidRPr="00F2718E">
              <w:rPr>
                <w:rFonts w:ascii="GHEA Grapalat" w:hAnsi="GHEA Grapalat"/>
                <w:lang w:val="af-ZA"/>
              </w:rPr>
              <w:softHyphen/>
              <w:t>նում է բո</w:t>
            </w:r>
            <w:r w:rsidRPr="00F2718E">
              <w:rPr>
                <w:rFonts w:ascii="GHEA Grapalat" w:hAnsi="GHEA Grapalat"/>
                <w:lang w:val="af-ZA"/>
              </w:rPr>
              <w:softHyphen/>
              <w:t>լո</w:t>
            </w:r>
            <w:r w:rsidRPr="00F2718E">
              <w:rPr>
                <w:rFonts w:ascii="GHEA Grapalat" w:hAnsi="GHEA Grapalat"/>
                <w:lang w:val="af-ZA"/>
              </w:rPr>
              <w:softHyphen/>
              <w:t>րո</w:t>
            </w:r>
            <w:r w:rsidRPr="00F2718E">
              <w:rPr>
                <w:rFonts w:ascii="GHEA Grapalat" w:hAnsi="GHEA Grapalat"/>
                <w:lang w:val="af-ZA"/>
              </w:rPr>
              <w:softHyphen/>
              <w:t>վին այլ ուղ</w:t>
            </w:r>
            <w:r w:rsidRPr="00F2718E">
              <w:rPr>
                <w:rFonts w:ascii="GHEA Grapalat" w:hAnsi="GHEA Grapalat"/>
                <w:lang w:val="af-ZA"/>
              </w:rPr>
              <w:softHyphen/>
              <w:t>ղութ</w:t>
            </w:r>
            <w:r w:rsidRPr="00F2718E">
              <w:rPr>
                <w:rFonts w:ascii="GHEA Grapalat" w:hAnsi="GHEA Grapalat"/>
                <w:lang w:val="af-ZA"/>
              </w:rPr>
              <w:softHyphen/>
              <w:t>յամբ, և հիմ</w:t>
            </w:r>
            <w:r w:rsidRPr="00F2718E">
              <w:rPr>
                <w:rFonts w:ascii="GHEA Grapalat" w:hAnsi="GHEA Grapalat"/>
                <w:lang w:val="af-ZA"/>
              </w:rPr>
              <w:softHyphen/>
              <w:t>նա</w:t>
            </w:r>
            <w:r w:rsidRPr="00F2718E">
              <w:rPr>
                <w:rFonts w:ascii="GHEA Grapalat" w:hAnsi="GHEA Grapalat"/>
                <w:lang w:val="af-ZA"/>
              </w:rPr>
              <w:softHyphen/>
              <w:t>կա</w:t>
            </w:r>
            <w:r w:rsidRPr="00F2718E">
              <w:rPr>
                <w:rFonts w:ascii="GHEA Grapalat" w:hAnsi="GHEA Grapalat"/>
                <w:lang w:val="af-ZA"/>
              </w:rPr>
              <w:softHyphen/>
              <w:t>նում ան</w:t>
            </w:r>
            <w:r w:rsidRPr="00F2718E">
              <w:rPr>
                <w:rFonts w:ascii="GHEA Grapalat" w:hAnsi="GHEA Grapalat"/>
                <w:lang w:val="af-ZA"/>
              </w:rPr>
              <w:softHyphen/>
              <w:t>տես</w:t>
            </w:r>
            <w:r w:rsidRPr="00F2718E">
              <w:rPr>
                <w:rFonts w:ascii="GHEA Grapalat" w:hAnsi="GHEA Grapalat"/>
                <w:lang w:val="af-ZA"/>
              </w:rPr>
              <w:softHyphen/>
              <w:t>վում են դա</w:t>
            </w:r>
            <w:r w:rsidRPr="00F2718E">
              <w:rPr>
                <w:rFonts w:ascii="GHEA Grapalat" w:hAnsi="GHEA Grapalat"/>
                <w:lang w:val="af-ZA"/>
              </w:rPr>
              <w:softHyphen/>
              <w:t>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նոր</w:t>
            </w:r>
            <w:r w:rsidRPr="00F2718E">
              <w:rPr>
                <w:rFonts w:ascii="GHEA Grapalat" w:hAnsi="GHEA Grapalat"/>
                <w:lang w:val="af-ZA"/>
              </w:rPr>
              <w:softHyphen/>
              <w:t>մե</w:t>
            </w:r>
            <w:r w:rsidRPr="00F2718E">
              <w:rPr>
                <w:rFonts w:ascii="GHEA Grapalat" w:hAnsi="GHEA Grapalat"/>
                <w:lang w:val="af-ZA"/>
              </w:rPr>
              <w:softHyphen/>
              <w:t>րի ուղ</w:t>
            </w:r>
            <w:r w:rsidRPr="00F2718E">
              <w:rPr>
                <w:rFonts w:ascii="GHEA Grapalat" w:hAnsi="GHEA Grapalat"/>
                <w:lang w:val="af-ZA"/>
              </w:rPr>
              <w:softHyphen/>
              <w:t>ղա</w:t>
            </w:r>
            <w:r w:rsidRPr="00F2718E">
              <w:rPr>
                <w:rFonts w:ascii="GHEA Grapalat" w:hAnsi="GHEA Grapalat"/>
                <w:lang w:val="af-ZA"/>
              </w:rPr>
              <w:softHyphen/>
              <w:t>կի կար</w:t>
            </w:r>
            <w:r w:rsidRPr="00F2718E">
              <w:rPr>
                <w:rFonts w:ascii="GHEA Grapalat" w:hAnsi="GHEA Grapalat"/>
                <w:lang w:val="af-ZA"/>
              </w:rPr>
              <w:softHyphen/>
              <w:t>գա</w:t>
            </w:r>
            <w:r w:rsidRPr="00F2718E">
              <w:rPr>
                <w:rFonts w:ascii="GHEA Grapalat" w:hAnsi="GHEA Grapalat"/>
                <w:lang w:val="af-ZA"/>
              </w:rPr>
              <w:softHyphen/>
              <w:t>վո</w:t>
            </w:r>
            <w:r w:rsidRPr="00F2718E">
              <w:rPr>
                <w:rFonts w:ascii="GHEA Grapalat" w:hAnsi="GHEA Grapalat"/>
                <w:lang w:val="af-ZA"/>
              </w:rPr>
              <w:softHyphen/>
              <w:t>րում</w:t>
            </w:r>
            <w:r w:rsidRPr="00F2718E">
              <w:rPr>
                <w:rFonts w:ascii="GHEA Grapalat" w:hAnsi="GHEA Grapalat"/>
                <w:lang w:val="af-ZA"/>
              </w:rPr>
              <w:softHyphen/>
              <w:t>նե</w:t>
            </w:r>
            <w:r w:rsidRPr="00F2718E">
              <w:rPr>
                <w:rFonts w:ascii="GHEA Grapalat" w:hAnsi="GHEA Grapalat"/>
                <w:lang w:val="af-ZA"/>
              </w:rPr>
              <w:softHyphen/>
              <w:t>րը և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կը հայտն</w:t>
            </w:r>
            <w:r w:rsidRPr="00F2718E">
              <w:rPr>
                <w:rFonts w:ascii="GHEA Grapalat" w:hAnsi="GHEA Grapalat"/>
                <w:lang w:val="af-ZA"/>
              </w:rPr>
              <w:softHyphen/>
              <w:t>վում է ան</w:t>
            </w:r>
            <w:r w:rsidRPr="00F2718E">
              <w:rPr>
                <w:rFonts w:ascii="GHEA Grapalat" w:hAnsi="GHEA Grapalat"/>
                <w:lang w:val="af-ZA"/>
              </w:rPr>
              <w:softHyphen/>
              <w:t>մի</w:t>
            </w:r>
            <w:r w:rsidRPr="00F2718E">
              <w:rPr>
                <w:rFonts w:ascii="GHEA Grapalat" w:hAnsi="GHEA Grapalat"/>
                <w:lang w:val="af-ZA"/>
              </w:rPr>
              <w:softHyphen/>
              <w:t>ջա</w:t>
            </w:r>
            <w:r w:rsidRPr="00F2718E">
              <w:rPr>
                <w:rFonts w:ascii="GHEA Grapalat" w:hAnsi="GHEA Grapalat"/>
                <w:lang w:val="af-ZA"/>
              </w:rPr>
              <w:softHyphen/>
              <w:t>պես հայ</w:t>
            </w:r>
            <w:r w:rsidRPr="00F2718E">
              <w:rPr>
                <w:rFonts w:ascii="GHEA Grapalat" w:hAnsi="GHEA Grapalat"/>
                <w:lang w:val="af-ZA"/>
              </w:rPr>
              <w:softHyphen/>
              <w:t>ցը կամ գոր</w:t>
            </w:r>
            <w:r w:rsidRPr="00F2718E">
              <w:rPr>
                <w:rFonts w:ascii="GHEA Grapalat" w:hAnsi="GHEA Grapalat"/>
                <w:lang w:val="af-ZA"/>
              </w:rPr>
              <w:softHyphen/>
              <w:t>ծը ստա</w:t>
            </w:r>
            <w:r w:rsidRPr="00F2718E">
              <w:rPr>
                <w:rFonts w:ascii="GHEA Grapalat" w:hAnsi="GHEA Grapalat"/>
                <w:lang w:val="af-ZA"/>
              </w:rPr>
              <w:softHyphen/>
              <w:t>նա</w:t>
            </w:r>
            <w:r w:rsidRPr="00F2718E">
              <w:rPr>
                <w:rFonts w:ascii="GHEA Grapalat" w:hAnsi="GHEA Grapalat"/>
                <w:lang w:val="af-ZA"/>
              </w:rPr>
              <w:softHyphen/>
              <w:t>լու ժա</w:t>
            </w:r>
            <w:r w:rsidRPr="00F2718E">
              <w:rPr>
                <w:rFonts w:ascii="GHEA Grapalat" w:hAnsi="GHEA Grapalat"/>
                <w:lang w:val="af-ZA"/>
              </w:rPr>
              <w:softHyphen/>
              <w:t>մա</w:t>
            </w:r>
            <w:r w:rsidRPr="00F2718E">
              <w:rPr>
                <w:rFonts w:ascii="GHEA Grapalat" w:hAnsi="GHEA Grapalat"/>
                <w:lang w:val="af-ZA"/>
              </w:rPr>
              <w:softHyphen/>
              <w:t>նակ՝ ա</w:t>
            </w:r>
            <w:r w:rsidRPr="00F2718E">
              <w:rPr>
                <w:rFonts w:ascii="GHEA Grapalat" w:hAnsi="GHEA Grapalat"/>
                <w:lang w:val="af-ZA"/>
              </w:rPr>
              <w:softHyphen/>
              <w:t>ռանց որևէ լու</w:t>
            </w:r>
            <w:r w:rsidRPr="00F2718E">
              <w:rPr>
                <w:rFonts w:ascii="GHEA Grapalat" w:hAnsi="GHEA Grapalat"/>
                <w:lang w:val="af-ZA"/>
              </w:rPr>
              <w:softHyphen/>
              <w:t>ծում տա</w:t>
            </w:r>
            <w:r w:rsidRPr="00F2718E">
              <w:rPr>
                <w:rFonts w:ascii="GHEA Grapalat" w:hAnsi="GHEA Grapalat"/>
                <w:lang w:val="af-ZA"/>
              </w:rPr>
              <w:softHyphen/>
              <w:t>լու և առանց որևէ դա</w:t>
            </w:r>
            <w:r w:rsidRPr="00F2718E">
              <w:rPr>
                <w:rFonts w:ascii="GHEA Grapalat" w:hAnsi="GHEA Grapalat"/>
                <w:lang w:val="af-ZA"/>
              </w:rPr>
              <w:softHyphen/>
              <w:t>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յան)՝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տում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կամ բա</w:t>
            </w:r>
            <w:r w:rsidRPr="00F2718E">
              <w:rPr>
                <w:rFonts w:ascii="GHEA Grapalat" w:hAnsi="GHEA Grapalat"/>
                <w:lang w:val="af-ZA"/>
              </w:rPr>
              <w:softHyphen/>
              <w:t>ցար</w:t>
            </w:r>
            <w:r w:rsidRPr="00F2718E">
              <w:rPr>
                <w:rFonts w:ascii="GHEA Grapalat" w:hAnsi="GHEA Grapalat"/>
                <w:lang w:val="af-ZA"/>
              </w:rPr>
              <w:softHyphen/>
              <w:t>կի վե</w:t>
            </w:r>
            <w:r w:rsidRPr="00F2718E">
              <w:rPr>
                <w:rFonts w:ascii="GHEA Grapalat" w:hAnsi="GHEA Grapalat"/>
                <w:lang w:val="af-ZA"/>
              </w:rPr>
              <w:softHyphen/>
              <w:t>րա</w:t>
            </w:r>
            <w:r w:rsidRPr="00F2718E">
              <w:rPr>
                <w:rFonts w:ascii="GHEA Grapalat" w:hAnsi="GHEA Grapalat"/>
                <w:lang w:val="af-ZA"/>
              </w:rPr>
              <w:softHyphen/>
              <w:t>բեր</w:t>
            </w:r>
            <w:r w:rsidRPr="00F2718E">
              <w:rPr>
                <w:rFonts w:ascii="GHEA Grapalat" w:hAnsi="GHEA Grapalat"/>
                <w:lang w:val="af-ZA"/>
              </w:rPr>
              <w:softHyphen/>
              <w:t>յալ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յուն կա</w:t>
            </w:r>
            <w:r w:rsidRPr="00F2718E">
              <w:rPr>
                <w:rFonts w:ascii="GHEA Grapalat" w:hAnsi="GHEA Grapalat"/>
                <w:lang w:val="af-ZA"/>
              </w:rPr>
              <w:softHyphen/>
              <w:t>տա</w:t>
            </w:r>
            <w:r w:rsidRPr="00F2718E">
              <w:rPr>
                <w:rFonts w:ascii="GHEA Grapalat" w:hAnsi="GHEA Grapalat"/>
                <w:lang w:val="af-ZA"/>
              </w:rPr>
              <w:softHyphen/>
              <w:t>րե</w:t>
            </w:r>
            <w:r w:rsidRPr="00F2718E">
              <w:rPr>
                <w:rFonts w:ascii="GHEA Grapalat" w:hAnsi="GHEA Grapalat"/>
                <w:lang w:val="af-ZA"/>
              </w:rPr>
              <w:softHyphen/>
              <w:t>լու վե</w:t>
            </w:r>
            <w:r w:rsidRPr="00F2718E">
              <w:rPr>
                <w:rFonts w:ascii="GHEA Grapalat" w:hAnsi="GHEA Grapalat"/>
                <w:lang w:val="af-ZA"/>
              </w:rPr>
              <w:softHyphen/>
              <w:t>րա</w:t>
            </w:r>
            <w:r w:rsidRPr="00F2718E">
              <w:rPr>
                <w:rFonts w:ascii="GHEA Grapalat" w:hAnsi="GHEA Grapalat"/>
                <w:lang w:val="af-ZA"/>
              </w:rPr>
              <w:softHyphen/>
              <w:t>բեր</w:t>
            </w:r>
            <w:r w:rsidRPr="00F2718E">
              <w:rPr>
                <w:rFonts w:ascii="GHEA Grapalat" w:hAnsi="GHEA Grapalat"/>
                <w:lang w:val="af-ZA"/>
              </w:rPr>
              <w:softHyphen/>
              <w:t>յալ, ստիպ</w:t>
            </w:r>
            <w:r w:rsidRPr="00F2718E">
              <w:rPr>
                <w:rFonts w:ascii="GHEA Grapalat" w:hAnsi="GHEA Grapalat"/>
                <w:lang w:val="af-ZA"/>
              </w:rPr>
              <w:softHyphen/>
              <w:t>ված է ա</w:t>
            </w:r>
            <w:r w:rsidRPr="00F2718E">
              <w:rPr>
                <w:rFonts w:ascii="GHEA Grapalat" w:hAnsi="GHEA Grapalat"/>
                <w:lang w:val="af-ZA"/>
              </w:rPr>
              <w:softHyphen/>
              <w:t>մեն դեպ</w:t>
            </w:r>
            <w:r w:rsidRPr="00F2718E">
              <w:rPr>
                <w:rFonts w:ascii="GHEA Grapalat" w:hAnsi="GHEA Grapalat"/>
                <w:lang w:val="af-ZA"/>
              </w:rPr>
              <w:softHyphen/>
              <w:t>քում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մումն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լու հար</w:t>
            </w:r>
            <w:r w:rsidRPr="00F2718E">
              <w:rPr>
                <w:rFonts w:ascii="GHEA Grapalat" w:hAnsi="GHEA Grapalat"/>
                <w:lang w:val="af-ZA"/>
              </w:rPr>
              <w:softHyphen/>
              <w:t>ցին լու</w:t>
            </w:r>
            <w:r w:rsidRPr="00F2718E">
              <w:rPr>
                <w:rFonts w:ascii="GHEA Grapalat" w:hAnsi="GHEA Grapalat"/>
                <w:lang w:val="af-ZA"/>
              </w:rPr>
              <w:softHyphen/>
              <w:t>ծում տալ, այ</w:t>
            </w:r>
            <w:r w:rsidRPr="00F2718E">
              <w:rPr>
                <w:rFonts w:ascii="GHEA Grapalat" w:hAnsi="GHEA Grapalat"/>
                <w:lang w:val="af-ZA"/>
              </w:rPr>
              <w:softHyphen/>
              <w:t>նու</w:t>
            </w:r>
            <w:r w:rsidRPr="00F2718E">
              <w:rPr>
                <w:rFonts w:ascii="GHEA Grapalat" w:hAnsi="GHEA Grapalat"/>
                <w:lang w:val="af-ZA"/>
              </w:rPr>
              <w:softHyphen/>
              <w:t>հետև՝ ժամ</w:t>
            </w:r>
            <w:r w:rsidRPr="00F2718E">
              <w:rPr>
                <w:rFonts w:ascii="GHEA Grapalat" w:hAnsi="GHEA Grapalat"/>
                <w:lang w:val="af-ZA"/>
              </w:rPr>
              <w:softHyphen/>
              <w:t>կետ</w:t>
            </w:r>
            <w:r w:rsidRPr="00F2718E">
              <w:rPr>
                <w:rFonts w:ascii="GHEA Grapalat" w:hAnsi="GHEA Grapalat"/>
                <w:lang w:val="af-ZA"/>
              </w:rPr>
              <w:softHyphen/>
              <w:t>նե</w:t>
            </w:r>
            <w:r w:rsidRPr="00F2718E">
              <w:rPr>
                <w:rFonts w:ascii="GHEA Grapalat" w:hAnsi="GHEA Grapalat"/>
                <w:lang w:val="af-ZA"/>
              </w:rPr>
              <w:softHyphen/>
              <w:t>րը լրանա</w:t>
            </w:r>
            <w:r w:rsidRPr="00F2718E">
              <w:rPr>
                <w:rFonts w:ascii="GHEA Grapalat" w:hAnsi="GHEA Grapalat"/>
                <w:lang w:val="af-ZA"/>
              </w:rPr>
              <w:softHyphen/>
              <w:t>լուց հե</w:t>
            </w:r>
            <w:r w:rsidRPr="00F2718E">
              <w:rPr>
                <w:rFonts w:ascii="GHEA Grapalat" w:hAnsi="GHEA Grapalat"/>
                <w:lang w:val="af-ZA"/>
              </w:rPr>
              <w:softHyphen/>
              <w:t>տո նոր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w:t>
            </w:r>
            <w:r w:rsidRPr="00F2718E">
              <w:rPr>
                <w:rFonts w:ascii="GHEA Grapalat" w:hAnsi="GHEA Grapalat"/>
                <w:lang w:val="af-ZA"/>
              </w:rPr>
              <w:softHyphen/>
              <w:t>րել և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տում ի</w:t>
            </w:r>
            <w:r w:rsidRPr="00F2718E">
              <w:rPr>
                <w:rFonts w:ascii="GHEA Grapalat" w:hAnsi="GHEA Grapalat"/>
                <w:lang w:val="af-ZA"/>
              </w:rPr>
              <w:softHyphen/>
              <w:t>րա</w:t>
            </w:r>
            <w:r w:rsidRPr="00F2718E">
              <w:rPr>
                <w:rFonts w:ascii="GHEA Grapalat" w:hAnsi="GHEA Grapalat"/>
                <w:lang w:val="af-ZA"/>
              </w:rPr>
              <w:softHyphen/>
              <w:t>կա</w:t>
            </w:r>
            <w:r w:rsidRPr="00F2718E">
              <w:rPr>
                <w:rFonts w:ascii="GHEA Grapalat" w:hAnsi="GHEA Grapalat"/>
                <w:lang w:val="af-ZA"/>
              </w:rPr>
              <w:softHyphen/>
              <w:t>նաց</w:t>
            </w:r>
            <w:r w:rsidRPr="00F2718E">
              <w:rPr>
                <w:rFonts w:ascii="GHEA Grapalat" w:hAnsi="GHEA Grapalat"/>
                <w:lang w:val="af-ZA"/>
              </w:rPr>
              <w:softHyphen/>
              <w:t>նել այդ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յուն</w:t>
            </w:r>
            <w:r w:rsidRPr="00F2718E">
              <w:rPr>
                <w:rFonts w:ascii="GHEA Grapalat" w:hAnsi="GHEA Grapalat"/>
                <w:lang w:val="af-ZA"/>
              </w:rPr>
              <w:softHyphen/>
              <w:t>նե</w:t>
            </w:r>
            <w:r w:rsidRPr="00F2718E">
              <w:rPr>
                <w:rFonts w:ascii="GHEA Grapalat" w:hAnsi="GHEA Grapalat"/>
                <w:lang w:val="af-ZA"/>
              </w:rPr>
              <w:softHyphen/>
              <w:t>րը: Ակն</w:t>
            </w:r>
            <w:r w:rsidRPr="00F2718E">
              <w:rPr>
                <w:rFonts w:ascii="GHEA Grapalat" w:hAnsi="GHEA Grapalat"/>
                <w:lang w:val="af-ZA"/>
              </w:rPr>
              <w:softHyphen/>
              <w:t>հայտ է, որ դա իր հետ բե</w:t>
            </w:r>
            <w:r w:rsidRPr="00F2718E">
              <w:rPr>
                <w:rFonts w:ascii="GHEA Grapalat" w:hAnsi="GHEA Grapalat"/>
                <w:lang w:val="af-ZA"/>
              </w:rPr>
              <w:softHyphen/>
              <w:t>րում է ար</w:t>
            </w:r>
            <w:r w:rsidRPr="00F2718E">
              <w:rPr>
                <w:rFonts w:ascii="GHEA Grapalat" w:hAnsi="GHEA Grapalat"/>
                <w:lang w:val="af-ZA"/>
              </w:rPr>
              <w:softHyphen/>
              <w:t>դեն իսկ ինքնաբացարկի հիմ</w:t>
            </w:r>
            <w:r w:rsidRPr="00F2718E">
              <w:rPr>
                <w:rFonts w:ascii="GHEA Grapalat" w:hAnsi="GHEA Grapalat"/>
                <w:lang w:val="af-ZA"/>
              </w:rPr>
              <w:softHyphen/>
              <w:t>քե</w:t>
            </w:r>
            <w:r w:rsidRPr="00F2718E">
              <w:rPr>
                <w:rFonts w:ascii="GHEA Grapalat" w:hAnsi="GHEA Grapalat"/>
                <w:lang w:val="af-ZA"/>
              </w:rPr>
              <w:softHyphen/>
              <w:t>րի պայ</w:t>
            </w:r>
            <w:r w:rsidRPr="00F2718E">
              <w:rPr>
                <w:rFonts w:ascii="GHEA Grapalat" w:hAnsi="GHEA Grapalat"/>
                <w:lang w:val="af-ZA"/>
              </w:rPr>
              <w:softHyphen/>
              <w:t>ման</w:t>
            </w:r>
            <w:r w:rsidRPr="00F2718E">
              <w:rPr>
                <w:rFonts w:ascii="GHEA Grapalat" w:hAnsi="GHEA Grapalat"/>
                <w:lang w:val="af-ZA"/>
              </w:rPr>
              <w:softHyphen/>
              <w:t>նե</w:t>
            </w:r>
            <w:r w:rsidRPr="00F2718E">
              <w:rPr>
                <w:rFonts w:ascii="GHEA Grapalat" w:hAnsi="GHEA Grapalat"/>
                <w:lang w:val="af-ZA"/>
              </w:rPr>
              <w:softHyphen/>
              <w:t>րում կա</w:t>
            </w:r>
            <w:r w:rsidRPr="00F2718E">
              <w:rPr>
                <w:rFonts w:ascii="GHEA Grapalat" w:hAnsi="GHEA Grapalat"/>
                <w:lang w:val="af-ZA"/>
              </w:rPr>
              <w:softHyphen/>
              <w:t>տա</w:t>
            </w:r>
            <w:r w:rsidRPr="00F2718E">
              <w:rPr>
                <w:rFonts w:ascii="GHEA Grapalat" w:hAnsi="GHEA Grapalat"/>
                <w:lang w:val="af-ZA"/>
              </w:rPr>
              <w:softHyphen/>
              <w:t>րած դա</w:t>
            </w:r>
            <w:r w:rsidRPr="00F2718E">
              <w:rPr>
                <w:rFonts w:ascii="GHEA Grapalat" w:hAnsi="GHEA Grapalat"/>
                <w:lang w:val="af-ZA"/>
              </w:rPr>
              <w:softHyphen/>
              <w:t>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յան վերաբերյալ կող</w:t>
            </w:r>
            <w:r w:rsidRPr="00F2718E">
              <w:rPr>
                <w:rFonts w:ascii="GHEA Grapalat" w:hAnsi="GHEA Grapalat"/>
                <w:lang w:val="af-ZA"/>
              </w:rPr>
              <w:softHyphen/>
              <w:t>մե</w:t>
            </w:r>
            <w:r w:rsidRPr="00F2718E">
              <w:rPr>
                <w:rFonts w:ascii="GHEA Grapalat" w:hAnsi="GHEA Grapalat"/>
                <w:lang w:val="af-ZA"/>
              </w:rPr>
              <w:softHyphen/>
              <w:t>րի՝ ար</w:t>
            </w:r>
            <w:r w:rsidRPr="00F2718E">
              <w:rPr>
                <w:rFonts w:ascii="GHEA Grapalat" w:hAnsi="GHEA Grapalat"/>
                <w:lang w:val="af-ZA"/>
              </w:rPr>
              <w:softHyphen/>
              <w:t>դա</w:t>
            </w:r>
            <w:r w:rsidRPr="00F2718E">
              <w:rPr>
                <w:rFonts w:ascii="GHEA Grapalat" w:hAnsi="GHEA Grapalat"/>
                <w:lang w:val="af-ZA"/>
              </w:rPr>
              <w:softHyphen/>
              <w:t>րա</w:t>
            </w:r>
            <w:r w:rsidRPr="00F2718E">
              <w:rPr>
                <w:rFonts w:ascii="GHEA Grapalat" w:hAnsi="GHEA Grapalat"/>
                <w:lang w:val="af-ZA"/>
              </w:rPr>
              <w:softHyphen/>
              <w:t>դա</w:t>
            </w:r>
            <w:r w:rsidRPr="00F2718E">
              <w:rPr>
                <w:rFonts w:ascii="GHEA Grapalat" w:hAnsi="GHEA Grapalat"/>
                <w:lang w:val="af-ZA"/>
              </w:rPr>
              <w:softHyphen/>
              <w:t>տութ</w:t>
            </w:r>
            <w:r w:rsidRPr="00F2718E">
              <w:rPr>
                <w:rFonts w:ascii="GHEA Grapalat" w:hAnsi="GHEA Grapalat"/>
                <w:lang w:val="af-ZA"/>
              </w:rPr>
              <w:softHyphen/>
              <w:t>յա</w:t>
            </w:r>
            <w:r w:rsidRPr="00F2718E">
              <w:rPr>
                <w:rFonts w:ascii="GHEA Grapalat" w:hAnsi="GHEA Grapalat"/>
                <w:lang w:val="af-ZA"/>
              </w:rPr>
              <w:softHyphen/>
              <w:t>նը վստա</w:t>
            </w:r>
            <w:r w:rsidRPr="00F2718E">
              <w:rPr>
                <w:rFonts w:ascii="GHEA Grapalat" w:hAnsi="GHEA Grapalat"/>
                <w:lang w:val="af-ZA"/>
              </w:rPr>
              <w:softHyphen/>
              <w:t>հե</w:t>
            </w:r>
            <w:r w:rsidRPr="00F2718E">
              <w:rPr>
                <w:rFonts w:ascii="GHEA Grapalat" w:hAnsi="GHEA Grapalat"/>
                <w:lang w:val="af-ZA"/>
              </w:rPr>
              <w:softHyphen/>
              <w:t>լու առն</w:t>
            </w:r>
            <w:r w:rsidRPr="00F2718E">
              <w:rPr>
                <w:rFonts w:ascii="GHEA Grapalat" w:hAnsi="GHEA Grapalat"/>
                <w:lang w:val="af-ZA"/>
              </w:rPr>
              <w:softHyphen/>
              <w:t>վազն ոչ բա</w:t>
            </w:r>
            <w:r w:rsidRPr="00F2718E">
              <w:rPr>
                <w:rFonts w:ascii="GHEA Grapalat" w:hAnsi="GHEA Grapalat"/>
                <w:lang w:val="af-ZA"/>
              </w:rPr>
              <w:softHyphen/>
              <w:t>վա</w:t>
            </w:r>
            <w:r w:rsidRPr="00F2718E">
              <w:rPr>
                <w:rFonts w:ascii="GHEA Grapalat" w:hAnsi="GHEA Grapalat"/>
                <w:lang w:val="af-ZA"/>
              </w:rPr>
              <w:softHyphen/>
              <w:t>րար գնահա</w:t>
            </w:r>
            <w:r w:rsidRPr="00F2718E">
              <w:rPr>
                <w:rFonts w:ascii="GHEA Grapalat" w:hAnsi="GHEA Grapalat"/>
                <w:lang w:val="af-ZA"/>
              </w:rPr>
              <w:softHyphen/>
              <w:t>տա</w:t>
            </w:r>
            <w:r w:rsidRPr="00F2718E">
              <w:rPr>
                <w:rFonts w:ascii="GHEA Grapalat" w:hAnsi="GHEA Grapalat"/>
                <w:lang w:val="af-ZA"/>
              </w:rPr>
              <w:softHyphen/>
              <w:t>կա</w:t>
            </w:r>
            <w:r w:rsidRPr="00F2718E">
              <w:rPr>
                <w:rFonts w:ascii="GHEA Grapalat" w:hAnsi="GHEA Grapalat"/>
                <w:lang w:val="af-ZA"/>
              </w:rPr>
              <w:softHyphen/>
              <w:t>նի, ո</w:t>
            </w:r>
            <w:r w:rsidRPr="00F2718E">
              <w:rPr>
                <w:rFonts w:ascii="GHEA Grapalat" w:hAnsi="GHEA Grapalat"/>
                <w:lang w:val="af-ZA"/>
              </w:rPr>
              <w:softHyphen/>
              <w:t>րը հիմ</w:t>
            </w:r>
            <w:r w:rsidRPr="00F2718E">
              <w:rPr>
                <w:rFonts w:ascii="GHEA Grapalat" w:hAnsi="GHEA Grapalat"/>
                <w:lang w:val="af-ZA"/>
              </w:rPr>
              <w:softHyphen/>
              <w:t>նա</w:t>
            </w:r>
            <w:r w:rsidRPr="00F2718E">
              <w:rPr>
                <w:rFonts w:ascii="GHEA Grapalat" w:hAnsi="GHEA Grapalat"/>
                <w:lang w:val="af-ZA"/>
              </w:rPr>
              <w:softHyphen/>
              <w:t>կա</w:t>
            </w:r>
            <w:r w:rsidRPr="00F2718E">
              <w:rPr>
                <w:rFonts w:ascii="GHEA Grapalat" w:hAnsi="GHEA Grapalat"/>
                <w:lang w:val="af-ZA"/>
              </w:rPr>
              <w:softHyphen/>
              <w:t>նում կա</w:t>
            </w:r>
            <w:r w:rsidRPr="00F2718E">
              <w:rPr>
                <w:rFonts w:ascii="GHEA Grapalat" w:hAnsi="GHEA Grapalat"/>
                <w:lang w:val="af-ZA"/>
              </w:rPr>
              <w:softHyphen/>
              <w:t>րող է լի</w:t>
            </w:r>
            <w:r w:rsidRPr="00F2718E">
              <w:rPr>
                <w:rFonts w:ascii="GHEA Grapalat" w:hAnsi="GHEA Grapalat"/>
                <w:lang w:val="af-ZA"/>
              </w:rPr>
              <w:softHyphen/>
              <w:t>նել ա</w:t>
            </w:r>
            <w:r w:rsidRPr="00F2718E">
              <w:rPr>
                <w:rFonts w:ascii="GHEA Grapalat" w:hAnsi="GHEA Grapalat"/>
                <w:lang w:val="af-ZA"/>
              </w:rPr>
              <w:softHyphen/>
              <w:t>վե</w:t>
            </w:r>
            <w:r w:rsidRPr="00F2718E">
              <w:rPr>
                <w:rFonts w:ascii="GHEA Grapalat" w:hAnsi="GHEA Grapalat"/>
                <w:lang w:val="af-ZA"/>
              </w:rPr>
              <w:softHyphen/>
              <w:t>լին քան ար</w:t>
            </w:r>
            <w:r w:rsidRPr="00F2718E">
              <w:rPr>
                <w:rFonts w:ascii="GHEA Grapalat" w:hAnsi="GHEA Grapalat"/>
                <w:lang w:val="af-ZA"/>
              </w:rPr>
              <w:softHyphen/>
              <w:t>դա</w:t>
            </w:r>
            <w:r w:rsidRPr="00F2718E">
              <w:rPr>
                <w:rFonts w:ascii="GHEA Grapalat" w:hAnsi="GHEA Grapalat"/>
                <w:lang w:val="af-ZA"/>
              </w:rPr>
              <w:softHyphen/>
              <w:t>րաց</w:t>
            </w:r>
            <w:r w:rsidRPr="00F2718E">
              <w:rPr>
                <w:rFonts w:ascii="GHEA Grapalat" w:hAnsi="GHEA Grapalat"/>
                <w:lang w:val="af-ZA"/>
              </w:rPr>
              <w:softHyphen/>
              <w:t>ված, ինչ</w:t>
            </w:r>
            <w:r w:rsidRPr="00F2718E">
              <w:rPr>
                <w:rFonts w:ascii="GHEA Grapalat" w:hAnsi="GHEA Grapalat"/>
                <w:lang w:val="af-ZA"/>
              </w:rPr>
              <w:softHyphen/>
              <w:t>պես նաև կա</w:t>
            </w:r>
            <w:r w:rsidRPr="00F2718E">
              <w:rPr>
                <w:rFonts w:ascii="GHEA Grapalat" w:hAnsi="GHEA Grapalat"/>
                <w:lang w:val="af-ZA"/>
              </w:rPr>
              <w:softHyphen/>
              <w:t>րող է բե</w:t>
            </w:r>
            <w:r w:rsidRPr="00F2718E">
              <w:rPr>
                <w:rFonts w:ascii="GHEA Grapalat" w:hAnsi="GHEA Grapalat"/>
                <w:lang w:val="af-ZA"/>
              </w:rPr>
              <w:softHyphen/>
              <w:t>րել գոր</w:t>
            </w:r>
            <w:r w:rsidRPr="00F2718E">
              <w:rPr>
                <w:rFonts w:ascii="GHEA Grapalat" w:hAnsi="GHEA Grapalat"/>
                <w:lang w:val="af-ZA"/>
              </w:rPr>
              <w:softHyphen/>
              <w:t>ծի արդ</w:t>
            </w:r>
            <w:r w:rsidRPr="00F2718E">
              <w:rPr>
                <w:rFonts w:ascii="GHEA Grapalat" w:hAnsi="GHEA Grapalat"/>
                <w:lang w:val="af-ZA"/>
              </w:rPr>
              <w:softHyphen/>
              <w:t>յու</w:t>
            </w:r>
            <w:r w:rsidRPr="00F2718E">
              <w:rPr>
                <w:rFonts w:ascii="GHEA Grapalat" w:hAnsi="GHEA Grapalat"/>
                <w:lang w:val="af-ZA"/>
              </w:rPr>
              <w:softHyphen/>
              <w:t>նա</w:t>
            </w:r>
            <w:r w:rsidRPr="00F2718E">
              <w:rPr>
                <w:rFonts w:ascii="GHEA Grapalat" w:hAnsi="GHEA Grapalat"/>
                <w:lang w:val="af-ZA"/>
              </w:rPr>
              <w:softHyphen/>
              <w:t>վետ քննութ</w:t>
            </w:r>
            <w:r w:rsidRPr="00F2718E">
              <w:rPr>
                <w:rFonts w:ascii="GHEA Grapalat" w:hAnsi="GHEA Grapalat"/>
                <w:lang w:val="af-ZA"/>
              </w:rPr>
              <w:softHyphen/>
              <w:t>յան, գոր</w:t>
            </w:r>
            <w:r w:rsidRPr="00F2718E">
              <w:rPr>
                <w:rFonts w:ascii="GHEA Grapalat" w:hAnsi="GHEA Grapalat"/>
                <w:lang w:val="af-ZA"/>
              </w:rPr>
              <w:softHyphen/>
              <w:t>ծը ող</w:t>
            </w:r>
            <w:r w:rsidRPr="00F2718E">
              <w:rPr>
                <w:rFonts w:ascii="GHEA Grapalat" w:hAnsi="GHEA Grapalat"/>
                <w:lang w:val="af-ZA"/>
              </w:rPr>
              <w:softHyphen/>
              <w:t>ջա</w:t>
            </w:r>
            <w:r w:rsidRPr="00F2718E">
              <w:rPr>
                <w:rFonts w:ascii="GHEA Grapalat" w:hAnsi="GHEA Grapalat"/>
                <w:lang w:val="af-ZA"/>
              </w:rPr>
              <w:softHyphen/>
              <w:t>միտ ժամ</w:t>
            </w:r>
            <w:r w:rsidRPr="00F2718E">
              <w:rPr>
                <w:rFonts w:ascii="GHEA Grapalat" w:hAnsi="GHEA Grapalat"/>
                <w:lang w:val="af-ZA"/>
              </w:rPr>
              <w:softHyphen/>
              <w:t>կե</w:t>
            </w:r>
            <w:r w:rsidRPr="00F2718E">
              <w:rPr>
                <w:rFonts w:ascii="GHEA Grapalat" w:hAnsi="GHEA Grapalat"/>
                <w:lang w:val="af-ZA"/>
              </w:rPr>
              <w:softHyphen/>
              <w:t>տում քննե</w:t>
            </w:r>
            <w:r w:rsidRPr="00F2718E">
              <w:rPr>
                <w:rFonts w:ascii="GHEA Grapalat" w:hAnsi="GHEA Grapalat"/>
                <w:lang w:val="af-ZA"/>
              </w:rPr>
              <w:softHyphen/>
              <w:t>լու սկզբունք</w:t>
            </w:r>
            <w:r w:rsidRPr="00F2718E">
              <w:rPr>
                <w:rFonts w:ascii="GHEA Grapalat" w:hAnsi="GHEA Grapalat"/>
                <w:lang w:val="af-ZA"/>
              </w:rPr>
              <w:softHyphen/>
              <w:t>նե</w:t>
            </w:r>
            <w:r w:rsidRPr="00F2718E">
              <w:rPr>
                <w:rFonts w:ascii="GHEA Grapalat" w:hAnsi="GHEA Grapalat"/>
                <w:lang w:val="af-ZA"/>
              </w:rPr>
              <w:softHyphen/>
              <w:t>րի, ինչ</w:t>
            </w:r>
            <w:r w:rsidRPr="00F2718E">
              <w:rPr>
                <w:rFonts w:ascii="GHEA Grapalat" w:hAnsi="GHEA Grapalat"/>
                <w:lang w:val="af-ZA"/>
              </w:rPr>
              <w:softHyphen/>
              <w:t>պես նաև դա</w:t>
            </w:r>
            <w:r w:rsidRPr="00F2718E">
              <w:rPr>
                <w:rFonts w:ascii="GHEA Grapalat" w:hAnsi="GHEA Grapalat"/>
                <w:lang w:val="af-ZA"/>
              </w:rPr>
              <w:softHyphen/>
              <w:t>տա</w:t>
            </w:r>
            <w:r w:rsidRPr="00F2718E">
              <w:rPr>
                <w:rFonts w:ascii="GHEA Grapalat" w:hAnsi="GHEA Grapalat"/>
                <w:lang w:val="af-ZA"/>
              </w:rPr>
              <w:softHyphen/>
              <w:t>կան պաշտ</w:t>
            </w:r>
            <w:r w:rsidRPr="00F2718E">
              <w:rPr>
                <w:rFonts w:ascii="GHEA Grapalat" w:hAnsi="GHEA Grapalat"/>
                <w:lang w:val="af-ZA"/>
              </w:rPr>
              <w:softHyphen/>
              <w:t>պա</w:t>
            </w:r>
            <w:r w:rsidRPr="00F2718E">
              <w:rPr>
                <w:rFonts w:ascii="GHEA Grapalat" w:hAnsi="GHEA Grapalat"/>
                <w:lang w:val="af-ZA"/>
              </w:rPr>
              <w:softHyphen/>
              <w:t>նութ</w:t>
            </w:r>
            <w:r w:rsidRPr="00F2718E">
              <w:rPr>
                <w:rFonts w:ascii="GHEA Grapalat" w:hAnsi="GHEA Grapalat"/>
                <w:lang w:val="af-ZA"/>
              </w:rPr>
              <w:softHyphen/>
              <w:t>յան ի</w:t>
            </w:r>
            <w:r w:rsidRPr="00F2718E">
              <w:rPr>
                <w:rFonts w:ascii="GHEA Grapalat" w:hAnsi="GHEA Grapalat"/>
                <w:lang w:val="af-ZA"/>
              </w:rPr>
              <w:softHyphen/>
              <w:t>րա</w:t>
            </w:r>
            <w:r w:rsidRPr="00F2718E">
              <w:rPr>
                <w:rFonts w:ascii="GHEA Grapalat" w:hAnsi="GHEA Grapalat"/>
                <w:lang w:val="af-ZA"/>
              </w:rPr>
              <w:softHyphen/>
              <w:t>վուն</w:t>
            </w:r>
            <w:r w:rsidRPr="00F2718E">
              <w:rPr>
                <w:rFonts w:ascii="GHEA Grapalat" w:hAnsi="GHEA Grapalat"/>
                <w:lang w:val="af-ZA"/>
              </w:rPr>
              <w:softHyphen/>
              <w:t>քի կո</w:t>
            </w:r>
            <w:r w:rsidRPr="00F2718E">
              <w:rPr>
                <w:rFonts w:ascii="GHEA Grapalat" w:hAnsi="GHEA Grapalat"/>
                <w:lang w:val="af-ZA"/>
              </w:rPr>
              <w:softHyphen/>
              <w:t>պիտ խախ</w:t>
            </w:r>
            <w:r w:rsidRPr="00F2718E">
              <w:rPr>
                <w:rFonts w:ascii="GHEA Grapalat" w:hAnsi="GHEA Grapalat"/>
                <w:lang w:val="af-ZA"/>
              </w:rPr>
              <w:softHyphen/>
              <w:t>տում</w:t>
            </w:r>
            <w:r w:rsidRPr="00F2718E">
              <w:rPr>
                <w:rFonts w:ascii="GHEA Grapalat" w:hAnsi="GHEA Grapalat"/>
                <w:lang w:val="af-ZA"/>
              </w:rPr>
              <w:softHyphen/>
              <w:t>նե</w:t>
            </w:r>
            <w:r w:rsidRPr="00F2718E">
              <w:rPr>
                <w:rFonts w:ascii="GHEA Grapalat" w:hAnsi="GHEA Grapalat"/>
                <w:lang w:val="af-ZA"/>
              </w:rPr>
              <w:softHyphen/>
              <w:t>րի:</w:t>
            </w:r>
          </w:p>
          <w:p w14:paraId="5104CC8A"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Նման խնդիր</w:t>
            </w:r>
            <w:r w:rsidRPr="00F2718E">
              <w:rPr>
                <w:rFonts w:ascii="GHEA Grapalat" w:hAnsi="GHEA Grapalat"/>
                <w:lang w:val="af-ZA"/>
              </w:rPr>
              <w:softHyphen/>
              <w:t>նե</w:t>
            </w:r>
            <w:r w:rsidRPr="00F2718E">
              <w:rPr>
                <w:rFonts w:ascii="GHEA Grapalat" w:hAnsi="GHEA Grapalat"/>
                <w:lang w:val="af-ZA"/>
              </w:rPr>
              <w:softHyphen/>
              <w:t>րը լու</w:t>
            </w:r>
            <w:r w:rsidRPr="00F2718E">
              <w:rPr>
                <w:rFonts w:ascii="GHEA Grapalat" w:hAnsi="GHEA Grapalat"/>
                <w:lang w:val="af-ZA"/>
              </w:rPr>
              <w:softHyphen/>
              <w:t>ծե</w:t>
            </w:r>
            <w:r w:rsidRPr="00F2718E">
              <w:rPr>
                <w:rFonts w:ascii="GHEA Grapalat" w:hAnsi="GHEA Grapalat"/>
                <w:lang w:val="af-ZA"/>
              </w:rPr>
              <w:softHyphen/>
              <w:t>լու նպա</w:t>
            </w:r>
            <w:r w:rsidRPr="00F2718E">
              <w:rPr>
                <w:rFonts w:ascii="GHEA Grapalat" w:hAnsi="GHEA Grapalat"/>
                <w:lang w:val="af-ZA"/>
              </w:rPr>
              <w:softHyphen/>
              <w:t>տա</w:t>
            </w:r>
            <w:r w:rsidRPr="00F2718E">
              <w:rPr>
                <w:rFonts w:ascii="GHEA Grapalat" w:hAnsi="GHEA Grapalat"/>
                <w:lang w:val="af-ZA"/>
              </w:rPr>
              <w:softHyphen/>
              <w:t>կով ա</w:t>
            </w:r>
            <w:r w:rsidRPr="00F2718E">
              <w:rPr>
                <w:rFonts w:ascii="GHEA Grapalat" w:hAnsi="GHEA Grapalat"/>
                <w:lang w:val="af-ZA"/>
              </w:rPr>
              <w:softHyphen/>
              <w:t>ռան</w:t>
            </w:r>
            <w:r w:rsidRPr="00F2718E">
              <w:rPr>
                <w:rFonts w:ascii="GHEA Grapalat" w:hAnsi="GHEA Grapalat"/>
                <w:lang w:val="af-ZA"/>
              </w:rPr>
              <w:softHyphen/>
              <w:t>ձին դեպ</w:t>
            </w:r>
            <w:r w:rsidRPr="00F2718E">
              <w:rPr>
                <w:rFonts w:ascii="GHEA Grapalat" w:hAnsi="GHEA Grapalat"/>
                <w:lang w:val="af-ZA"/>
              </w:rPr>
              <w:softHyphen/>
              <w:t>քե</w:t>
            </w:r>
            <w:r w:rsidRPr="00F2718E">
              <w:rPr>
                <w:rFonts w:ascii="GHEA Grapalat" w:hAnsi="GHEA Grapalat"/>
                <w:lang w:val="af-ZA"/>
              </w:rPr>
              <w:softHyphen/>
              <w:t>րում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համարե</w:t>
            </w:r>
            <w:r w:rsidRPr="00F2718E">
              <w:rPr>
                <w:rFonts w:ascii="GHEA Grapalat" w:hAnsi="GHEA Grapalat"/>
                <w:lang w:val="af-ZA"/>
              </w:rPr>
              <w:softHyphen/>
              <w:t>լով, որ առ</w:t>
            </w:r>
            <w:r w:rsidRPr="00F2718E">
              <w:rPr>
                <w:rFonts w:ascii="GHEA Grapalat" w:hAnsi="GHEA Grapalat"/>
                <w:lang w:val="af-ZA"/>
              </w:rPr>
              <w:softHyphen/>
              <w:t>կա են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հիմ</w:t>
            </w:r>
            <w:r w:rsidRPr="00F2718E">
              <w:rPr>
                <w:rFonts w:ascii="GHEA Grapalat" w:hAnsi="GHEA Grapalat"/>
                <w:lang w:val="af-ZA"/>
              </w:rPr>
              <w:softHyphen/>
              <w:t>քեր, պետք է ու</w:t>
            </w:r>
            <w:r w:rsidRPr="00F2718E">
              <w:rPr>
                <w:rFonts w:ascii="GHEA Grapalat" w:hAnsi="GHEA Grapalat"/>
                <w:lang w:val="af-ZA"/>
              </w:rPr>
              <w:softHyphen/>
              <w:t>նե</w:t>
            </w:r>
            <w:r w:rsidRPr="00F2718E">
              <w:rPr>
                <w:rFonts w:ascii="GHEA Grapalat" w:hAnsi="GHEA Grapalat"/>
                <w:lang w:val="af-ZA"/>
              </w:rPr>
              <w:softHyphen/>
              <w:t>նա հնա</w:t>
            </w:r>
            <w:r w:rsidRPr="00F2718E">
              <w:rPr>
                <w:rFonts w:ascii="GHEA Grapalat" w:hAnsi="GHEA Grapalat"/>
                <w:lang w:val="af-ZA"/>
              </w:rPr>
              <w:softHyphen/>
              <w:t>րա</w:t>
            </w:r>
            <w:r w:rsidRPr="00F2718E">
              <w:rPr>
                <w:rFonts w:ascii="GHEA Grapalat" w:hAnsi="GHEA Grapalat"/>
                <w:lang w:val="af-ZA"/>
              </w:rPr>
              <w:softHyphen/>
              <w:t>վո</w:t>
            </w:r>
            <w:r w:rsidRPr="00F2718E">
              <w:rPr>
                <w:rFonts w:ascii="GHEA Grapalat" w:hAnsi="GHEA Grapalat"/>
                <w:lang w:val="af-ZA"/>
              </w:rPr>
              <w:softHyphen/>
              <w:t>րութ</w:t>
            </w:r>
            <w:r w:rsidRPr="00F2718E">
              <w:rPr>
                <w:rFonts w:ascii="GHEA Grapalat" w:hAnsi="GHEA Grapalat"/>
                <w:lang w:val="af-ZA"/>
              </w:rPr>
              <w:softHyphen/>
              <w:t>յուն հայ</w:t>
            </w:r>
            <w:r w:rsidRPr="00F2718E">
              <w:rPr>
                <w:rFonts w:ascii="GHEA Grapalat" w:hAnsi="GHEA Grapalat"/>
                <w:lang w:val="af-ZA"/>
              </w:rPr>
              <w:softHyphen/>
              <w:t>ցա</w:t>
            </w:r>
            <w:r w:rsidRPr="00F2718E">
              <w:rPr>
                <w:rFonts w:ascii="GHEA Grapalat" w:hAnsi="GHEA Grapalat"/>
                <w:lang w:val="af-ZA"/>
              </w:rPr>
              <w:softHyphen/>
              <w:t>դի</w:t>
            </w:r>
            <w:r w:rsidRPr="00F2718E">
              <w:rPr>
                <w:rFonts w:ascii="GHEA Grapalat" w:hAnsi="GHEA Grapalat"/>
                <w:lang w:val="af-ZA"/>
              </w:rPr>
              <w:softHyphen/>
              <w:t>մու</w:t>
            </w:r>
            <w:r w:rsidRPr="00F2718E">
              <w:rPr>
                <w:rFonts w:ascii="GHEA Grapalat" w:hAnsi="GHEA Grapalat"/>
                <w:lang w:val="af-ZA"/>
              </w:rPr>
              <w:softHyphen/>
              <w:t>մը կամ գոր</w:t>
            </w:r>
            <w:r w:rsidRPr="00F2718E">
              <w:rPr>
                <w:rFonts w:ascii="GHEA Grapalat" w:hAnsi="GHEA Grapalat"/>
                <w:lang w:val="af-ZA"/>
              </w:rPr>
              <w:softHyphen/>
              <w:t>ծը վա</w:t>
            </w:r>
            <w:r w:rsidRPr="00F2718E">
              <w:rPr>
                <w:rFonts w:ascii="GHEA Grapalat" w:hAnsi="GHEA Grapalat"/>
                <w:lang w:val="af-ZA"/>
              </w:rPr>
              <w:softHyphen/>
              <w:t>րույթ ըն</w:t>
            </w:r>
            <w:r w:rsidRPr="00F2718E">
              <w:rPr>
                <w:rFonts w:ascii="GHEA Grapalat" w:hAnsi="GHEA Grapalat"/>
                <w:lang w:val="af-ZA"/>
              </w:rPr>
              <w:softHyphen/>
              <w:t>դու</w:t>
            </w:r>
            <w:r w:rsidRPr="00F2718E">
              <w:rPr>
                <w:rFonts w:ascii="GHEA Grapalat" w:hAnsi="GHEA Grapalat"/>
                <w:lang w:val="af-ZA"/>
              </w:rPr>
              <w:softHyphen/>
              <w:t>նե</w:t>
            </w:r>
            <w:r w:rsidRPr="00F2718E">
              <w:rPr>
                <w:rFonts w:ascii="GHEA Grapalat" w:hAnsi="GHEA Grapalat"/>
                <w:lang w:val="af-ZA"/>
              </w:rPr>
              <w:softHyphen/>
              <w:t>լու փու</w:t>
            </w:r>
            <w:r w:rsidRPr="00F2718E">
              <w:rPr>
                <w:rFonts w:ascii="GHEA Grapalat" w:hAnsi="GHEA Grapalat"/>
                <w:lang w:val="af-ZA"/>
              </w:rPr>
              <w:softHyphen/>
              <w:t>լում կամ միջ</w:t>
            </w:r>
            <w:r w:rsidRPr="00F2718E">
              <w:rPr>
                <w:rFonts w:ascii="GHEA Grapalat" w:hAnsi="GHEA Grapalat"/>
                <w:lang w:val="af-ZA"/>
              </w:rPr>
              <w:softHyphen/>
              <w:t>նոր</w:t>
            </w:r>
            <w:r w:rsidRPr="00F2718E">
              <w:rPr>
                <w:rFonts w:ascii="GHEA Grapalat" w:hAnsi="GHEA Grapalat"/>
                <w:lang w:val="af-ZA"/>
              </w:rPr>
              <w:softHyphen/>
              <w:t>դութ</w:t>
            </w:r>
            <w:r w:rsidRPr="00F2718E">
              <w:rPr>
                <w:rFonts w:ascii="GHEA Grapalat" w:hAnsi="GHEA Grapalat"/>
                <w:lang w:val="af-ZA"/>
              </w:rPr>
              <w:softHyphen/>
              <w:t>յու</w:t>
            </w:r>
            <w:r w:rsidRPr="00F2718E">
              <w:rPr>
                <w:rFonts w:ascii="GHEA Grapalat" w:hAnsi="GHEA Grapalat"/>
                <w:lang w:val="af-ZA"/>
              </w:rPr>
              <w:softHyphen/>
              <w:t>նը ստանալուն պես՝ մինչև հայ</w:t>
            </w:r>
            <w:r w:rsidRPr="00F2718E">
              <w:rPr>
                <w:rFonts w:ascii="GHEA Grapalat" w:hAnsi="GHEA Grapalat"/>
                <w:lang w:val="af-ZA"/>
              </w:rPr>
              <w:softHyphen/>
              <w:t>ցը, գոր</w:t>
            </w:r>
            <w:r w:rsidRPr="00F2718E">
              <w:rPr>
                <w:rFonts w:ascii="GHEA Grapalat" w:hAnsi="GHEA Grapalat"/>
                <w:lang w:val="af-ZA"/>
              </w:rPr>
              <w:softHyphen/>
              <w:t>ծը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տում քննե</w:t>
            </w:r>
            <w:r w:rsidRPr="00F2718E">
              <w:rPr>
                <w:rFonts w:ascii="GHEA Grapalat" w:hAnsi="GHEA Grapalat"/>
                <w:lang w:val="af-ZA"/>
              </w:rPr>
              <w:softHyphen/>
              <w:t>լը կամ միջ</w:t>
            </w:r>
            <w:r w:rsidRPr="00F2718E">
              <w:rPr>
                <w:rFonts w:ascii="GHEA Grapalat" w:hAnsi="GHEA Grapalat"/>
                <w:lang w:val="af-ZA"/>
              </w:rPr>
              <w:softHyphen/>
              <w:t>նոր</w:t>
            </w:r>
            <w:r w:rsidRPr="00F2718E">
              <w:rPr>
                <w:rFonts w:ascii="GHEA Grapalat" w:hAnsi="GHEA Grapalat"/>
                <w:lang w:val="af-ZA"/>
              </w:rPr>
              <w:softHyphen/>
              <w:t>դութ</w:t>
            </w:r>
            <w:r w:rsidRPr="00F2718E">
              <w:rPr>
                <w:rFonts w:ascii="GHEA Grapalat" w:hAnsi="GHEA Grapalat"/>
                <w:lang w:val="af-ZA"/>
              </w:rPr>
              <w:softHyphen/>
              <w:t>յու</w:t>
            </w:r>
            <w:r w:rsidRPr="00F2718E">
              <w:rPr>
                <w:rFonts w:ascii="GHEA Grapalat" w:hAnsi="GHEA Grapalat"/>
                <w:lang w:val="af-ZA"/>
              </w:rPr>
              <w:softHyphen/>
              <w:t>նը քննար</w:t>
            </w:r>
            <w:r w:rsidRPr="00F2718E">
              <w:rPr>
                <w:rFonts w:ascii="GHEA Grapalat" w:hAnsi="GHEA Grapalat"/>
                <w:lang w:val="af-ZA"/>
              </w:rPr>
              <w:softHyphen/>
              <w:t>կե</w:t>
            </w:r>
            <w:r w:rsidRPr="00F2718E">
              <w:rPr>
                <w:rFonts w:ascii="GHEA Grapalat" w:hAnsi="GHEA Grapalat"/>
                <w:lang w:val="af-ZA"/>
              </w:rPr>
              <w:softHyphen/>
              <w:t>լը, հայտ</w:t>
            </w:r>
            <w:r w:rsidRPr="00F2718E">
              <w:rPr>
                <w:rFonts w:ascii="GHEA Grapalat" w:hAnsi="GHEA Grapalat"/>
                <w:lang w:val="af-ZA"/>
              </w:rPr>
              <w:softHyphen/>
              <w:t>նել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 xml:space="preserve">ցարկ։ </w:t>
            </w:r>
          </w:p>
          <w:p w14:paraId="4027AF49"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Հոդ</w:t>
            </w:r>
            <w:r w:rsidRPr="00F2718E">
              <w:rPr>
                <w:rFonts w:ascii="GHEA Grapalat" w:hAnsi="GHEA Grapalat"/>
                <w:lang w:val="af-ZA"/>
              </w:rPr>
              <w:softHyphen/>
              <w:t>վա</w:t>
            </w:r>
            <w:r w:rsidRPr="00F2718E">
              <w:rPr>
                <w:rFonts w:ascii="GHEA Grapalat" w:hAnsi="GHEA Grapalat"/>
                <w:lang w:val="af-ZA"/>
              </w:rPr>
              <w:softHyphen/>
              <w:t>ծի 1-ին մա</w:t>
            </w:r>
            <w:r w:rsidRPr="00F2718E">
              <w:rPr>
                <w:rFonts w:ascii="GHEA Grapalat" w:hAnsi="GHEA Grapalat"/>
                <w:lang w:val="af-ZA"/>
              </w:rPr>
              <w:softHyphen/>
              <w:t>սը հնա</w:t>
            </w:r>
            <w:r w:rsidRPr="00F2718E">
              <w:rPr>
                <w:rFonts w:ascii="GHEA Grapalat" w:hAnsi="GHEA Grapalat"/>
                <w:lang w:val="af-ZA"/>
              </w:rPr>
              <w:softHyphen/>
              <w:t>րա</w:t>
            </w:r>
            <w:r w:rsidRPr="00F2718E">
              <w:rPr>
                <w:rFonts w:ascii="GHEA Grapalat" w:hAnsi="GHEA Grapalat"/>
                <w:lang w:val="af-ZA"/>
              </w:rPr>
              <w:softHyphen/>
              <w:t>վո</w:t>
            </w:r>
            <w:r w:rsidRPr="00F2718E">
              <w:rPr>
                <w:rFonts w:ascii="GHEA Grapalat" w:hAnsi="GHEA Grapalat"/>
                <w:lang w:val="af-ZA"/>
              </w:rPr>
              <w:softHyphen/>
              <w:t>րութ</w:t>
            </w:r>
            <w:r w:rsidRPr="00F2718E">
              <w:rPr>
                <w:rFonts w:ascii="GHEA Grapalat" w:hAnsi="GHEA Grapalat"/>
                <w:lang w:val="af-ZA"/>
              </w:rPr>
              <w:softHyphen/>
              <w:t>յուն է տա</w:t>
            </w:r>
            <w:r w:rsidRPr="00F2718E">
              <w:rPr>
                <w:rFonts w:ascii="GHEA Grapalat" w:hAnsi="GHEA Grapalat"/>
                <w:lang w:val="af-ZA"/>
              </w:rPr>
              <w:softHyphen/>
              <w:t>լիս հա</w:t>
            </w:r>
            <w:r w:rsidRPr="00F2718E">
              <w:rPr>
                <w:rFonts w:ascii="GHEA Grapalat" w:hAnsi="GHEA Grapalat"/>
                <w:lang w:val="af-ZA"/>
              </w:rPr>
              <w:softHyphen/>
              <w:t>տուկ վա</w:t>
            </w:r>
            <w:r w:rsidRPr="00F2718E">
              <w:rPr>
                <w:rFonts w:ascii="GHEA Grapalat" w:hAnsi="GHEA Grapalat"/>
                <w:lang w:val="af-ZA"/>
              </w:rPr>
              <w:softHyphen/>
              <w:t>րույ</w:t>
            </w:r>
            <w:r w:rsidRPr="00F2718E">
              <w:rPr>
                <w:rFonts w:ascii="GHEA Grapalat" w:hAnsi="GHEA Grapalat"/>
                <w:lang w:val="af-ZA"/>
              </w:rPr>
              <w:softHyphen/>
              <w:t>թի՝ ա</w:t>
            </w:r>
            <w:r w:rsidRPr="00F2718E">
              <w:rPr>
                <w:rFonts w:ascii="GHEA Grapalat" w:hAnsi="GHEA Grapalat"/>
                <w:lang w:val="af-ZA"/>
              </w:rPr>
              <w:softHyphen/>
              <w:t>ռանց նախնա</w:t>
            </w:r>
            <w:r w:rsidRPr="00F2718E">
              <w:rPr>
                <w:rFonts w:ascii="GHEA Grapalat" w:hAnsi="GHEA Grapalat"/>
                <w:lang w:val="af-ZA"/>
              </w:rPr>
              <w:softHyphen/>
              <w:t>կան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վիր</w:t>
            </w:r>
            <w:r w:rsidRPr="00F2718E">
              <w:rPr>
                <w:rFonts w:ascii="GHEA Grapalat" w:hAnsi="GHEA Grapalat"/>
                <w:lang w:val="af-ZA"/>
              </w:rPr>
              <w:softHyphen/>
              <w:t>վող վա</w:t>
            </w:r>
            <w:r w:rsidRPr="00F2718E">
              <w:rPr>
                <w:rFonts w:ascii="GHEA Grapalat" w:hAnsi="GHEA Grapalat"/>
                <w:lang w:val="af-ZA"/>
              </w:rPr>
              <w:softHyphen/>
              <w:t>րույթ</w:t>
            </w:r>
            <w:r w:rsidRPr="00F2718E">
              <w:rPr>
                <w:rFonts w:ascii="GHEA Grapalat" w:hAnsi="GHEA Grapalat"/>
                <w:lang w:val="af-ZA"/>
              </w:rPr>
              <w:softHyphen/>
              <w:t>նե</w:t>
            </w:r>
            <w:r w:rsidRPr="00F2718E">
              <w:rPr>
                <w:rFonts w:ascii="GHEA Grapalat" w:hAnsi="GHEA Grapalat"/>
                <w:lang w:val="af-ZA"/>
              </w:rPr>
              <w:softHyphen/>
              <w:t>րով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հայտ</w:t>
            </w:r>
            <w:r w:rsidRPr="00F2718E">
              <w:rPr>
                <w:rFonts w:ascii="GHEA Grapalat" w:hAnsi="GHEA Grapalat"/>
                <w:lang w:val="af-ZA"/>
              </w:rPr>
              <w:softHyphen/>
              <w:t>նել կամ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րին բա</w:t>
            </w:r>
            <w:r w:rsidRPr="00F2718E">
              <w:rPr>
                <w:rFonts w:ascii="GHEA Grapalat" w:hAnsi="GHEA Grapalat"/>
                <w:lang w:val="af-ZA"/>
              </w:rPr>
              <w:softHyphen/>
              <w:t>ցարկ ներ</w:t>
            </w:r>
            <w:r w:rsidRPr="00F2718E">
              <w:rPr>
                <w:rFonts w:ascii="GHEA Grapalat" w:hAnsi="GHEA Grapalat"/>
                <w:lang w:val="af-ZA"/>
              </w:rPr>
              <w:softHyphen/>
              <w:t>կա</w:t>
            </w:r>
            <w:r w:rsidRPr="00F2718E">
              <w:rPr>
                <w:rFonts w:ascii="GHEA Grapalat" w:hAnsi="GHEA Grapalat"/>
                <w:lang w:val="af-ZA"/>
              </w:rPr>
              <w:softHyphen/>
              <w:t>յաց</w:t>
            </w:r>
            <w:r w:rsidRPr="00F2718E">
              <w:rPr>
                <w:rFonts w:ascii="GHEA Grapalat" w:hAnsi="GHEA Grapalat"/>
                <w:lang w:val="af-ZA"/>
              </w:rPr>
              <w:softHyphen/>
              <w:t>նել՝ մինչև գոր</w:t>
            </w:r>
            <w:r w:rsidRPr="00F2718E">
              <w:rPr>
                <w:rFonts w:ascii="GHEA Grapalat" w:hAnsi="GHEA Grapalat"/>
                <w:lang w:val="af-ZA"/>
              </w:rPr>
              <w:softHyphen/>
              <w:t>ծի քննութ</w:t>
            </w:r>
            <w:r w:rsidRPr="00F2718E">
              <w:rPr>
                <w:rFonts w:ascii="GHEA Grapalat" w:hAnsi="GHEA Grapalat"/>
                <w:lang w:val="af-ZA"/>
              </w:rPr>
              <w:softHyphen/>
              <w:t>յան ա</w:t>
            </w:r>
            <w:r w:rsidRPr="00F2718E">
              <w:rPr>
                <w:rFonts w:ascii="GHEA Grapalat" w:hAnsi="GHEA Grapalat"/>
                <w:lang w:val="af-ZA"/>
              </w:rPr>
              <w:softHyphen/>
              <w:t>վար</w:t>
            </w:r>
            <w:r w:rsidRPr="00F2718E">
              <w:rPr>
                <w:rFonts w:ascii="GHEA Grapalat" w:hAnsi="GHEA Grapalat"/>
                <w:lang w:val="af-ZA"/>
              </w:rPr>
              <w:softHyphen/>
              <w:t>տը, այ</w:t>
            </w:r>
            <w:r w:rsidRPr="00F2718E">
              <w:rPr>
                <w:rFonts w:ascii="GHEA Grapalat" w:hAnsi="GHEA Grapalat"/>
                <w:lang w:val="af-ZA"/>
              </w:rPr>
              <w:softHyphen/>
              <w:t>սինքն՝ առանց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w:t>
            </w:r>
            <w:r w:rsidRPr="00F2718E">
              <w:rPr>
                <w:rFonts w:ascii="GHEA Grapalat" w:hAnsi="GHEA Grapalat"/>
                <w:lang w:val="af-ZA"/>
              </w:rPr>
              <w:softHyphen/>
              <w:t>րե</w:t>
            </w:r>
            <w:r w:rsidRPr="00F2718E">
              <w:rPr>
                <w:rFonts w:ascii="GHEA Grapalat" w:hAnsi="GHEA Grapalat"/>
                <w:lang w:val="af-ZA"/>
              </w:rPr>
              <w:softHyphen/>
              <w:t>լու և այդ հար</w:t>
            </w:r>
            <w:r w:rsidRPr="00F2718E">
              <w:rPr>
                <w:rFonts w:ascii="GHEA Grapalat" w:hAnsi="GHEA Grapalat"/>
                <w:lang w:val="af-ZA"/>
              </w:rPr>
              <w:softHyphen/>
              <w:t>ցը նիս</w:t>
            </w:r>
            <w:r w:rsidRPr="00F2718E">
              <w:rPr>
                <w:rFonts w:ascii="GHEA Grapalat" w:hAnsi="GHEA Grapalat"/>
                <w:lang w:val="af-ZA"/>
              </w:rPr>
              <w:softHyphen/>
              <w:t>տում քննար</w:t>
            </w:r>
            <w:r w:rsidRPr="00F2718E">
              <w:rPr>
                <w:rFonts w:ascii="GHEA Grapalat" w:hAnsi="GHEA Grapalat"/>
                <w:lang w:val="af-ZA"/>
              </w:rPr>
              <w:softHyphen/>
              <w:t>կե</w:t>
            </w:r>
            <w:r w:rsidRPr="00F2718E">
              <w:rPr>
                <w:rFonts w:ascii="GHEA Grapalat" w:hAnsi="GHEA Grapalat"/>
                <w:lang w:val="af-ZA"/>
              </w:rPr>
              <w:softHyphen/>
              <w:t>լու մա</w:t>
            </w:r>
            <w:r w:rsidRPr="00F2718E">
              <w:rPr>
                <w:rFonts w:ascii="GHEA Grapalat" w:hAnsi="GHEA Grapalat"/>
                <w:lang w:val="af-ZA"/>
              </w:rPr>
              <w:softHyphen/>
              <w:t>սին Օրենսգր</w:t>
            </w:r>
            <w:r w:rsidRPr="00F2718E">
              <w:rPr>
                <w:rFonts w:ascii="GHEA Grapalat" w:hAnsi="GHEA Grapalat"/>
                <w:lang w:val="af-ZA"/>
              </w:rPr>
              <w:softHyphen/>
              <w:t>քով ար</w:t>
            </w:r>
            <w:r w:rsidRPr="00F2718E">
              <w:rPr>
                <w:rFonts w:ascii="GHEA Grapalat" w:hAnsi="GHEA Grapalat"/>
                <w:lang w:val="af-ZA"/>
              </w:rPr>
              <w:softHyphen/>
              <w:t>դեն իսկ առ</w:t>
            </w:r>
            <w:r w:rsidRPr="00F2718E">
              <w:rPr>
                <w:rFonts w:ascii="GHEA Grapalat" w:hAnsi="GHEA Grapalat"/>
                <w:lang w:val="af-ZA"/>
              </w:rPr>
              <w:softHyphen/>
              <w:t>կա է նմա</w:t>
            </w:r>
            <w:r w:rsidRPr="00F2718E">
              <w:rPr>
                <w:rFonts w:ascii="GHEA Grapalat" w:hAnsi="GHEA Grapalat"/>
                <w:lang w:val="af-ZA"/>
              </w:rPr>
              <w:softHyphen/>
              <w:t>նօ</w:t>
            </w:r>
            <w:r w:rsidRPr="00F2718E">
              <w:rPr>
                <w:rFonts w:ascii="GHEA Grapalat" w:hAnsi="GHEA Grapalat"/>
                <w:lang w:val="af-ZA"/>
              </w:rPr>
              <w:softHyphen/>
              <w:t>րի</w:t>
            </w:r>
            <w:r w:rsidRPr="00F2718E">
              <w:rPr>
                <w:rFonts w:ascii="GHEA Grapalat" w:hAnsi="GHEA Grapalat"/>
                <w:lang w:val="af-ZA"/>
              </w:rPr>
              <w:softHyphen/>
              <w:t>նակ կար</w:t>
            </w:r>
            <w:r w:rsidRPr="00F2718E">
              <w:rPr>
                <w:rFonts w:ascii="GHEA Grapalat" w:hAnsi="GHEA Grapalat"/>
                <w:lang w:val="af-ZA"/>
              </w:rPr>
              <w:softHyphen/>
              <w:t>գա</w:t>
            </w:r>
            <w:r w:rsidRPr="00F2718E">
              <w:rPr>
                <w:rFonts w:ascii="GHEA Grapalat" w:hAnsi="GHEA Grapalat"/>
                <w:lang w:val="af-ZA"/>
              </w:rPr>
              <w:softHyphen/>
              <w:t>վո</w:t>
            </w:r>
            <w:r w:rsidRPr="00F2718E">
              <w:rPr>
                <w:rFonts w:ascii="GHEA Grapalat" w:hAnsi="GHEA Grapalat"/>
                <w:lang w:val="af-ZA"/>
              </w:rPr>
              <w:softHyphen/>
              <w:t>րում:</w:t>
            </w:r>
          </w:p>
          <w:p w14:paraId="4D7C659A"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Պրակ</w:t>
            </w:r>
            <w:r w:rsidRPr="00F2718E">
              <w:rPr>
                <w:rFonts w:ascii="GHEA Grapalat" w:hAnsi="GHEA Grapalat"/>
                <w:lang w:val="af-ZA"/>
              </w:rPr>
              <w:softHyphen/>
              <w:t>տի</w:t>
            </w:r>
            <w:r w:rsidRPr="00F2718E">
              <w:rPr>
                <w:rFonts w:ascii="GHEA Grapalat" w:hAnsi="GHEA Grapalat"/>
                <w:lang w:val="af-ZA"/>
              </w:rPr>
              <w:softHyphen/>
              <w:t>կա</w:t>
            </w:r>
            <w:r w:rsidRPr="00F2718E">
              <w:rPr>
                <w:rFonts w:ascii="GHEA Grapalat" w:hAnsi="GHEA Grapalat"/>
                <w:lang w:val="af-ZA"/>
              </w:rPr>
              <w:softHyphen/>
              <w:t>յում հա</w:t>
            </w:r>
            <w:r w:rsidRPr="00F2718E">
              <w:rPr>
                <w:rFonts w:ascii="GHEA Grapalat" w:hAnsi="GHEA Grapalat"/>
                <w:lang w:val="af-ZA"/>
              </w:rPr>
              <w:softHyphen/>
              <w:t>տուկ վա</w:t>
            </w:r>
            <w:r w:rsidRPr="00F2718E">
              <w:rPr>
                <w:rFonts w:ascii="GHEA Grapalat" w:hAnsi="GHEA Grapalat"/>
                <w:lang w:val="af-ZA"/>
              </w:rPr>
              <w:softHyphen/>
              <w:t>րույ</w:t>
            </w:r>
            <w:r w:rsidRPr="00F2718E">
              <w:rPr>
                <w:rFonts w:ascii="GHEA Grapalat" w:hAnsi="GHEA Grapalat"/>
                <w:lang w:val="af-ZA"/>
              </w:rPr>
              <w:softHyphen/>
              <w:t>թի՝ ա</w:t>
            </w:r>
            <w:r w:rsidRPr="00F2718E">
              <w:rPr>
                <w:rFonts w:ascii="GHEA Grapalat" w:hAnsi="GHEA Grapalat"/>
                <w:lang w:val="af-ZA"/>
              </w:rPr>
              <w:softHyphen/>
              <w:t>ռանց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տի քննութ</w:t>
            </w:r>
            <w:r w:rsidRPr="00F2718E">
              <w:rPr>
                <w:rFonts w:ascii="GHEA Grapalat" w:hAnsi="GHEA Grapalat"/>
                <w:lang w:val="af-ZA"/>
              </w:rPr>
              <w:softHyphen/>
              <w:t>յան առն</w:t>
            </w:r>
            <w:r w:rsidRPr="00F2718E">
              <w:rPr>
                <w:rFonts w:ascii="GHEA Grapalat" w:hAnsi="GHEA Grapalat"/>
                <w:lang w:val="af-ZA"/>
              </w:rPr>
              <w:softHyphen/>
              <w:t>վող գոր</w:t>
            </w:r>
            <w:r w:rsidRPr="00F2718E">
              <w:rPr>
                <w:rFonts w:ascii="GHEA Grapalat" w:hAnsi="GHEA Grapalat"/>
                <w:lang w:val="af-ZA"/>
              </w:rPr>
              <w:softHyphen/>
              <w:t>ծե</w:t>
            </w:r>
            <w:r w:rsidRPr="00F2718E">
              <w:rPr>
                <w:rFonts w:ascii="GHEA Grapalat" w:hAnsi="GHEA Grapalat"/>
                <w:lang w:val="af-ZA"/>
              </w:rPr>
              <w:softHyphen/>
              <w:t>րով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կա</w:t>
            </w:r>
            <w:r w:rsidRPr="00F2718E">
              <w:rPr>
                <w:rFonts w:ascii="GHEA Grapalat" w:hAnsi="GHEA Grapalat"/>
                <w:lang w:val="af-ZA"/>
              </w:rPr>
              <w:softHyphen/>
              <w:t>րող է բա</w:t>
            </w:r>
            <w:r w:rsidRPr="00F2718E">
              <w:rPr>
                <w:rFonts w:ascii="GHEA Grapalat" w:hAnsi="GHEA Grapalat"/>
                <w:lang w:val="af-ZA"/>
              </w:rPr>
              <w:softHyphen/>
              <w:t>ցարկ հայտ</w:t>
            </w:r>
            <w:r w:rsidRPr="00F2718E">
              <w:rPr>
                <w:rFonts w:ascii="GHEA Grapalat" w:hAnsi="GHEA Grapalat"/>
                <w:lang w:val="af-ZA"/>
              </w:rPr>
              <w:softHyphen/>
              <w:t>նել ա</w:t>
            </w:r>
            <w:r w:rsidRPr="00F2718E">
              <w:rPr>
                <w:rFonts w:ascii="GHEA Grapalat" w:hAnsi="GHEA Grapalat"/>
                <w:lang w:val="af-ZA"/>
              </w:rPr>
              <w:softHyphen/>
              <w:t>ռանց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տում հար</w:t>
            </w:r>
            <w:r w:rsidRPr="00F2718E">
              <w:rPr>
                <w:rFonts w:ascii="GHEA Grapalat" w:hAnsi="GHEA Grapalat"/>
                <w:lang w:val="af-ZA"/>
              </w:rPr>
              <w:softHyphen/>
              <w:t>ցը քննար</w:t>
            </w:r>
            <w:r w:rsidRPr="00F2718E">
              <w:rPr>
                <w:rFonts w:ascii="GHEA Grapalat" w:hAnsi="GHEA Grapalat"/>
                <w:lang w:val="af-ZA"/>
              </w:rPr>
              <w:softHyphen/>
              <w:t>կե</w:t>
            </w:r>
            <w:r w:rsidRPr="00F2718E">
              <w:rPr>
                <w:rFonts w:ascii="GHEA Grapalat" w:hAnsi="GHEA Grapalat"/>
                <w:lang w:val="af-ZA"/>
              </w:rPr>
              <w:softHyphen/>
              <w:t>լու, հետևա</w:t>
            </w:r>
            <w:r w:rsidRPr="00F2718E">
              <w:rPr>
                <w:rFonts w:ascii="GHEA Grapalat" w:hAnsi="GHEA Grapalat"/>
                <w:lang w:val="af-ZA"/>
              </w:rPr>
              <w:softHyphen/>
              <w:t>բար ա</w:t>
            </w:r>
            <w:r w:rsidRPr="00F2718E">
              <w:rPr>
                <w:rFonts w:ascii="GHEA Grapalat" w:hAnsi="GHEA Grapalat"/>
                <w:lang w:val="af-ZA"/>
              </w:rPr>
              <w:softHyphen/>
              <w:t>ռա</w:t>
            </w:r>
            <w:r w:rsidRPr="00F2718E">
              <w:rPr>
                <w:rFonts w:ascii="GHEA Grapalat" w:hAnsi="GHEA Grapalat"/>
                <w:lang w:val="af-ZA"/>
              </w:rPr>
              <w:softHyphen/>
              <w:t>ջարկ</w:t>
            </w:r>
            <w:r w:rsidRPr="00F2718E">
              <w:rPr>
                <w:rFonts w:ascii="GHEA Grapalat" w:hAnsi="GHEA Grapalat"/>
                <w:lang w:val="af-ZA"/>
              </w:rPr>
              <w:softHyphen/>
              <w:t>վող փո</w:t>
            </w:r>
            <w:r w:rsidRPr="00F2718E">
              <w:rPr>
                <w:rFonts w:ascii="GHEA Grapalat" w:hAnsi="GHEA Grapalat"/>
                <w:lang w:val="af-ZA"/>
              </w:rPr>
              <w:softHyphen/>
              <w:t>փո</w:t>
            </w:r>
            <w:r w:rsidRPr="00F2718E">
              <w:rPr>
                <w:rFonts w:ascii="GHEA Grapalat" w:hAnsi="GHEA Grapalat"/>
                <w:lang w:val="af-ZA"/>
              </w:rPr>
              <w:softHyphen/>
              <w:t>խութ</w:t>
            </w:r>
            <w:r w:rsidRPr="00F2718E">
              <w:rPr>
                <w:rFonts w:ascii="GHEA Grapalat" w:hAnsi="GHEA Grapalat"/>
                <w:lang w:val="af-ZA"/>
              </w:rPr>
              <w:softHyphen/>
              <w:t>յամբ նույ</w:t>
            </w:r>
            <w:r w:rsidRPr="00F2718E">
              <w:rPr>
                <w:rFonts w:ascii="GHEA Grapalat" w:hAnsi="GHEA Grapalat"/>
                <w:lang w:val="af-ZA"/>
              </w:rPr>
              <w:softHyphen/>
              <w:t>նա</w:t>
            </w:r>
            <w:r w:rsidRPr="00F2718E">
              <w:rPr>
                <w:rFonts w:ascii="GHEA Grapalat" w:hAnsi="GHEA Grapalat"/>
                <w:lang w:val="af-ZA"/>
              </w:rPr>
              <w:softHyphen/>
              <w:t>բո</w:t>
            </w:r>
            <w:r w:rsidRPr="00F2718E">
              <w:rPr>
                <w:rFonts w:ascii="GHEA Grapalat" w:hAnsi="GHEA Grapalat"/>
                <w:lang w:val="af-ZA"/>
              </w:rPr>
              <w:softHyphen/>
              <w:t>վան</w:t>
            </w:r>
            <w:r w:rsidRPr="00F2718E">
              <w:rPr>
                <w:rFonts w:ascii="GHEA Grapalat" w:hAnsi="GHEA Grapalat"/>
                <w:lang w:val="af-ZA"/>
              </w:rPr>
              <w:softHyphen/>
              <w:t>դակ կարգավորում պետք է սահ</w:t>
            </w:r>
            <w:r w:rsidRPr="00F2718E">
              <w:rPr>
                <w:rFonts w:ascii="GHEA Grapalat" w:hAnsi="GHEA Grapalat"/>
                <w:lang w:val="af-ZA"/>
              </w:rPr>
              <w:softHyphen/>
              <w:t>մա</w:t>
            </w:r>
            <w:r w:rsidRPr="00F2718E">
              <w:rPr>
                <w:rFonts w:ascii="GHEA Grapalat" w:hAnsi="GHEA Grapalat"/>
                <w:lang w:val="af-ZA"/>
              </w:rPr>
              <w:softHyphen/>
              <w:t>նել նաև այն դեպ</w:t>
            </w:r>
            <w:r w:rsidRPr="00F2718E">
              <w:rPr>
                <w:rFonts w:ascii="GHEA Grapalat" w:hAnsi="GHEA Grapalat"/>
                <w:lang w:val="af-ZA"/>
              </w:rPr>
              <w:softHyphen/>
              <w:t>քե</w:t>
            </w:r>
            <w:r w:rsidRPr="00F2718E">
              <w:rPr>
                <w:rFonts w:ascii="GHEA Grapalat" w:hAnsi="GHEA Grapalat"/>
                <w:lang w:val="af-ZA"/>
              </w:rPr>
              <w:softHyphen/>
              <w:t>րի հա</w:t>
            </w:r>
            <w:r w:rsidRPr="00F2718E">
              <w:rPr>
                <w:rFonts w:ascii="GHEA Grapalat" w:hAnsi="GHEA Grapalat"/>
                <w:lang w:val="af-ZA"/>
              </w:rPr>
              <w:softHyphen/>
              <w:t>մար, երբ նախ</w:t>
            </w:r>
            <w:r w:rsidRPr="00F2718E">
              <w:rPr>
                <w:rFonts w:ascii="GHEA Grapalat" w:hAnsi="GHEA Grapalat"/>
                <w:lang w:val="af-ZA"/>
              </w:rPr>
              <w:softHyphen/>
              <w:t>նա</w:t>
            </w:r>
            <w:r w:rsidRPr="00F2718E">
              <w:rPr>
                <w:rFonts w:ascii="GHEA Grapalat" w:hAnsi="GHEA Grapalat"/>
                <w:lang w:val="af-ZA"/>
              </w:rPr>
              <w:softHyphen/>
              <w:t>կան դատական նիս</w:t>
            </w:r>
            <w:r w:rsidRPr="00F2718E">
              <w:rPr>
                <w:rFonts w:ascii="GHEA Grapalat" w:hAnsi="GHEA Grapalat"/>
                <w:lang w:val="af-ZA"/>
              </w:rPr>
              <w:softHyphen/>
              <w:t>տում քննվող գոր</w:t>
            </w:r>
            <w:r w:rsidRPr="00F2718E">
              <w:rPr>
                <w:rFonts w:ascii="GHEA Grapalat" w:hAnsi="GHEA Grapalat"/>
                <w:lang w:val="af-ZA"/>
              </w:rPr>
              <w:softHyphen/>
              <w:t>ծե</w:t>
            </w:r>
            <w:r w:rsidRPr="00F2718E">
              <w:rPr>
                <w:rFonts w:ascii="GHEA Grapalat" w:hAnsi="GHEA Grapalat"/>
                <w:lang w:val="af-ZA"/>
              </w:rPr>
              <w:softHyphen/>
              <w:t>րով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w:t>
            </w:r>
            <w:r w:rsidRPr="00F2718E">
              <w:rPr>
                <w:rFonts w:ascii="GHEA Grapalat" w:hAnsi="GHEA Grapalat"/>
                <w:lang w:val="af-ZA"/>
              </w:rPr>
              <w:softHyphen/>
              <w:t>կի կամ բա</w:t>
            </w:r>
            <w:r w:rsidRPr="00F2718E">
              <w:rPr>
                <w:rFonts w:ascii="GHEA Grapalat" w:hAnsi="GHEA Grapalat"/>
                <w:lang w:val="af-ZA"/>
              </w:rPr>
              <w:softHyphen/>
              <w:t>ցար</w:t>
            </w:r>
            <w:r w:rsidRPr="00F2718E">
              <w:rPr>
                <w:rFonts w:ascii="GHEA Grapalat" w:hAnsi="GHEA Grapalat"/>
                <w:lang w:val="af-ZA"/>
              </w:rPr>
              <w:softHyphen/>
              <w:t>կի հիմ</w:t>
            </w:r>
            <w:r w:rsidRPr="00F2718E">
              <w:rPr>
                <w:rFonts w:ascii="GHEA Grapalat" w:hAnsi="GHEA Grapalat"/>
                <w:lang w:val="af-ZA"/>
              </w:rPr>
              <w:softHyphen/>
              <w:t>քերն ի հայտ են ե</w:t>
            </w:r>
            <w:r w:rsidRPr="00F2718E">
              <w:rPr>
                <w:rFonts w:ascii="GHEA Grapalat" w:hAnsi="GHEA Grapalat"/>
                <w:lang w:val="af-ZA"/>
              </w:rPr>
              <w:softHyphen/>
              <w:t>կել մինչև հրա</w:t>
            </w:r>
            <w:r w:rsidRPr="00F2718E">
              <w:rPr>
                <w:rFonts w:ascii="GHEA Grapalat" w:hAnsi="GHEA Grapalat"/>
                <w:lang w:val="af-ZA"/>
              </w:rPr>
              <w:softHyphen/>
              <w:t>վիր</w:t>
            </w:r>
            <w:r w:rsidRPr="00F2718E">
              <w:rPr>
                <w:rFonts w:ascii="GHEA Grapalat" w:hAnsi="GHEA Grapalat"/>
                <w:lang w:val="af-ZA"/>
              </w:rPr>
              <w:softHyphen/>
              <w:t>ված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տը, և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տից դուրս դատա</w:t>
            </w:r>
            <w:r w:rsidRPr="00F2718E">
              <w:rPr>
                <w:rFonts w:ascii="GHEA Grapalat" w:hAnsi="GHEA Grapalat"/>
                <w:lang w:val="af-ZA"/>
              </w:rPr>
              <w:softHyphen/>
              <w:t>վո</w:t>
            </w:r>
            <w:r w:rsidRPr="00F2718E">
              <w:rPr>
                <w:rFonts w:ascii="GHEA Grapalat" w:hAnsi="GHEA Grapalat"/>
                <w:lang w:val="af-ZA"/>
              </w:rPr>
              <w:softHyphen/>
              <w:t>րը պետք է կա</w:t>
            </w:r>
            <w:r w:rsidRPr="00F2718E">
              <w:rPr>
                <w:rFonts w:ascii="GHEA Grapalat" w:hAnsi="GHEA Grapalat"/>
                <w:lang w:val="af-ZA"/>
              </w:rPr>
              <w:softHyphen/>
              <w:t>տա</w:t>
            </w:r>
            <w:r w:rsidRPr="00F2718E">
              <w:rPr>
                <w:rFonts w:ascii="GHEA Grapalat" w:hAnsi="GHEA Grapalat"/>
                <w:lang w:val="af-ZA"/>
              </w:rPr>
              <w:softHyphen/>
              <w:t>րի որևէ դա</w:t>
            </w:r>
            <w:r w:rsidRPr="00F2718E">
              <w:rPr>
                <w:rFonts w:ascii="GHEA Grapalat" w:hAnsi="GHEA Grapalat"/>
                <w:lang w:val="af-ZA"/>
              </w:rPr>
              <w:softHyphen/>
              <w:t>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յուն»:</w:t>
            </w:r>
          </w:p>
          <w:p w14:paraId="385295DE"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Վե</w:t>
            </w:r>
            <w:r w:rsidRPr="00F2718E">
              <w:rPr>
                <w:rFonts w:ascii="GHEA Grapalat" w:hAnsi="GHEA Grapalat"/>
                <w:lang w:val="af-ZA"/>
              </w:rPr>
              <w:softHyphen/>
              <w:t>րը նշված</w:t>
            </w:r>
            <w:r w:rsidRPr="00F2718E">
              <w:rPr>
                <w:rFonts w:ascii="GHEA Grapalat" w:hAnsi="GHEA Grapalat"/>
                <w:lang w:val="af-ZA"/>
              </w:rPr>
              <w:softHyphen/>
              <w:t>նե</w:t>
            </w:r>
            <w:r w:rsidRPr="00F2718E">
              <w:rPr>
                <w:rFonts w:ascii="GHEA Grapalat" w:hAnsi="GHEA Grapalat"/>
                <w:lang w:val="af-ZA"/>
              </w:rPr>
              <w:softHyphen/>
              <w:t>րի հի</w:t>
            </w:r>
            <w:r w:rsidRPr="00F2718E">
              <w:rPr>
                <w:rFonts w:ascii="GHEA Grapalat" w:hAnsi="GHEA Grapalat"/>
                <w:lang w:val="af-ZA"/>
              </w:rPr>
              <w:softHyphen/>
              <w:t>ման վրա՝ ա</w:t>
            </w:r>
            <w:r w:rsidRPr="00F2718E">
              <w:rPr>
                <w:rFonts w:ascii="GHEA Grapalat" w:hAnsi="GHEA Grapalat"/>
                <w:lang w:val="af-ZA"/>
              </w:rPr>
              <w:softHyphen/>
              <w:t>ռա</w:t>
            </w:r>
            <w:r w:rsidRPr="00F2718E">
              <w:rPr>
                <w:rFonts w:ascii="GHEA Grapalat" w:hAnsi="GHEA Grapalat"/>
                <w:lang w:val="af-ZA"/>
              </w:rPr>
              <w:softHyphen/>
              <w:t>ջար</w:t>
            </w:r>
            <w:r w:rsidRPr="00F2718E">
              <w:rPr>
                <w:rFonts w:ascii="GHEA Grapalat" w:hAnsi="GHEA Grapalat"/>
                <w:lang w:val="af-ZA"/>
              </w:rPr>
              <w:softHyphen/>
              <w:t>կվում է Օրենսգրքի 29-րդ հոդ</w:t>
            </w:r>
            <w:r w:rsidRPr="00F2718E">
              <w:rPr>
                <w:rFonts w:ascii="GHEA Grapalat" w:hAnsi="GHEA Grapalat"/>
                <w:lang w:val="af-ZA"/>
              </w:rPr>
              <w:softHyphen/>
              <w:t>վա</w:t>
            </w:r>
            <w:r w:rsidRPr="00F2718E">
              <w:rPr>
                <w:rFonts w:ascii="GHEA Grapalat" w:hAnsi="GHEA Grapalat"/>
                <w:lang w:val="af-ZA"/>
              </w:rPr>
              <w:softHyphen/>
              <w:t>ծի 1-ին մա</w:t>
            </w:r>
            <w:r w:rsidRPr="00F2718E">
              <w:rPr>
                <w:rFonts w:ascii="GHEA Grapalat" w:hAnsi="GHEA Grapalat"/>
                <w:lang w:val="af-ZA"/>
              </w:rPr>
              <w:softHyphen/>
              <w:t>սը լրաց</w:t>
            </w:r>
            <w:r w:rsidRPr="00F2718E">
              <w:rPr>
                <w:rFonts w:ascii="GHEA Grapalat" w:hAnsi="GHEA Grapalat"/>
                <w:lang w:val="af-ZA"/>
              </w:rPr>
              <w:softHyphen/>
              <w:t>նել հետևյալ ար</w:t>
            </w:r>
            <w:r w:rsidRPr="00F2718E">
              <w:rPr>
                <w:rFonts w:ascii="GHEA Grapalat" w:hAnsi="GHEA Grapalat"/>
                <w:lang w:val="af-ZA"/>
              </w:rPr>
              <w:softHyphen/>
              <w:t>տա</w:t>
            </w:r>
            <w:r w:rsidRPr="00F2718E">
              <w:rPr>
                <w:rFonts w:ascii="GHEA Grapalat" w:hAnsi="GHEA Grapalat"/>
                <w:lang w:val="af-ZA"/>
              </w:rPr>
              <w:softHyphen/>
              <w:t>հայ</w:t>
            </w:r>
            <w:r w:rsidRPr="00F2718E">
              <w:rPr>
                <w:rFonts w:ascii="GHEA Grapalat" w:hAnsi="GHEA Grapalat"/>
                <w:lang w:val="af-ZA"/>
              </w:rPr>
              <w:softHyphen/>
              <w:t>տութ</w:t>
            </w:r>
            <w:r w:rsidRPr="00F2718E">
              <w:rPr>
                <w:rFonts w:ascii="GHEA Grapalat" w:hAnsi="GHEA Grapalat"/>
                <w:lang w:val="af-ZA"/>
              </w:rPr>
              <w:softHyphen/>
              <w:t>յամբ.</w:t>
            </w:r>
          </w:p>
          <w:p w14:paraId="534C4615"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«…Ե</w:t>
            </w:r>
            <w:r w:rsidRPr="00F2718E">
              <w:rPr>
                <w:rFonts w:ascii="GHEA Grapalat" w:hAnsi="GHEA Grapalat"/>
                <w:lang w:val="af-ZA"/>
              </w:rPr>
              <w:softHyphen/>
              <w:t>թե գոր</w:t>
            </w:r>
            <w:r w:rsidRPr="00F2718E">
              <w:rPr>
                <w:rFonts w:ascii="GHEA Grapalat" w:hAnsi="GHEA Grapalat"/>
                <w:lang w:val="af-ZA"/>
              </w:rPr>
              <w:softHyphen/>
              <w:t>ծը սույն օ</w:t>
            </w:r>
            <w:r w:rsidRPr="00F2718E">
              <w:rPr>
                <w:rFonts w:ascii="GHEA Grapalat" w:hAnsi="GHEA Grapalat"/>
                <w:lang w:val="af-ZA"/>
              </w:rPr>
              <w:softHyphen/>
              <w:t>րենսգր</w:t>
            </w:r>
            <w:r w:rsidRPr="00F2718E">
              <w:rPr>
                <w:rFonts w:ascii="GHEA Grapalat" w:hAnsi="GHEA Grapalat"/>
                <w:lang w:val="af-ZA"/>
              </w:rPr>
              <w:softHyphen/>
              <w:t>քով նա</w:t>
            </w:r>
            <w:r w:rsidRPr="00F2718E">
              <w:rPr>
                <w:rFonts w:ascii="GHEA Grapalat" w:hAnsi="GHEA Grapalat"/>
                <w:lang w:val="af-ZA"/>
              </w:rPr>
              <w:softHyphen/>
              <w:t>խա</w:t>
            </w:r>
            <w:r w:rsidRPr="00F2718E">
              <w:rPr>
                <w:rFonts w:ascii="GHEA Grapalat" w:hAnsi="GHEA Grapalat"/>
                <w:lang w:val="af-ZA"/>
              </w:rPr>
              <w:softHyphen/>
              <w:t>տես</w:t>
            </w:r>
            <w:r w:rsidRPr="00F2718E">
              <w:rPr>
                <w:rFonts w:ascii="GHEA Grapalat" w:hAnsi="GHEA Grapalat"/>
                <w:lang w:val="af-ZA"/>
              </w:rPr>
              <w:softHyphen/>
              <w:t>ված դեպ</w:t>
            </w:r>
            <w:r w:rsidRPr="00F2718E">
              <w:rPr>
                <w:rFonts w:ascii="GHEA Grapalat" w:hAnsi="GHEA Grapalat"/>
                <w:lang w:val="af-ZA"/>
              </w:rPr>
              <w:softHyphen/>
              <w:t>քե</w:t>
            </w:r>
            <w:r w:rsidRPr="00F2718E">
              <w:rPr>
                <w:rFonts w:ascii="GHEA Grapalat" w:hAnsi="GHEA Grapalat"/>
                <w:lang w:val="af-ZA"/>
              </w:rPr>
              <w:softHyphen/>
              <w:t>րում քննվում է ա</w:t>
            </w:r>
            <w:r w:rsidRPr="00F2718E">
              <w:rPr>
                <w:rFonts w:ascii="GHEA Grapalat" w:hAnsi="GHEA Grapalat"/>
                <w:lang w:val="af-ZA"/>
              </w:rPr>
              <w:softHyphen/>
              <w:t>ռանց նախ</w:t>
            </w:r>
            <w:r w:rsidRPr="00F2718E">
              <w:rPr>
                <w:rFonts w:ascii="GHEA Grapalat" w:hAnsi="GHEA Grapalat"/>
                <w:lang w:val="af-ZA"/>
              </w:rPr>
              <w:softHyphen/>
              <w:t>նա</w:t>
            </w:r>
            <w:r w:rsidRPr="00F2718E">
              <w:rPr>
                <w:rFonts w:ascii="GHEA Grapalat" w:hAnsi="GHEA Grapalat"/>
                <w:lang w:val="af-ZA"/>
              </w:rPr>
              <w:softHyphen/>
              <w:t>կան դա</w:t>
            </w:r>
            <w:r w:rsidRPr="00F2718E">
              <w:rPr>
                <w:rFonts w:ascii="GHEA Grapalat" w:hAnsi="GHEA Grapalat"/>
                <w:lang w:val="af-ZA"/>
              </w:rPr>
              <w:softHyphen/>
              <w:t>տա</w:t>
            </w:r>
            <w:r w:rsidRPr="00F2718E">
              <w:rPr>
                <w:rFonts w:ascii="GHEA Grapalat" w:hAnsi="GHEA Grapalat"/>
                <w:lang w:val="af-ZA"/>
              </w:rPr>
              <w:softHyphen/>
              <w:t>կան նիստ հրա</w:t>
            </w:r>
            <w:r w:rsidRPr="00F2718E">
              <w:rPr>
                <w:rFonts w:ascii="GHEA Grapalat" w:hAnsi="GHEA Grapalat"/>
                <w:lang w:val="af-ZA"/>
              </w:rPr>
              <w:softHyphen/>
              <w:t>վի</w:t>
            </w:r>
            <w:r w:rsidRPr="00F2718E">
              <w:rPr>
                <w:rFonts w:ascii="GHEA Grapalat" w:hAnsi="GHEA Grapalat"/>
                <w:lang w:val="af-ZA"/>
              </w:rPr>
              <w:softHyphen/>
              <w:t>րե</w:t>
            </w:r>
            <w:r w:rsidRPr="00F2718E">
              <w:rPr>
                <w:rFonts w:ascii="GHEA Grapalat" w:hAnsi="GHEA Grapalat"/>
                <w:lang w:val="af-ZA"/>
              </w:rPr>
              <w:softHyphen/>
              <w:t>լու, դա</w:t>
            </w:r>
            <w:r w:rsidRPr="00F2718E">
              <w:rPr>
                <w:rFonts w:ascii="GHEA Grapalat" w:hAnsi="GHEA Grapalat"/>
                <w:lang w:val="af-ZA"/>
              </w:rPr>
              <w:softHyphen/>
              <w:t>տա</w:t>
            </w:r>
            <w:r w:rsidRPr="00F2718E">
              <w:rPr>
                <w:rFonts w:ascii="GHEA Grapalat" w:hAnsi="GHEA Grapalat"/>
                <w:lang w:val="af-ZA"/>
              </w:rPr>
              <w:softHyphen/>
              <w:t>վորն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կա</w:t>
            </w:r>
            <w:r w:rsidRPr="00F2718E">
              <w:rPr>
                <w:rFonts w:ascii="GHEA Grapalat" w:hAnsi="GHEA Grapalat"/>
                <w:lang w:val="af-ZA"/>
              </w:rPr>
              <w:softHyphen/>
              <w:t>րող է հայտնել, կամ նրան բա</w:t>
            </w:r>
            <w:r w:rsidRPr="00F2718E">
              <w:rPr>
                <w:rFonts w:ascii="GHEA Grapalat" w:hAnsi="GHEA Grapalat"/>
                <w:lang w:val="af-ZA"/>
              </w:rPr>
              <w:softHyphen/>
              <w:t>ցարկ կա</w:t>
            </w:r>
            <w:r w:rsidRPr="00F2718E">
              <w:rPr>
                <w:rFonts w:ascii="GHEA Grapalat" w:hAnsi="GHEA Grapalat"/>
                <w:lang w:val="af-ZA"/>
              </w:rPr>
              <w:softHyphen/>
              <w:t>րող է հայտն</w:t>
            </w:r>
            <w:r w:rsidRPr="00F2718E">
              <w:rPr>
                <w:rFonts w:ascii="GHEA Grapalat" w:hAnsi="GHEA Grapalat"/>
                <w:lang w:val="af-ZA"/>
              </w:rPr>
              <w:softHyphen/>
              <w:t>վել մինչև գոր</w:t>
            </w:r>
            <w:r w:rsidRPr="00F2718E">
              <w:rPr>
                <w:rFonts w:ascii="GHEA Grapalat" w:hAnsi="GHEA Grapalat"/>
                <w:lang w:val="af-ZA"/>
              </w:rPr>
              <w:softHyphen/>
              <w:t>ծի քննութ</w:t>
            </w:r>
            <w:r w:rsidRPr="00F2718E">
              <w:rPr>
                <w:rFonts w:ascii="GHEA Grapalat" w:hAnsi="GHEA Grapalat"/>
                <w:lang w:val="af-ZA"/>
              </w:rPr>
              <w:softHyphen/>
              <w:t>յան ա</w:t>
            </w:r>
            <w:r w:rsidRPr="00F2718E">
              <w:rPr>
                <w:rFonts w:ascii="GHEA Grapalat" w:hAnsi="GHEA Grapalat"/>
                <w:lang w:val="af-ZA"/>
              </w:rPr>
              <w:softHyphen/>
              <w:t>վար</w:t>
            </w:r>
            <w:r w:rsidRPr="00F2718E">
              <w:rPr>
                <w:rFonts w:ascii="GHEA Grapalat" w:hAnsi="GHEA Grapalat"/>
                <w:lang w:val="af-ZA"/>
              </w:rPr>
              <w:softHyphen/>
              <w:t>տը` սույն հոդ</w:t>
            </w:r>
            <w:r w:rsidRPr="00F2718E">
              <w:rPr>
                <w:rFonts w:ascii="GHEA Grapalat" w:hAnsi="GHEA Grapalat"/>
                <w:lang w:val="af-ZA"/>
              </w:rPr>
              <w:softHyphen/>
              <w:t>վա</w:t>
            </w:r>
            <w:r w:rsidRPr="00F2718E">
              <w:rPr>
                <w:rFonts w:ascii="GHEA Grapalat" w:hAnsi="GHEA Grapalat"/>
                <w:lang w:val="af-ZA"/>
              </w:rPr>
              <w:softHyphen/>
              <w:t>ծի 10-րդ մա</w:t>
            </w:r>
            <w:r w:rsidRPr="00F2718E">
              <w:rPr>
                <w:rFonts w:ascii="GHEA Grapalat" w:hAnsi="GHEA Grapalat"/>
                <w:lang w:val="af-ZA"/>
              </w:rPr>
              <w:softHyphen/>
              <w:t>սով սահ</w:t>
            </w:r>
            <w:r w:rsidRPr="00F2718E">
              <w:rPr>
                <w:rFonts w:ascii="GHEA Grapalat" w:hAnsi="GHEA Grapalat"/>
                <w:lang w:val="af-ZA"/>
              </w:rPr>
              <w:softHyphen/>
              <w:t>ման</w:t>
            </w:r>
            <w:r w:rsidRPr="00F2718E">
              <w:rPr>
                <w:rFonts w:ascii="GHEA Grapalat" w:hAnsi="GHEA Grapalat"/>
                <w:lang w:val="af-ZA"/>
              </w:rPr>
              <w:softHyphen/>
              <w:t>ված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յուն</w:t>
            </w:r>
            <w:r w:rsidRPr="00F2718E">
              <w:rPr>
                <w:rFonts w:ascii="GHEA Grapalat" w:hAnsi="GHEA Grapalat"/>
                <w:lang w:val="af-ZA"/>
              </w:rPr>
              <w:softHyphen/>
              <w:t>ներն ըստ անհ</w:t>
            </w:r>
            <w:r w:rsidRPr="00F2718E">
              <w:rPr>
                <w:rFonts w:ascii="GHEA Grapalat" w:hAnsi="GHEA Grapalat"/>
                <w:lang w:val="af-ZA"/>
              </w:rPr>
              <w:softHyphen/>
              <w:t>րա</w:t>
            </w:r>
            <w:r w:rsidRPr="00F2718E">
              <w:rPr>
                <w:rFonts w:ascii="GHEA Grapalat" w:hAnsi="GHEA Grapalat"/>
                <w:lang w:val="af-ZA"/>
              </w:rPr>
              <w:softHyphen/>
              <w:t>ժեշ</w:t>
            </w:r>
            <w:r w:rsidRPr="00F2718E">
              <w:rPr>
                <w:rFonts w:ascii="GHEA Grapalat" w:hAnsi="GHEA Grapalat"/>
                <w:lang w:val="af-ZA"/>
              </w:rPr>
              <w:softHyphen/>
              <w:t>տութ</w:t>
            </w:r>
            <w:r w:rsidRPr="00F2718E">
              <w:rPr>
                <w:rFonts w:ascii="GHEA Grapalat" w:hAnsi="GHEA Grapalat"/>
                <w:lang w:val="af-ZA"/>
              </w:rPr>
              <w:softHyphen/>
              <w:t>յան կա</w:t>
            </w:r>
            <w:r w:rsidRPr="00F2718E">
              <w:rPr>
                <w:rFonts w:ascii="GHEA Grapalat" w:hAnsi="GHEA Grapalat"/>
                <w:lang w:val="af-ZA"/>
              </w:rPr>
              <w:softHyphen/>
              <w:t>տա</w:t>
            </w:r>
            <w:r w:rsidRPr="00F2718E">
              <w:rPr>
                <w:rFonts w:ascii="GHEA Grapalat" w:hAnsi="GHEA Grapalat"/>
                <w:lang w:val="af-ZA"/>
              </w:rPr>
              <w:softHyphen/>
              <w:t>րե</w:t>
            </w:r>
            <w:r w:rsidRPr="00F2718E">
              <w:rPr>
                <w:rFonts w:ascii="GHEA Grapalat" w:hAnsi="GHEA Grapalat"/>
                <w:lang w:val="af-ZA"/>
              </w:rPr>
              <w:softHyphen/>
              <w:t>լով գրա</w:t>
            </w:r>
            <w:r w:rsidRPr="00F2718E">
              <w:rPr>
                <w:rFonts w:ascii="GHEA Grapalat" w:hAnsi="GHEA Grapalat"/>
                <w:lang w:val="af-ZA"/>
              </w:rPr>
              <w:softHyphen/>
              <w:t>վոր կեր</w:t>
            </w:r>
            <w:r w:rsidRPr="00F2718E">
              <w:rPr>
                <w:rFonts w:ascii="GHEA Grapalat" w:hAnsi="GHEA Grapalat"/>
                <w:lang w:val="af-ZA"/>
              </w:rPr>
              <w:softHyphen/>
              <w:t>պով»:</w:t>
            </w:r>
          </w:p>
          <w:p w14:paraId="302964B4"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Բացի այդ առաջարկվել էր Օրենսգրքի 29-րդ հոդ</w:t>
            </w:r>
            <w:r w:rsidRPr="00F2718E">
              <w:rPr>
                <w:rFonts w:ascii="GHEA Grapalat" w:hAnsi="GHEA Grapalat"/>
                <w:lang w:val="af-ZA"/>
              </w:rPr>
              <w:softHyphen/>
              <w:t>վա</w:t>
            </w:r>
            <w:r w:rsidRPr="00F2718E">
              <w:rPr>
                <w:rFonts w:ascii="GHEA Grapalat" w:hAnsi="GHEA Grapalat"/>
                <w:lang w:val="af-ZA"/>
              </w:rPr>
              <w:softHyphen/>
              <w:t>ծի 1-ին մա</w:t>
            </w:r>
            <w:r w:rsidRPr="00F2718E">
              <w:rPr>
                <w:rFonts w:ascii="GHEA Grapalat" w:hAnsi="GHEA Grapalat"/>
                <w:lang w:val="af-ZA"/>
              </w:rPr>
              <w:softHyphen/>
              <w:t>սը լրաց</w:t>
            </w:r>
            <w:r w:rsidRPr="00F2718E">
              <w:rPr>
                <w:rFonts w:ascii="GHEA Grapalat" w:hAnsi="GHEA Grapalat"/>
                <w:lang w:val="af-ZA"/>
              </w:rPr>
              <w:softHyphen/>
              <w:t>նել նոր նա</w:t>
            </w:r>
            <w:r w:rsidRPr="00F2718E">
              <w:rPr>
                <w:rFonts w:ascii="GHEA Grapalat" w:hAnsi="GHEA Grapalat"/>
                <w:lang w:val="af-ZA"/>
              </w:rPr>
              <w:softHyphen/>
              <w:t>խա</w:t>
            </w:r>
            <w:r w:rsidRPr="00F2718E">
              <w:rPr>
                <w:rFonts w:ascii="GHEA Grapalat" w:hAnsi="GHEA Grapalat"/>
                <w:lang w:val="af-ZA"/>
              </w:rPr>
              <w:softHyphen/>
              <w:t>դա</w:t>
            </w:r>
            <w:r w:rsidRPr="00F2718E">
              <w:rPr>
                <w:rFonts w:ascii="GHEA Grapalat" w:hAnsi="GHEA Grapalat"/>
                <w:lang w:val="af-ZA"/>
              </w:rPr>
              <w:softHyphen/>
              <w:t>սութ</w:t>
            </w:r>
            <w:r w:rsidRPr="00F2718E">
              <w:rPr>
                <w:rFonts w:ascii="GHEA Grapalat" w:hAnsi="GHEA Grapalat"/>
                <w:lang w:val="af-ZA"/>
              </w:rPr>
              <w:softHyphen/>
              <w:t>յամբ.</w:t>
            </w:r>
          </w:p>
          <w:p w14:paraId="3F091566"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Տար</w:t>
            </w:r>
            <w:r w:rsidRPr="00F2718E">
              <w:rPr>
                <w:rFonts w:ascii="GHEA Grapalat" w:hAnsi="GHEA Grapalat"/>
                <w:lang w:val="af-ZA"/>
              </w:rPr>
              <w:softHyphen/>
              <w:t>բե</w:t>
            </w:r>
            <w:r w:rsidRPr="00F2718E">
              <w:rPr>
                <w:rFonts w:ascii="GHEA Grapalat" w:hAnsi="GHEA Grapalat"/>
                <w:lang w:val="af-ZA"/>
              </w:rPr>
              <w:softHyphen/>
              <w:t>րակ թիվ 1</w:t>
            </w:r>
          </w:p>
          <w:p w14:paraId="5A86B2E2"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«Դա</w:t>
            </w:r>
            <w:r w:rsidRPr="00F2718E">
              <w:rPr>
                <w:rFonts w:ascii="GHEA Grapalat" w:hAnsi="GHEA Grapalat"/>
                <w:lang w:val="af-ZA"/>
              </w:rPr>
              <w:softHyphen/>
              <w:t>տա</w:t>
            </w:r>
            <w:r w:rsidRPr="00F2718E">
              <w:rPr>
                <w:rFonts w:ascii="GHEA Grapalat" w:hAnsi="GHEA Grapalat"/>
                <w:lang w:val="af-ZA"/>
              </w:rPr>
              <w:softHyphen/>
              <w:t>վորն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կա</w:t>
            </w:r>
            <w:r w:rsidRPr="00F2718E">
              <w:rPr>
                <w:rFonts w:ascii="GHEA Grapalat" w:hAnsi="GHEA Grapalat"/>
                <w:lang w:val="af-ZA"/>
              </w:rPr>
              <w:softHyphen/>
              <w:t>րող է հայտ</w:t>
            </w:r>
            <w:r w:rsidRPr="00F2718E">
              <w:rPr>
                <w:rFonts w:ascii="GHEA Grapalat" w:hAnsi="GHEA Grapalat"/>
                <w:lang w:val="af-ZA"/>
              </w:rPr>
              <w:softHyphen/>
              <w:t>նել, կամ նրան բա</w:t>
            </w:r>
            <w:r w:rsidRPr="00F2718E">
              <w:rPr>
                <w:rFonts w:ascii="GHEA Grapalat" w:hAnsi="GHEA Grapalat"/>
                <w:lang w:val="af-ZA"/>
              </w:rPr>
              <w:softHyphen/>
              <w:t>ցարկ կա</w:t>
            </w:r>
            <w:r w:rsidRPr="00F2718E">
              <w:rPr>
                <w:rFonts w:ascii="GHEA Grapalat" w:hAnsi="GHEA Grapalat"/>
                <w:lang w:val="af-ZA"/>
              </w:rPr>
              <w:softHyphen/>
              <w:t>րող է հայտն</w:t>
            </w:r>
            <w:r w:rsidRPr="00F2718E">
              <w:rPr>
                <w:rFonts w:ascii="GHEA Grapalat" w:hAnsi="GHEA Grapalat"/>
                <w:lang w:val="af-ZA"/>
              </w:rPr>
              <w:softHyphen/>
              <w:t>վել ու քննվել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 կող</w:t>
            </w:r>
            <w:r w:rsidRPr="00F2718E">
              <w:rPr>
                <w:rFonts w:ascii="GHEA Grapalat" w:hAnsi="GHEA Grapalat"/>
                <w:lang w:val="af-ZA"/>
              </w:rPr>
              <w:softHyphen/>
              <w:t>մից մինչև հրա</w:t>
            </w:r>
            <w:r w:rsidRPr="00F2718E">
              <w:rPr>
                <w:rFonts w:ascii="GHEA Grapalat" w:hAnsi="GHEA Grapalat"/>
                <w:lang w:val="af-ZA"/>
              </w:rPr>
              <w:softHyphen/>
              <w:t>վիր</w:t>
            </w:r>
            <w:r w:rsidRPr="00F2718E">
              <w:rPr>
                <w:rFonts w:ascii="GHEA Grapalat" w:hAnsi="GHEA Grapalat"/>
                <w:lang w:val="af-ZA"/>
              </w:rPr>
              <w:softHyphen/>
              <w:t>ված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տը, ե</w:t>
            </w:r>
            <w:r w:rsidRPr="00F2718E">
              <w:rPr>
                <w:rFonts w:ascii="GHEA Grapalat" w:hAnsi="GHEA Grapalat"/>
                <w:lang w:val="af-ZA"/>
              </w:rPr>
              <w:softHyphen/>
              <w:t>թե մինչև նախ</w:t>
            </w:r>
            <w:r w:rsidRPr="00F2718E">
              <w:rPr>
                <w:rFonts w:ascii="GHEA Grapalat" w:hAnsi="GHEA Grapalat"/>
                <w:lang w:val="af-ZA"/>
              </w:rPr>
              <w:softHyphen/>
              <w:t>նա</w:t>
            </w:r>
            <w:r w:rsidRPr="00F2718E">
              <w:rPr>
                <w:rFonts w:ascii="GHEA Grapalat" w:hAnsi="GHEA Grapalat"/>
                <w:lang w:val="af-ZA"/>
              </w:rPr>
              <w:softHyphen/>
              <w:t>կան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տը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րը տվյալ գոր</w:t>
            </w:r>
            <w:r w:rsidRPr="00F2718E">
              <w:rPr>
                <w:rFonts w:ascii="GHEA Grapalat" w:hAnsi="GHEA Grapalat"/>
                <w:lang w:val="af-ZA"/>
              </w:rPr>
              <w:softHyphen/>
              <w:t>ծով պետք է կա</w:t>
            </w:r>
            <w:r w:rsidRPr="00F2718E">
              <w:rPr>
                <w:rFonts w:ascii="GHEA Grapalat" w:hAnsi="GHEA Grapalat"/>
                <w:lang w:val="af-ZA"/>
              </w:rPr>
              <w:softHyphen/>
              <w:t>տա</w:t>
            </w:r>
            <w:r w:rsidRPr="00F2718E">
              <w:rPr>
                <w:rFonts w:ascii="GHEA Grapalat" w:hAnsi="GHEA Grapalat"/>
                <w:lang w:val="af-ZA"/>
              </w:rPr>
              <w:softHyphen/>
              <w:t>րի դատա</w:t>
            </w:r>
            <w:r w:rsidRPr="00F2718E">
              <w:rPr>
                <w:rFonts w:ascii="GHEA Grapalat" w:hAnsi="GHEA Grapalat"/>
                <w:lang w:val="af-ZA"/>
              </w:rPr>
              <w:softHyphen/>
              <w:t>վա</w:t>
            </w:r>
            <w:r w:rsidRPr="00F2718E">
              <w:rPr>
                <w:rFonts w:ascii="GHEA Grapalat" w:hAnsi="GHEA Grapalat"/>
                <w:lang w:val="af-ZA"/>
              </w:rPr>
              <w:softHyphen/>
              <w:t>րա</w:t>
            </w:r>
            <w:r w:rsidRPr="00F2718E">
              <w:rPr>
                <w:rFonts w:ascii="GHEA Grapalat" w:hAnsi="GHEA Grapalat"/>
                <w:lang w:val="af-ZA"/>
              </w:rPr>
              <w:softHyphen/>
              <w:t>կան որևէ գոր</w:t>
            </w:r>
            <w:r w:rsidRPr="00F2718E">
              <w:rPr>
                <w:rFonts w:ascii="GHEA Grapalat" w:hAnsi="GHEA Grapalat"/>
                <w:lang w:val="af-ZA"/>
              </w:rPr>
              <w:softHyphen/>
              <w:t>ծո</w:t>
            </w:r>
            <w:r w:rsidRPr="00F2718E">
              <w:rPr>
                <w:rFonts w:ascii="GHEA Grapalat" w:hAnsi="GHEA Grapalat"/>
                <w:lang w:val="af-ZA"/>
              </w:rPr>
              <w:softHyphen/>
              <w:t>ղութ</w:t>
            </w:r>
            <w:r w:rsidRPr="00F2718E">
              <w:rPr>
                <w:rFonts w:ascii="GHEA Grapalat" w:hAnsi="GHEA Grapalat"/>
                <w:lang w:val="af-ZA"/>
              </w:rPr>
              <w:softHyphen/>
              <w:t>յուն»:</w:t>
            </w:r>
          </w:p>
          <w:p w14:paraId="7C897738"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Տար</w:t>
            </w:r>
            <w:r w:rsidRPr="00F2718E">
              <w:rPr>
                <w:rFonts w:ascii="GHEA Grapalat" w:hAnsi="GHEA Grapalat"/>
                <w:lang w:val="af-ZA"/>
              </w:rPr>
              <w:softHyphen/>
              <w:t>բե</w:t>
            </w:r>
            <w:r w:rsidRPr="00F2718E">
              <w:rPr>
                <w:rFonts w:ascii="GHEA Grapalat" w:hAnsi="GHEA Grapalat"/>
                <w:lang w:val="af-ZA"/>
              </w:rPr>
              <w:softHyphen/>
              <w:t>րակ թիվ 2</w:t>
            </w:r>
          </w:p>
          <w:p w14:paraId="40AF877F" w14:textId="77777777" w:rsidR="00881AD5" w:rsidRPr="00F2718E" w:rsidRDefault="00BF20B9" w:rsidP="00A961C5">
            <w:pPr>
              <w:spacing w:line="360" w:lineRule="auto"/>
              <w:jc w:val="both"/>
              <w:rPr>
                <w:rFonts w:ascii="GHEA Grapalat" w:hAnsi="GHEA Grapalat"/>
                <w:lang w:val="af-ZA"/>
              </w:rPr>
            </w:pPr>
            <w:r w:rsidRPr="00F2718E">
              <w:rPr>
                <w:rFonts w:ascii="GHEA Grapalat" w:hAnsi="GHEA Grapalat"/>
                <w:lang w:val="af-ZA"/>
              </w:rPr>
              <w:t>«Դա</w:t>
            </w:r>
            <w:r w:rsidRPr="00F2718E">
              <w:rPr>
                <w:rFonts w:ascii="GHEA Grapalat" w:hAnsi="GHEA Grapalat"/>
                <w:lang w:val="af-ZA"/>
              </w:rPr>
              <w:softHyphen/>
              <w:t>տա</w:t>
            </w:r>
            <w:r w:rsidRPr="00F2718E">
              <w:rPr>
                <w:rFonts w:ascii="GHEA Grapalat" w:hAnsi="GHEA Grapalat"/>
                <w:lang w:val="af-ZA"/>
              </w:rPr>
              <w:softHyphen/>
              <w:t>վորն անհ</w:t>
            </w:r>
            <w:r w:rsidRPr="00F2718E">
              <w:rPr>
                <w:rFonts w:ascii="GHEA Grapalat" w:hAnsi="GHEA Grapalat"/>
                <w:lang w:val="af-ZA"/>
              </w:rPr>
              <w:softHyphen/>
              <w:t>րա</w:t>
            </w:r>
            <w:r w:rsidRPr="00F2718E">
              <w:rPr>
                <w:rFonts w:ascii="GHEA Grapalat" w:hAnsi="GHEA Grapalat"/>
                <w:lang w:val="af-ZA"/>
              </w:rPr>
              <w:softHyphen/>
              <w:t>ժեշ</w:t>
            </w:r>
            <w:r w:rsidRPr="00F2718E">
              <w:rPr>
                <w:rFonts w:ascii="GHEA Grapalat" w:hAnsi="GHEA Grapalat"/>
                <w:lang w:val="af-ZA"/>
              </w:rPr>
              <w:softHyphen/>
              <w:t>տութ</w:t>
            </w:r>
            <w:r w:rsidRPr="00F2718E">
              <w:rPr>
                <w:rFonts w:ascii="GHEA Grapalat" w:hAnsi="GHEA Grapalat"/>
                <w:lang w:val="af-ZA"/>
              </w:rPr>
              <w:softHyphen/>
              <w:t>յան դեպ</w:t>
            </w:r>
            <w:r w:rsidRPr="00F2718E">
              <w:rPr>
                <w:rFonts w:ascii="GHEA Grapalat" w:hAnsi="GHEA Grapalat"/>
                <w:lang w:val="af-ZA"/>
              </w:rPr>
              <w:softHyphen/>
              <w:t>քում ինք</w:t>
            </w:r>
            <w:r w:rsidRPr="00F2718E">
              <w:rPr>
                <w:rFonts w:ascii="GHEA Grapalat" w:hAnsi="GHEA Grapalat"/>
                <w:lang w:val="af-ZA"/>
              </w:rPr>
              <w:softHyphen/>
              <w:t>նա</w:t>
            </w:r>
            <w:r w:rsidRPr="00F2718E">
              <w:rPr>
                <w:rFonts w:ascii="GHEA Grapalat" w:hAnsi="GHEA Grapalat"/>
                <w:lang w:val="af-ZA"/>
              </w:rPr>
              <w:softHyphen/>
              <w:t>բա</w:t>
            </w:r>
            <w:r w:rsidRPr="00F2718E">
              <w:rPr>
                <w:rFonts w:ascii="GHEA Grapalat" w:hAnsi="GHEA Grapalat"/>
                <w:lang w:val="af-ZA"/>
              </w:rPr>
              <w:softHyphen/>
              <w:t>ցարկ կա</w:t>
            </w:r>
            <w:r w:rsidRPr="00F2718E">
              <w:rPr>
                <w:rFonts w:ascii="GHEA Grapalat" w:hAnsi="GHEA Grapalat"/>
                <w:lang w:val="af-ZA"/>
              </w:rPr>
              <w:softHyphen/>
              <w:t>րող է հայտ</w:t>
            </w:r>
            <w:r w:rsidRPr="00F2718E">
              <w:rPr>
                <w:rFonts w:ascii="GHEA Grapalat" w:hAnsi="GHEA Grapalat"/>
                <w:lang w:val="af-ZA"/>
              </w:rPr>
              <w:softHyphen/>
              <w:t>նել կամ նրան բա</w:t>
            </w:r>
            <w:r w:rsidRPr="00F2718E">
              <w:rPr>
                <w:rFonts w:ascii="GHEA Grapalat" w:hAnsi="GHEA Grapalat"/>
                <w:lang w:val="af-ZA"/>
              </w:rPr>
              <w:softHyphen/>
              <w:t>ցարկ կա</w:t>
            </w:r>
            <w:r w:rsidRPr="00F2718E">
              <w:rPr>
                <w:rFonts w:ascii="GHEA Grapalat" w:hAnsi="GHEA Grapalat"/>
                <w:lang w:val="af-ZA"/>
              </w:rPr>
              <w:softHyphen/>
              <w:t>րող է հայտն</w:t>
            </w:r>
            <w:r w:rsidRPr="00F2718E">
              <w:rPr>
                <w:rFonts w:ascii="GHEA Grapalat" w:hAnsi="GHEA Grapalat"/>
                <w:lang w:val="af-ZA"/>
              </w:rPr>
              <w:softHyphen/>
              <w:t>վել և այն քննվել դա</w:t>
            </w:r>
            <w:r w:rsidRPr="00F2718E">
              <w:rPr>
                <w:rFonts w:ascii="GHEA Grapalat" w:hAnsi="GHEA Grapalat"/>
                <w:lang w:val="af-ZA"/>
              </w:rPr>
              <w:softHyphen/>
              <w:t>տա</w:t>
            </w:r>
            <w:r w:rsidRPr="00F2718E">
              <w:rPr>
                <w:rFonts w:ascii="GHEA Grapalat" w:hAnsi="GHEA Grapalat"/>
                <w:lang w:val="af-ZA"/>
              </w:rPr>
              <w:softHyphen/>
              <w:t>վո</w:t>
            </w:r>
            <w:r w:rsidRPr="00F2718E">
              <w:rPr>
                <w:rFonts w:ascii="GHEA Grapalat" w:hAnsi="GHEA Grapalat"/>
                <w:lang w:val="af-ZA"/>
              </w:rPr>
              <w:softHyphen/>
              <w:t>րի կող</w:t>
            </w:r>
            <w:r w:rsidRPr="00F2718E">
              <w:rPr>
                <w:rFonts w:ascii="GHEA Grapalat" w:hAnsi="GHEA Grapalat"/>
                <w:lang w:val="af-ZA"/>
              </w:rPr>
              <w:softHyphen/>
              <w:t>մից դա</w:t>
            </w:r>
            <w:r w:rsidRPr="00F2718E">
              <w:rPr>
                <w:rFonts w:ascii="GHEA Grapalat" w:hAnsi="GHEA Grapalat"/>
                <w:lang w:val="af-ZA"/>
              </w:rPr>
              <w:softHyphen/>
              <w:t>տա</w:t>
            </w:r>
            <w:r w:rsidRPr="00F2718E">
              <w:rPr>
                <w:rFonts w:ascii="GHEA Grapalat" w:hAnsi="GHEA Grapalat"/>
                <w:lang w:val="af-ZA"/>
              </w:rPr>
              <w:softHyphen/>
              <w:t>կան նիս</w:t>
            </w:r>
            <w:r w:rsidRPr="00F2718E">
              <w:rPr>
                <w:rFonts w:ascii="GHEA Grapalat" w:hAnsi="GHEA Grapalat"/>
                <w:lang w:val="af-ZA"/>
              </w:rPr>
              <w:softHyphen/>
              <w:t>տից դուրս»:</w:t>
            </w:r>
          </w:p>
        </w:tc>
        <w:tc>
          <w:tcPr>
            <w:tcW w:w="7022" w:type="dxa"/>
            <w:gridSpan w:val="6"/>
          </w:tcPr>
          <w:p w14:paraId="28EDD932" w14:textId="77777777" w:rsidR="002114B1" w:rsidRPr="00F2718E" w:rsidRDefault="002114B1" w:rsidP="00A961C5">
            <w:pPr>
              <w:spacing w:line="360" w:lineRule="auto"/>
              <w:ind w:firstLine="720"/>
              <w:jc w:val="center"/>
              <w:rPr>
                <w:rFonts w:ascii="GHEA Grapalat" w:hAnsi="GHEA Grapalat"/>
                <w:b/>
                <w:lang w:val="hy-AM"/>
              </w:rPr>
            </w:pPr>
            <w:r w:rsidRPr="00F2718E">
              <w:rPr>
                <w:rFonts w:ascii="GHEA Grapalat" w:hAnsi="GHEA Grapalat"/>
                <w:b/>
                <w:lang w:val="hy-AM"/>
              </w:rPr>
              <w:t>Չի ընդունվել:</w:t>
            </w:r>
          </w:p>
          <w:p w14:paraId="47B226A2" w14:textId="77777777" w:rsidR="002114B1" w:rsidRPr="00F2718E" w:rsidRDefault="002114B1" w:rsidP="00A961C5">
            <w:pPr>
              <w:spacing w:line="360" w:lineRule="auto"/>
              <w:jc w:val="both"/>
              <w:rPr>
                <w:rFonts w:ascii="GHEA Grapalat" w:hAnsi="GHEA Grapalat"/>
                <w:lang w:val="hy-AM"/>
              </w:rPr>
            </w:pPr>
            <w:r w:rsidRPr="00F2718E">
              <w:rPr>
                <w:rFonts w:ascii="GHEA Grapalat" w:hAnsi="GHEA Grapalat"/>
                <w:lang w:val="hy-AM"/>
              </w:rPr>
              <w:t>Դատական օրենսգիրքը չի սահմանում ինքնաբացարկի հիմքերը նախքան հայցադիմումը/դիմումը կամ բողոքը վարույթ ընդունելը բացահայտելու ընթացակարգ, որպիսի պայմաններում սույն Նախագծերի շրջանակից դուրս է նման կարգավորման սահմանումը:</w:t>
            </w:r>
          </w:p>
          <w:p w14:paraId="1880FC08" w14:textId="77777777" w:rsidR="002114B1" w:rsidRPr="00F2718E" w:rsidRDefault="002114B1" w:rsidP="00A961C5">
            <w:pPr>
              <w:spacing w:line="360" w:lineRule="auto"/>
              <w:jc w:val="both"/>
              <w:rPr>
                <w:rFonts w:ascii="GHEA Grapalat" w:hAnsi="GHEA Grapalat"/>
                <w:lang w:val="hy-AM"/>
              </w:rPr>
            </w:pPr>
            <w:r w:rsidRPr="00F2718E">
              <w:rPr>
                <w:rFonts w:ascii="GHEA Grapalat" w:hAnsi="GHEA Grapalat"/>
                <w:lang w:val="hy-AM"/>
              </w:rPr>
              <w:t>Այնուամենայնիվ, ավելորդ չենք համարում նշել, որ ներկայումս գործող կարգավորումները սահմանում են ինքնաբացարկ հայտնելու կամ բացարկի միջնորդություն ներկայացնելու ժամկետները, այն է՝</w:t>
            </w:r>
          </w:p>
          <w:p w14:paraId="275176F4" w14:textId="77777777" w:rsidR="002114B1" w:rsidRPr="00F2718E" w:rsidRDefault="002114B1" w:rsidP="00A961C5">
            <w:pPr>
              <w:pStyle w:val="ListParagraph"/>
              <w:numPr>
                <w:ilvl w:val="0"/>
                <w:numId w:val="2"/>
              </w:numPr>
              <w:spacing w:line="360" w:lineRule="auto"/>
              <w:ind w:left="360"/>
              <w:jc w:val="both"/>
              <w:rPr>
                <w:rFonts w:ascii="GHEA Grapalat" w:hAnsi="GHEA Grapalat"/>
                <w:sz w:val="24"/>
                <w:szCs w:val="24"/>
                <w:lang w:val="hy-AM"/>
              </w:rPr>
            </w:pPr>
            <w:r w:rsidRPr="00F2718E">
              <w:rPr>
                <w:rFonts w:ascii="GHEA Grapalat" w:hAnsi="GHEA Grapalat"/>
                <w:sz w:val="24"/>
                <w:szCs w:val="24"/>
                <w:lang w:val="hy-AM"/>
              </w:rPr>
              <w:t>առաջին ատյանի դատարանում՝</w:t>
            </w:r>
            <w:r w:rsidRPr="00F2718E">
              <w:rPr>
                <w:rFonts w:cs="Calibri"/>
                <w:sz w:val="24"/>
                <w:szCs w:val="24"/>
                <w:lang w:val="hy-AM"/>
              </w:rPr>
              <w:t> </w:t>
            </w:r>
            <w:r w:rsidRPr="00F2718E">
              <w:rPr>
                <w:rFonts w:ascii="GHEA Grapalat" w:hAnsi="GHEA Grapalat" w:cs="GHEA Grapalat"/>
                <w:sz w:val="24"/>
                <w:szCs w:val="24"/>
                <w:lang w:val="hy-AM"/>
              </w:rPr>
              <w:t>նախնական</w:t>
            </w:r>
            <w:r w:rsidRPr="00F2718E">
              <w:rPr>
                <w:rFonts w:ascii="GHEA Grapalat" w:hAnsi="GHEA Grapalat"/>
                <w:sz w:val="24"/>
                <w:szCs w:val="24"/>
                <w:lang w:val="hy-AM"/>
              </w:rPr>
              <w:t xml:space="preserve"> </w:t>
            </w:r>
            <w:r w:rsidRPr="00F2718E">
              <w:rPr>
                <w:rFonts w:ascii="GHEA Grapalat" w:hAnsi="GHEA Grapalat" w:cs="GHEA Grapalat"/>
                <w:sz w:val="24"/>
                <w:szCs w:val="24"/>
                <w:lang w:val="hy-AM"/>
              </w:rPr>
              <w:t>դատական</w:t>
            </w:r>
            <w:r w:rsidRPr="00F2718E">
              <w:rPr>
                <w:rFonts w:ascii="GHEA Grapalat" w:hAnsi="GHEA Grapalat"/>
                <w:sz w:val="24"/>
                <w:szCs w:val="24"/>
                <w:lang w:val="hy-AM"/>
              </w:rPr>
              <w:t xml:space="preserve"> </w:t>
            </w:r>
            <w:r w:rsidRPr="00F2718E">
              <w:rPr>
                <w:rFonts w:ascii="GHEA Grapalat" w:hAnsi="GHEA Grapalat" w:cs="GHEA Grapalat"/>
                <w:sz w:val="24"/>
                <w:szCs w:val="24"/>
                <w:lang w:val="hy-AM"/>
              </w:rPr>
              <w:t>նիստի</w:t>
            </w:r>
            <w:r w:rsidRPr="00F2718E">
              <w:rPr>
                <w:rFonts w:ascii="GHEA Grapalat" w:hAnsi="GHEA Grapalat"/>
                <w:sz w:val="24"/>
                <w:szCs w:val="24"/>
                <w:lang w:val="hy-AM"/>
              </w:rPr>
              <w:t xml:space="preserve"> </w:t>
            </w:r>
            <w:r w:rsidRPr="00F2718E">
              <w:rPr>
                <w:rFonts w:ascii="GHEA Grapalat" w:hAnsi="GHEA Grapalat" w:cs="GHEA Grapalat"/>
                <w:sz w:val="24"/>
                <w:szCs w:val="24"/>
                <w:lang w:val="hy-AM"/>
              </w:rPr>
              <w:t>ավարտը</w:t>
            </w:r>
            <w:r w:rsidRPr="00F2718E">
              <w:rPr>
                <w:rFonts w:ascii="GHEA Grapalat" w:hAnsi="GHEA Grapalat"/>
                <w:sz w:val="24"/>
                <w:szCs w:val="24"/>
                <w:lang w:val="hy-AM"/>
              </w:rPr>
              <w:t>, առանց նախնական դատական նիստում գործի քննության դեպքում՝ գործի քննության ավարտը,</w:t>
            </w:r>
          </w:p>
          <w:p w14:paraId="7B4D4362" w14:textId="77777777" w:rsidR="002114B1" w:rsidRPr="00F2718E" w:rsidRDefault="002114B1" w:rsidP="00A961C5">
            <w:pPr>
              <w:pStyle w:val="ListParagraph"/>
              <w:numPr>
                <w:ilvl w:val="0"/>
                <w:numId w:val="2"/>
              </w:numPr>
              <w:spacing w:after="0" w:line="360" w:lineRule="auto"/>
              <w:ind w:left="360"/>
              <w:jc w:val="both"/>
              <w:rPr>
                <w:rFonts w:ascii="GHEA Grapalat" w:hAnsi="GHEA Grapalat"/>
                <w:sz w:val="24"/>
                <w:szCs w:val="24"/>
                <w:lang w:val="hy-AM"/>
              </w:rPr>
            </w:pPr>
            <w:r w:rsidRPr="00F2718E">
              <w:rPr>
                <w:rFonts w:ascii="GHEA Grapalat" w:hAnsi="GHEA Grapalat"/>
                <w:sz w:val="24"/>
                <w:szCs w:val="24"/>
                <w:lang w:val="hy-AM"/>
              </w:rPr>
              <w:t>վերաքննիչ և Վճռաբեկ դատարաններում՝ մինչև բողոքի քննությունն սկսվելը:</w:t>
            </w:r>
          </w:p>
          <w:p w14:paraId="5E1EF126" w14:textId="77777777" w:rsidR="00881AD5" w:rsidRPr="00F2718E" w:rsidRDefault="002114B1" w:rsidP="00A961C5">
            <w:pPr>
              <w:spacing w:line="360" w:lineRule="auto"/>
              <w:jc w:val="both"/>
              <w:rPr>
                <w:rFonts w:ascii="GHEA Grapalat" w:hAnsi="GHEA Grapalat"/>
                <w:lang w:val="hy-AM"/>
              </w:rPr>
            </w:pPr>
            <w:r w:rsidRPr="00F2718E">
              <w:rPr>
                <w:rFonts w:ascii="GHEA Grapalat" w:hAnsi="GHEA Grapalat"/>
                <w:lang w:val="hy-AM"/>
              </w:rPr>
              <w:t>Նման կարգավորումները չեն բացառում մինչև հայցադիմումը կամ վերաքննիչ բողոքը վարույթ ընդունելը դատավորի կողմից սեփական նախաձեռնությամբ, առանց ինքնաբացարկի հիմքերը բացահայտելու կամ կողմերի կողմից դրանց անտեսման, ինքնաբացարկ հայտնելու հնարավորությունը: Օրենսգրքի 29-րդ հոդվածի 10-րդ մասը վերաբերում է այն դեպքերին, երբ դատարանն իր անաչառության վերաբերյալ կասկածներ չունի, մինչդեռ մնացյալ դեպքերում զրկված չէ մինչև հայցը կամ բողոքը վարույթ ընդունելը ինքնաբացարկ հայտնելու հնարավորությունից:</w:t>
            </w:r>
            <w:r w:rsidR="00A32506" w:rsidRPr="00F2718E">
              <w:rPr>
                <w:rFonts w:ascii="GHEA Grapalat" w:hAnsi="GHEA Grapalat"/>
                <w:lang w:val="hy-AM"/>
              </w:rPr>
              <w:t xml:space="preserve"> Միաժամանակ, եթե ինքնաբացարկի հիմքերը առկա են, սակայն դատարանը գտնում է, որ անկողմնակալ է, ապա առաջին դատական նիստում այդ հարցի քննարկումը ևս հնարավորություն է տալիս ինքնաբացարկն անտեսել և շարունակել գործի քննությունը՝ զերծ մնալով նաև անտեղի բացարկ հայտնելուց:</w:t>
            </w:r>
          </w:p>
        </w:tc>
      </w:tr>
      <w:tr w:rsidR="00881AD5" w:rsidRPr="00F2718E" w14:paraId="7CA8C698" w14:textId="77777777" w:rsidTr="00F260E8">
        <w:trPr>
          <w:gridAfter w:val="1"/>
          <w:wAfter w:w="6" w:type="dxa"/>
        </w:trPr>
        <w:tc>
          <w:tcPr>
            <w:tcW w:w="7879" w:type="dxa"/>
          </w:tcPr>
          <w:p w14:paraId="40712FF5"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10. Նախագծի 6-րդ հոդվածով ՀՀ քաղաքացիական դատավարության Օրենսգրքի 155.4-րդ հոդվածով առաջարկվում է սահմանել նշված դատական սանկցիայի կիրառման կարգը:</w:t>
            </w:r>
          </w:p>
          <w:p w14:paraId="514996CE"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Նախագծով առաջարկվող կարգավորման նպատակն իրավունքի չարաշահման դեմ օրենքով նախատեսված կոնկրետ միջոցների սահմանումն է, ինչը ողջունելի է:</w:t>
            </w:r>
          </w:p>
          <w:p w14:paraId="0F2B3DA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1.Միևնույն ժամանակ, առաջարկում ենք Նախագծի 155.4-րդ՝ ավելացվող հոդվածի 1-ին մասը ձևակերպման հետ կապված վերանայել:</w:t>
            </w:r>
          </w:p>
          <w:p w14:paraId="08E8B07F"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Այսպես, նախագծի նշված հոդվածի 1-ին մասը որպես դատական սանկցիայի կիրառման հիմք է համարում «դատավարության մասնակցի՝ որոշակի իրավունքների սույն օրենսգրքով սահմանված պարբերաբար չարաշահման դեպքը»: Նշված ձևակերպման տառացի մեկնաբանությունից ստացվում է, որ նշված դատական սանկցիան կիրառվում է, եթե.</w:t>
            </w:r>
          </w:p>
          <w:p w14:paraId="61C7AB89"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դատավարության մասնակիցը ունի որոշակի իրավունքներ,</w:t>
            </w:r>
          </w:p>
          <w:p w14:paraId="440C97D6"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դատավարության մասնակիցն ունի որոշակի իրավունքների օրենսգրքով սահմանված պարբերաբար չարաշահման հնարավորություն:</w:t>
            </w:r>
          </w:p>
          <w:p w14:paraId="3229CA41"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Հասկանալի է, որ նախագծում առաջարկվող միտքն այլ տրամաբանություն ունի, սակայն ձևակերպումն ինքնին նշանակում է, որ ՀՀ քաղաքացիական դատավարության օրենսգիրքը սահմանում է որոշակի իրավունքների պարբերաբար չարաշահման դեպք: Մինչդեռ ոչ մի օրենսգիրք, այդ թվում՝ ՀՀ քաղաքացիական դատավարության օրենսգիրքը չի կարող սահմանել դատավարական իրավունքների պարբերաբար չարաշահման դեպք: Մյուս կողմից, եթե նշված ձևակերպումն այլ կերպ մեկնաբանենք, ապա ստացվում է, որ դատական նշված սանկցիայի կիրառման համար անհրաժեշտ է, որպեսզի ՀՀ քաղաքացիական դատավարության օրենսգրքով սահմանված լինի կոնկրետ պարբերաբար և չարաշահում հանդիսացող դեպքը, քանի որ նախագծում օգտագործվում է «սույն օրենսգրքով սահմանված» ձևակերպումը:  Մինչդեռ նշվածն ինքնին ոչ միայն սահմանված չէ, այլև չի կարող սահմանվել, հակառակ դեպքում սանկցիայի սահմանման կանոնը կկորցնի իր նշանակությունը: </w:t>
            </w:r>
          </w:p>
          <w:p w14:paraId="0840ED78"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155.4-րդ՝ ավելացվող հոդվածի 1-ին մասում որպես իրավունքների սահմանափակման դատական սանկցիայի կիրառման հիմք դիտարկվում է պարբերաբար չարաշահման դեպքը:</w:t>
            </w:r>
          </w:p>
          <w:p w14:paraId="3DE2BD81"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 մասով նույնպես կարծում ենք, որ օրենսդիրը նշվածով թույլ է տալիս իրավունքի չարաշահում, քանի որ դատական սանկցիայի կիրառման հիմքը ոչ թե չարաշահումն է, այլ պարբերաբար չարաշահումը:</w:t>
            </w:r>
          </w:p>
          <w:p w14:paraId="3E8CDE72"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Ստացվում է, որ դատավարական իրավունքի չարաշահման դեպքում դատարանն իրավունք չունի և չի կարող ունենալ կիրառել դատական սանկցիա, այլ պետք է ուղղակի արձանագրի իրավունքի չարաշահման փաստը և սպասի իրավունքի չարաշահման հաջորդ դեպքին: Իրավունքի չարաշահման հաջորդ դեպքից հետո էլ դատարանն իրավունք չունի կիրառել դատական սանկցիա, քանի որ նախագծի ձևակերպման տրամաբանությամբ իրավունքի երկրորդ չարաշահման դեպքում դատարանն ընդամենը կարող է արձանագրել իրավունքի պարբերաբար չարաշահման փաստը (իհարկե՝ պարբերաբար եզրույթը դեռ մեկնաբանման ենթակա է), որը նոր կարող է հիմք հանդիսանալ նշված դատական սանկցիան կիրառելու համար:</w:t>
            </w:r>
          </w:p>
          <w:p w14:paraId="3D3E9A6C"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Հետևաբար` նշված ձևակերպման կիրառումը նույնպես խնդիրներ կարող է առաջացնել:</w:t>
            </w:r>
          </w:p>
          <w:p w14:paraId="25B7075D"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Օրինակ՝ որպեսզի կիրառվի իրավունքի սահմանափակում, պետք է առկա լինի պարբերաբար չարաշահման դեպք, որից հետո միայն դատարանը կարող է քանակական կամ ժամանակային իրավունքի սահմանափակումներ կիրառելի, այնինչ արդեն իսկ պարբերաբար չարաշահման փաստն  ինքնին այդ իրավունքից զրկելու հիմք է: Ավելի կոնկրետ օրինակ՝ եթե անձը մի քանի անգամ հետաձգման միջնորդություն է ներկայացնում, այսինքն՝ առկա է իրավունքի չարաշահման պարբերականություն, ապա չորրորդ անգամ այդպիսի միջնորդություն ներկայացնելը ոչ թե այդ իրավունքից զրկելու կամ միջնորդությունը մերժելու հիմք է, այլ՝ ևս մեկ անգամ այդպիսի միջնորդություն ներկայացնելու հնարավորություն է /քանակական սահմանափակում/, այն դեպքում, երբ իրավունքի չարաշահման ներգործության միջոց որպես իրավունքի սահմանափակումը դիտարկվելու պարագայում՝ դատարանն անմիջապես կարող էր մերժել միջնորդությունը:</w:t>
            </w:r>
          </w:p>
        </w:tc>
        <w:tc>
          <w:tcPr>
            <w:tcW w:w="7022" w:type="dxa"/>
            <w:gridSpan w:val="6"/>
          </w:tcPr>
          <w:p w14:paraId="79A2445D" w14:textId="77777777" w:rsidR="00BF20B9" w:rsidRPr="00F2718E" w:rsidRDefault="00BF20B9" w:rsidP="00A961C5">
            <w:pPr>
              <w:spacing w:line="360" w:lineRule="auto"/>
              <w:jc w:val="center"/>
              <w:rPr>
                <w:rFonts w:ascii="GHEA Grapalat" w:hAnsi="GHEA Grapalat"/>
                <w:b/>
                <w:lang w:val="hy-AM"/>
              </w:rPr>
            </w:pPr>
            <w:r w:rsidRPr="00F2718E">
              <w:rPr>
                <w:rFonts w:ascii="GHEA Grapalat" w:hAnsi="GHEA Grapalat"/>
                <w:b/>
                <w:lang w:val="hy-AM"/>
              </w:rPr>
              <w:t>Մասամբ է ընդունվել:</w:t>
            </w:r>
          </w:p>
          <w:p w14:paraId="61258BDC" w14:textId="77777777" w:rsidR="00BF20B9" w:rsidRPr="00F2718E" w:rsidRDefault="00BF20B9" w:rsidP="00A961C5">
            <w:pPr>
              <w:spacing w:line="360" w:lineRule="auto"/>
              <w:jc w:val="both"/>
              <w:rPr>
                <w:rFonts w:ascii="GHEA Grapalat" w:hAnsi="GHEA Grapalat"/>
                <w:lang w:val="hy-AM"/>
              </w:rPr>
            </w:pPr>
            <w:r w:rsidRPr="00F2718E">
              <w:rPr>
                <w:rFonts w:ascii="GHEA Grapalat" w:hAnsi="GHEA Grapalat"/>
                <w:lang w:val="hy-AM"/>
              </w:rPr>
              <w:t>Նախագիծը լրամշակվել է՝ վերախմբագրելով Օրենսգրքի 155.4-րդ հոդվածի 1-ին մասը:</w:t>
            </w:r>
          </w:p>
          <w:p w14:paraId="78735C4C"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Ինչ վերաբերում է «պարբերաբար չարաշահմանը», ապա հարկ է փաստել, որ իրավունքի իրականացման սահմանափակումը դատավարական հիմնական իրավունքների մի մասի համար քանակական կամ ժամանակային պայմանների սահմանման կառուցակարգ է: Այնուամենայնիվ, այն ենթադրում է բավականին խիստ սահմանափակման միջոց, ինչի կիրառումը մեկ անգամ որոշ իրավունքների չարաշահման փաստի դեպքում կարող է խնդրահարույց լինել և հանգեցնել արդար դատաքննության իրավունքի խախտման: Ընդ որում, մեկանգամյա կատարված գործողությունը, որը որակվում է որպես իրավունքի չարաշահում, ևս կարող է հանգեցնել այլ դատավարական ընթացակարգերի կիրառմամբ դատական սանկցիաների կիրառման:</w:t>
            </w:r>
          </w:p>
        </w:tc>
      </w:tr>
      <w:tr w:rsidR="00881AD5" w:rsidRPr="00F2718E" w14:paraId="72C476F5" w14:textId="77777777" w:rsidTr="00F260E8">
        <w:trPr>
          <w:gridAfter w:val="1"/>
          <w:wAfter w:w="6" w:type="dxa"/>
        </w:trPr>
        <w:tc>
          <w:tcPr>
            <w:tcW w:w="7879" w:type="dxa"/>
          </w:tcPr>
          <w:p w14:paraId="71D7A024"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11. Անհրաժեշտ ենք համարում նշել, որ ՀՀ քաղաքացիական դատավարության Օրենսգրքի 153-րդ հոդվածում օգտագործվում է «դատական սանկցիա» եզրույթը, հետևաբար կարծում ենք, որ տարբեր տերմինների օգտագործումը ՀՀ քաղաքացիական դատավարության օրենսգրքում տեղին չէ:</w:t>
            </w:r>
          </w:p>
        </w:tc>
        <w:tc>
          <w:tcPr>
            <w:tcW w:w="7022" w:type="dxa"/>
            <w:gridSpan w:val="6"/>
          </w:tcPr>
          <w:p w14:paraId="782766B5"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1A9C21AC"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Նախագծերը լրամշակվել են:</w:t>
            </w:r>
          </w:p>
        </w:tc>
      </w:tr>
      <w:tr w:rsidR="00881AD5" w:rsidRPr="00F2718E" w14:paraId="68068535" w14:textId="77777777" w:rsidTr="00F260E8">
        <w:trPr>
          <w:gridAfter w:val="1"/>
          <w:wAfter w:w="6" w:type="dxa"/>
        </w:trPr>
        <w:tc>
          <w:tcPr>
            <w:tcW w:w="7879" w:type="dxa"/>
          </w:tcPr>
          <w:p w14:paraId="76148D09"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12. Նախագծի 155.4-րդ՝ ավելացվող հոդվածի 2-րդ մասում թվարկված են այն իրավունքները, որոնց պարբերաբար չարաշահման դեպքում միայն դատարանը կարող է կիրառել իրավունքների սահմանափակում դատական սանկցիան:</w:t>
            </w:r>
          </w:p>
          <w:p w14:paraId="0D73922D"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Նշված իրավունքները վերցված են ՀՀ քաղաքացիական դատավարության Օրենսգրքի 32-րդ հոդվածի 1-ին մասի՝ գործին մասնակցող անձանց հիմնական դատավարական իրավունքներից:</w:t>
            </w:r>
          </w:p>
          <w:p w14:paraId="25BB7E39"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Այս տեսանկյունից կարծում ենք, որ եթե իրավունքների թվարկման տրամաբանությունը գործին մասնակցող անձանց՝ հիմնական դատավարական իրավունքների նկատմամբ նշված դատական սանկցիայի կիրառումն է, ապա իրավունքների թվարկումը այլ կերպ ներկայացնելը, քան Օրենսգրքի 32-րդ հոդվածի 1-ին մասում է, որոշակի հարցեր է բարձրացնում դրանց ընտրության տեսանկյունից: Օրինակ, ապացույցներ ներկայացնելու իրավունքը պարբերաբար չարաաշահելու դեպքում կարող է կիրառվել նշված դատական սանկցիան, իսկ ապացույցների հետազոտմանը մասնակցելու իրավունքը պարբերաբար չարաշահելու դեպքում՝ ոչ: Ենթադրաբար նախագծում հիմք է ընդունվել այն մոտեցումը, որ առավել չարաշահվում է հենց ապացույցներ ներկայացնելու, այլ ոչ թե դրանց հետազոտմանը մասնակցելու իրավունքը:</w:t>
            </w:r>
          </w:p>
        </w:tc>
        <w:tc>
          <w:tcPr>
            <w:tcW w:w="7022" w:type="dxa"/>
            <w:gridSpan w:val="6"/>
          </w:tcPr>
          <w:p w14:paraId="24E61B30"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2AADC90B"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Նախագծերը լրամշակվել են։</w:t>
            </w:r>
          </w:p>
        </w:tc>
      </w:tr>
      <w:tr w:rsidR="00881AD5" w:rsidRPr="00F2718E" w14:paraId="12F9A1EB" w14:textId="77777777" w:rsidTr="00F260E8">
        <w:trPr>
          <w:gridAfter w:val="1"/>
          <w:wAfter w:w="6" w:type="dxa"/>
        </w:trPr>
        <w:tc>
          <w:tcPr>
            <w:tcW w:w="7879" w:type="dxa"/>
          </w:tcPr>
          <w:p w14:paraId="5D3136C4"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13. Հաջորդ առաջարկը, թեև դուրս է սույն նախագծի շրջանակներից, սակայն հաշվի առնելով օրենսգրքում փոփոխություն անելու այս հնարավորությունը և նկատի ունենալով մեր առաջարկի կարևորությունը և այն, որ փոփոխության անհրաժեշտությունը ուղղված է տեխնիկական նախկին վրիպակները շտկելուն, առաջարկում ենք ներքոգրյալը նույնպես ներառել և շտկել։ Խոսքը վերաբերում է ՀՀ քաղաքացիական դատավարության Օրենսգրքի 371-րդ հոդվածի 3.1-ին կետին։ Այդ կետի շարադրանքը սկսվում է հետևյալ կերպ.</w:t>
            </w:r>
          </w:p>
          <w:p w14:paraId="440EE85A"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Եթե ներկայացված վերաքննիչ բողոքի ուսումնասիրությունից պարզ է դառնում, որ բողոք բերող անձը թույլ է տվել սույն հոդվածի 368-րդ հոդվածի 1-ին մասի 1-ին, 2-րդ, 3-րդ, 7-րդ կետերի խախտումներ, կամ… </w:t>
            </w:r>
          </w:p>
          <w:p w14:paraId="0AF494CC" w14:textId="77777777" w:rsidR="00881AD5" w:rsidRPr="00F2718E" w:rsidRDefault="00BF20B9" w:rsidP="00A961C5">
            <w:pPr>
              <w:spacing w:line="360" w:lineRule="auto"/>
              <w:jc w:val="both"/>
              <w:rPr>
                <w:rFonts w:ascii="GHEA Grapalat" w:hAnsi="GHEA Grapalat"/>
                <w:lang w:val="hy-AM"/>
              </w:rPr>
            </w:pPr>
            <w:r w:rsidRPr="00F2718E">
              <w:rPr>
                <w:rFonts w:ascii="GHEA Grapalat" w:hAnsi="GHEA Grapalat"/>
                <w:lang w:val="hy-AM"/>
              </w:rPr>
              <w:t>Հարկ է նշել, որ «հոդվածի» բառի փոխարեն պետք է նշվեր «Օրենսգրքի» բառը, իսկ «1-ին մասի» բառերի փոխարեն պետք է նշվեին «2-րդ մասի» բառերը, քանի որ Օրենսգրքի 368-րդ հոդվածի 1-ին մասը համապատասխան կետեր չունի, այդ կետերը թվարկված են 368-րդ հոդվածի 2-րդ մասում։ Սրանք զուտ վրիպակներ են, սակայն 2-րդ վրիպակն այնպիսինն է, որ որոշ մեկնաբանություններով կարող է կասկածի տակ դնել վերաքննիչ դատարանի գրասենյակին տրված լիազորությունն ընդհանրապես։</w:t>
            </w:r>
          </w:p>
        </w:tc>
        <w:tc>
          <w:tcPr>
            <w:tcW w:w="7022" w:type="dxa"/>
            <w:gridSpan w:val="6"/>
          </w:tcPr>
          <w:p w14:paraId="63FD1040" w14:textId="77777777" w:rsidR="00BF20B9" w:rsidRPr="00F2718E" w:rsidRDefault="00BF20B9" w:rsidP="00A961C5">
            <w:pPr>
              <w:spacing w:line="360" w:lineRule="auto"/>
              <w:ind w:firstLine="720"/>
              <w:jc w:val="center"/>
              <w:rPr>
                <w:rFonts w:ascii="GHEA Grapalat" w:hAnsi="GHEA Grapalat"/>
                <w:b/>
                <w:lang w:val="hy-AM"/>
              </w:rPr>
            </w:pPr>
            <w:r w:rsidRPr="00F2718E">
              <w:rPr>
                <w:rFonts w:ascii="GHEA Grapalat" w:hAnsi="GHEA Grapalat"/>
                <w:b/>
                <w:lang w:val="hy-AM"/>
              </w:rPr>
              <w:t>Ընդունվել է:</w:t>
            </w:r>
          </w:p>
          <w:p w14:paraId="7E6565A7" w14:textId="77777777" w:rsidR="00881AD5" w:rsidRPr="00F2718E" w:rsidRDefault="00BF20B9" w:rsidP="00A961C5">
            <w:pPr>
              <w:spacing w:line="360" w:lineRule="auto"/>
              <w:rPr>
                <w:rFonts w:ascii="GHEA Grapalat" w:hAnsi="GHEA Grapalat"/>
                <w:lang w:val="hy-AM"/>
              </w:rPr>
            </w:pPr>
            <w:r w:rsidRPr="00F2718E">
              <w:rPr>
                <w:rFonts w:ascii="GHEA Grapalat" w:hAnsi="GHEA Grapalat"/>
                <w:lang w:val="hy-AM"/>
              </w:rPr>
              <w:t>Նախագիծը լրամշակվել է:</w:t>
            </w:r>
          </w:p>
        </w:tc>
      </w:tr>
      <w:tr w:rsidR="00881AD5" w:rsidRPr="00F2718E" w14:paraId="2907DC9C" w14:textId="77777777" w:rsidTr="00F260E8">
        <w:trPr>
          <w:gridAfter w:val="1"/>
          <w:wAfter w:w="6" w:type="dxa"/>
        </w:trPr>
        <w:tc>
          <w:tcPr>
            <w:tcW w:w="7879" w:type="dxa"/>
          </w:tcPr>
          <w:p w14:paraId="0DC57DBB"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hy-AM"/>
              </w:rPr>
              <w:t xml:space="preserve">14. «Հայաստանի Հանրապետության վարչական դատավարության օրենսգրքում լրացումներ և փոփոխություններ կատարելու մասին» օրենքի նախագծի </w:t>
            </w:r>
            <w:r w:rsidRPr="00F2718E">
              <w:rPr>
                <w:rFonts w:ascii="GHEA Grapalat" w:hAnsi="GHEA Grapalat"/>
                <w:lang w:val="af-ZA"/>
              </w:rPr>
              <w:t>3-րդ հոդվածով ՀՀ վ</w:t>
            </w:r>
            <w:r w:rsidR="00CF3EDB" w:rsidRPr="00F2718E">
              <w:rPr>
                <w:rFonts w:ascii="GHEA Grapalat" w:hAnsi="GHEA Grapalat"/>
                <w:lang w:val="af-ZA"/>
              </w:rPr>
              <w:t>արչական դատավարության օրենսգրքի</w:t>
            </w:r>
            <w:r w:rsidRPr="00F2718E">
              <w:rPr>
                <w:rFonts w:ascii="GHEA Grapalat" w:hAnsi="GHEA Grapalat"/>
                <w:lang w:val="af-ZA"/>
              </w:rPr>
              <w:t xml:space="preserve"> 101.4-րդ հոդվածի 6-րդ մասով առաջարկվող կարգավորմամբ սահմանվել է. «Դատական տուգանքի չափը նվազեցնելու կամ այն վերացնելու միջնորդությունը մերժելու մասին դատարանի որոշումն ուժի մեջ է մտնում կայացման պահից, և դրա հիման վրա կազմված կատարողական թերթը ուղարկվում է հարկադիր կատարման...»:</w:t>
            </w:r>
          </w:p>
          <w:p w14:paraId="6C751BBD"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Նշված նորմի մեկնաբանությունից հետևում է, որ կատարողական թերթը հարկադիր կատարման է ուղարկվում դատական տուգանքի չափը նվազեցնելու կամ այն վերացնելու միջնորդությունը մերժելու մասին դատարանի որոշման հիման վրա, մինչդեռ կատարողական թերթը կարող է կատարման ներկայացվել դատական տուգանք կիրառելու մասին որոշման հիման վրա, հետևաբար գտնում ենք, որ նշված կարգավորումը  խնդրահարույց է, ինչպիսի հիմնավորմամբ էլ առաջարկվում է «դրա» բառը փոխարինել «դատական տուգանք կիրառելու մասին որոշման» բառերով:</w:t>
            </w:r>
          </w:p>
          <w:p w14:paraId="63B61353" w14:textId="77777777" w:rsidR="00BF20B9"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Միաժամանակ հարկ է նկատել, որ կատարողական թերթի և հարկադիր կատարման մասով առաջարկվող կարգավորումներով բաց են մնում այն դեպքերը, երբ նշանակված տուգանքի չափը նվազեցնելու միջնորդությունը բավարարվել և տուգանքի չափը նվազեցվել է: </w:t>
            </w:r>
          </w:p>
          <w:p w14:paraId="5B10461F"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hy-AM"/>
              </w:rPr>
              <w:t>Նկատենք նաև, որ այն դեպքում, երբ Վերաքննիչ</w:t>
            </w:r>
            <w:r w:rsidRPr="00F2718E">
              <w:rPr>
                <w:rFonts w:ascii="GHEA Grapalat" w:hAnsi="GHEA Grapalat"/>
                <w:lang w:val="af-ZA"/>
              </w:rPr>
              <w:t xml:space="preserve"> բողոքի ընդունումը մերժվում է, ապա Նախագծով Վերաքննիչ դատարանին հնարավորություն չի ընձեռվում բողոքի ընդունումը մերժելու մասին որոշմամբ կիրառել տուգանք: </w:t>
            </w:r>
          </w:p>
          <w:p w14:paraId="1A5EED7A"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hy-AM"/>
              </w:rPr>
              <w:t xml:space="preserve">Իր հերթին, </w:t>
            </w:r>
            <w:r w:rsidRPr="00F2718E">
              <w:rPr>
                <w:rFonts w:ascii="GHEA Grapalat" w:hAnsi="GHEA Grapalat"/>
                <w:lang w:val="af-ZA"/>
              </w:rPr>
              <w:t>Օրենքի նախագծով նախատեսվում է որպես դատական սանկցիա՝ դատական սանկցիաների ցանկում ներառել իրավունքի իրականացման սահմանափակումը, մինչդեռ Օրենքի նախագծի ուսումնասիրությունից պարզ չէ, թե արդյոք անձը կարող է դիմել իրավունքի իրականացման սահմանափակումը կիրառած դատարան՝ խնդրելով վերացնել իրավունքի իրականացման սահմանափակումը:</w:t>
            </w:r>
          </w:p>
          <w:p w14:paraId="46C92F78" w14:textId="77777777" w:rsidR="00BF20B9" w:rsidRPr="00F2718E" w:rsidRDefault="00BF20B9" w:rsidP="00A961C5">
            <w:pPr>
              <w:tabs>
                <w:tab w:val="left" w:pos="810"/>
                <w:tab w:val="left" w:pos="900"/>
              </w:tabs>
              <w:spacing w:line="360" w:lineRule="auto"/>
              <w:jc w:val="both"/>
              <w:rPr>
                <w:rFonts w:ascii="GHEA Grapalat" w:hAnsi="GHEA Grapalat"/>
                <w:lang w:val="af-ZA"/>
              </w:rPr>
            </w:pPr>
            <w:r w:rsidRPr="00F2718E">
              <w:rPr>
                <w:rFonts w:ascii="GHEA Grapalat" w:hAnsi="GHEA Grapalat"/>
                <w:lang w:val="af-ZA"/>
              </w:rPr>
              <w:t xml:space="preserve">Միաժամանակ հարկ ենք համարում նշել, որ Օրենքի նախագծի 3-րդ հոդվածով ՀՀ վարչական դատավարության օրենսգրքի 101.4-րդ հոդվածի 5-րդ և 7-րդ մասերը կրկնվում են: </w:t>
            </w:r>
          </w:p>
          <w:p w14:paraId="2F2EF9BE" w14:textId="77777777" w:rsidR="00881AD5" w:rsidRPr="00F2718E" w:rsidRDefault="00881AD5" w:rsidP="00A961C5">
            <w:pPr>
              <w:spacing w:line="360" w:lineRule="auto"/>
              <w:jc w:val="center"/>
              <w:rPr>
                <w:rFonts w:ascii="GHEA Grapalat" w:hAnsi="GHEA Grapalat"/>
                <w:lang w:val="af-ZA"/>
              </w:rPr>
            </w:pPr>
          </w:p>
        </w:tc>
        <w:tc>
          <w:tcPr>
            <w:tcW w:w="7022" w:type="dxa"/>
            <w:gridSpan w:val="6"/>
          </w:tcPr>
          <w:p w14:paraId="2546E009"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2B0D71B1" w14:textId="77777777"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Նախագծերից հանվել են</w:t>
            </w:r>
            <w:r w:rsidRPr="00F2718E">
              <w:rPr>
                <w:rFonts w:ascii="GHEA Grapalat" w:hAnsi="GHEA Grapalat"/>
                <w:shd w:val="clear" w:color="auto" w:fill="FFFFFF"/>
                <w:lang w:val="hy-AM"/>
              </w:rPr>
              <w:t xml:space="preserve"> առաջարկվող </w:t>
            </w:r>
            <w:r>
              <w:rPr>
                <w:rFonts w:ascii="GHEA Grapalat" w:hAnsi="GHEA Grapalat"/>
                <w:lang w:val="hy-AM"/>
              </w:rPr>
              <w:t>101</w:t>
            </w:r>
            <w:r w:rsidRPr="00F2718E">
              <w:rPr>
                <w:rFonts w:ascii="GHEA Grapalat" w:hAnsi="GHEA Grapalat"/>
                <w:lang w:val="hy-AM"/>
              </w:rPr>
              <w:t>.</w:t>
            </w:r>
            <w:r>
              <w:rPr>
                <w:rFonts w:ascii="GHEA Grapalat" w:hAnsi="GHEA Grapalat"/>
                <w:lang w:val="hy-AM"/>
              </w:rPr>
              <w:t>4</w:t>
            </w:r>
            <w:r w:rsidRPr="00F2718E">
              <w:rPr>
                <w:rFonts w:ascii="GHEA Grapalat" w:hAnsi="GHEA Grapalat"/>
                <w:lang w:val="hy-AM"/>
              </w:rPr>
              <w:t>-</w:t>
            </w:r>
            <w:r>
              <w:rPr>
                <w:rFonts w:ascii="GHEA Grapalat" w:hAnsi="GHEA Grapalat"/>
                <w:lang w:val="hy-AM"/>
              </w:rPr>
              <w:t xml:space="preserve">րդ և </w:t>
            </w:r>
            <w:r>
              <w:rPr>
                <w:rFonts w:ascii="GHEA Grapalat" w:hAnsi="GHEA Grapalat"/>
                <w:lang w:val="en-US"/>
              </w:rPr>
              <w:t>155.2-</w:t>
            </w:r>
            <w:r>
              <w:rPr>
                <w:rFonts w:ascii="GHEA Grapalat" w:hAnsi="GHEA Grapalat"/>
                <w:lang w:val="hy-AM"/>
              </w:rPr>
              <w:t>րդ</w:t>
            </w:r>
            <w:r w:rsidRPr="00F2718E">
              <w:rPr>
                <w:rFonts w:ascii="GHEA Grapalat" w:hAnsi="GHEA Grapalat"/>
                <w:lang w:val="hy-AM"/>
              </w:rPr>
              <w:t xml:space="preserve"> </w:t>
            </w:r>
            <w:r>
              <w:rPr>
                <w:rFonts w:ascii="GHEA Grapalat" w:hAnsi="GHEA Grapalat"/>
                <w:lang w:val="hy-AM"/>
              </w:rPr>
              <w:t>հոդվածները:</w:t>
            </w:r>
          </w:p>
          <w:p w14:paraId="1A9D8BC6" w14:textId="3E9CED42" w:rsidR="00881AD5" w:rsidRPr="00F2718E" w:rsidRDefault="00881AD5" w:rsidP="00A961C5">
            <w:pPr>
              <w:spacing w:line="360" w:lineRule="auto"/>
              <w:rPr>
                <w:rFonts w:ascii="GHEA Grapalat" w:hAnsi="GHEA Grapalat"/>
                <w:lang w:val="af-ZA"/>
              </w:rPr>
            </w:pPr>
          </w:p>
        </w:tc>
      </w:tr>
      <w:tr w:rsidR="00881AD5" w:rsidRPr="00F2718E" w14:paraId="6A12F587" w14:textId="77777777" w:rsidTr="00F260E8">
        <w:trPr>
          <w:gridAfter w:val="1"/>
          <w:wAfter w:w="6" w:type="dxa"/>
        </w:trPr>
        <w:tc>
          <w:tcPr>
            <w:tcW w:w="7879" w:type="dxa"/>
          </w:tcPr>
          <w:p w14:paraId="7D330727" w14:textId="1842DC91" w:rsidR="00881AD5" w:rsidRPr="00F2718E" w:rsidRDefault="00BF20B9"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15. Օրենքի նախագծի 3-րդ հոդվածով լրացվող 101.4-րդ հոդվածի 6-րդ մասի կարգավորման բովանդակությունից բխում է, որ դատական տուգանքի չափը նվազեցնելու կամ այն վերացնելու միջնորդությունը մերժելու մասին դատարանի որոշումը ենթակա է հարկադիր կատարման, այնինչ կարգավորումը պետք է ունենա այ</w:t>
            </w:r>
            <w:r w:rsidR="00B5343D" w:rsidRPr="00F2718E">
              <w:rPr>
                <w:rFonts w:ascii="GHEA Grapalat" w:hAnsi="GHEA Grapalat"/>
                <w:lang w:val="hy-AM"/>
              </w:rPr>
              <w:t>նպիսի ձևակերպում, որից կբխի, որ</w:t>
            </w:r>
            <w:r w:rsidRPr="00F2718E">
              <w:rPr>
                <w:rFonts w:ascii="GHEA Grapalat" w:hAnsi="GHEA Grapalat"/>
                <w:lang w:val="hy-AM"/>
              </w:rPr>
              <w:t xml:space="preserve"> դատական տուգանքի չափը նվազեցվելու կամ այն վերացնելու միջնորդությունը մերժվելու դեպքում՝ դատական տուգանքի որոշումն է ենթակա կատարման հարկադիր կատարման կարգով՝ այն մասով, որով չի վերացվել կամ նվազեցվել։</w:t>
            </w:r>
          </w:p>
        </w:tc>
        <w:tc>
          <w:tcPr>
            <w:tcW w:w="7022" w:type="dxa"/>
            <w:gridSpan w:val="6"/>
          </w:tcPr>
          <w:p w14:paraId="41E275FC"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27D525A8" w14:textId="77777777"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Նախագծերից հանվել են</w:t>
            </w:r>
            <w:r w:rsidRPr="00F2718E">
              <w:rPr>
                <w:rFonts w:ascii="GHEA Grapalat" w:hAnsi="GHEA Grapalat"/>
                <w:shd w:val="clear" w:color="auto" w:fill="FFFFFF"/>
                <w:lang w:val="hy-AM"/>
              </w:rPr>
              <w:t xml:space="preserve"> առաջարկվող </w:t>
            </w:r>
            <w:r>
              <w:rPr>
                <w:rFonts w:ascii="GHEA Grapalat" w:hAnsi="GHEA Grapalat"/>
                <w:lang w:val="hy-AM"/>
              </w:rPr>
              <w:t>101</w:t>
            </w:r>
            <w:r w:rsidRPr="00F2718E">
              <w:rPr>
                <w:rFonts w:ascii="GHEA Grapalat" w:hAnsi="GHEA Grapalat"/>
                <w:lang w:val="hy-AM"/>
              </w:rPr>
              <w:t>.</w:t>
            </w:r>
            <w:r>
              <w:rPr>
                <w:rFonts w:ascii="GHEA Grapalat" w:hAnsi="GHEA Grapalat"/>
                <w:lang w:val="hy-AM"/>
              </w:rPr>
              <w:t>4</w:t>
            </w:r>
            <w:r w:rsidRPr="00F2718E">
              <w:rPr>
                <w:rFonts w:ascii="GHEA Grapalat" w:hAnsi="GHEA Grapalat"/>
                <w:lang w:val="hy-AM"/>
              </w:rPr>
              <w:t>-</w:t>
            </w:r>
            <w:r>
              <w:rPr>
                <w:rFonts w:ascii="GHEA Grapalat" w:hAnsi="GHEA Grapalat"/>
                <w:lang w:val="hy-AM"/>
              </w:rPr>
              <w:t xml:space="preserve">րդ և </w:t>
            </w:r>
            <w:r>
              <w:rPr>
                <w:rFonts w:ascii="GHEA Grapalat" w:hAnsi="GHEA Grapalat"/>
                <w:lang w:val="en-US"/>
              </w:rPr>
              <w:t>155.2-</w:t>
            </w:r>
            <w:r>
              <w:rPr>
                <w:rFonts w:ascii="GHEA Grapalat" w:hAnsi="GHEA Grapalat"/>
                <w:lang w:val="hy-AM"/>
              </w:rPr>
              <w:t>րդ</w:t>
            </w:r>
            <w:r w:rsidRPr="00F2718E">
              <w:rPr>
                <w:rFonts w:ascii="GHEA Grapalat" w:hAnsi="GHEA Grapalat"/>
                <w:lang w:val="hy-AM"/>
              </w:rPr>
              <w:t xml:space="preserve"> </w:t>
            </w:r>
            <w:r>
              <w:rPr>
                <w:rFonts w:ascii="GHEA Grapalat" w:hAnsi="GHEA Grapalat"/>
                <w:lang w:val="hy-AM"/>
              </w:rPr>
              <w:t>հոդվածները:</w:t>
            </w:r>
          </w:p>
          <w:p w14:paraId="6C2888BF" w14:textId="197F40B7" w:rsidR="00881AD5" w:rsidRPr="00F2718E" w:rsidRDefault="00881AD5" w:rsidP="00A961C5">
            <w:pPr>
              <w:spacing w:line="360" w:lineRule="auto"/>
              <w:rPr>
                <w:rFonts w:ascii="GHEA Grapalat" w:hAnsi="GHEA Grapalat"/>
                <w:lang w:val="af-ZA"/>
              </w:rPr>
            </w:pPr>
          </w:p>
        </w:tc>
      </w:tr>
      <w:tr w:rsidR="00881AD5" w:rsidRPr="00F2718E" w14:paraId="117EE246" w14:textId="77777777" w:rsidTr="00F260E8">
        <w:trPr>
          <w:gridAfter w:val="1"/>
          <w:wAfter w:w="6" w:type="dxa"/>
        </w:trPr>
        <w:tc>
          <w:tcPr>
            <w:tcW w:w="7879" w:type="dxa"/>
          </w:tcPr>
          <w:p w14:paraId="74623CD8" w14:textId="77777777" w:rsidR="00881AD5" w:rsidRPr="00F2718E" w:rsidRDefault="00BF20B9" w:rsidP="00A961C5">
            <w:pPr>
              <w:spacing w:line="360" w:lineRule="auto"/>
              <w:jc w:val="both"/>
              <w:rPr>
                <w:rFonts w:ascii="GHEA Grapalat" w:hAnsi="GHEA Grapalat"/>
                <w:lang w:val="af-ZA"/>
              </w:rPr>
            </w:pPr>
            <w:r w:rsidRPr="00F2718E">
              <w:rPr>
                <w:rFonts w:ascii="GHEA Grapalat" w:hAnsi="GHEA Grapalat"/>
                <w:lang w:val="hy-AM"/>
              </w:rPr>
              <w:t>16. Միաժամանակ, հարկ է նկատել, որ «Հայաստանի Հանրապետության քաղաքացիական դատավարության օրենսգրքում փոփոխություններ և լրացումներ կատարելու մասին» օրենքի նախագծով նախատեսվում են կարգավորումներ դատարանի կազմը փոփոխվելու կամ դատական կազմում փոփոխություն լինելու դեպքում կատարվելիք գործողությունների վերաբերյալ, այնինչ՝ նույնանման լրացումների կարիք է առկա նաև ՀՀ վարչական դատավարության օրենսգրքում, որը Օրենքի նախագծով նախատեսված չէ։</w:t>
            </w:r>
          </w:p>
        </w:tc>
        <w:tc>
          <w:tcPr>
            <w:tcW w:w="7022" w:type="dxa"/>
            <w:gridSpan w:val="6"/>
          </w:tcPr>
          <w:p w14:paraId="77C50D85" w14:textId="77777777" w:rsidR="00CF3EDB" w:rsidRPr="00F2718E" w:rsidRDefault="00CF3EDB" w:rsidP="00A961C5">
            <w:pPr>
              <w:spacing w:line="360" w:lineRule="auto"/>
              <w:ind w:firstLine="720"/>
              <w:jc w:val="center"/>
              <w:rPr>
                <w:rFonts w:ascii="GHEA Grapalat" w:hAnsi="GHEA Grapalat"/>
                <w:b/>
                <w:lang w:val="hy-AM"/>
              </w:rPr>
            </w:pPr>
            <w:r w:rsidRPr="00F2718E">
              <w:rPr>
                <w:rFonts w:ascii="GHEA Grapalat" w:hAnsi="GHEA Grapalat"/>
                <w:b/>
                <w:lang w:val="hy-AM"/>
              </w:rPr>
              <w:t>Չի ընդունվել:</w:t>
            </w:r>
          </w:p>
          <w:p w14:paraId="5DA4AC9D" w14:textId="77777777" w:rsidR="00881AD5" w:rsidRPr="00F2718E" w:rsidRDefault="00CF3EDB" w:rsidP="00A961C5">
            <w:pPr>
              <w:spacing w:line="360" w:lineRule="auto"/>
              <w:jc w:val="both"/>
              <w:rPr>
                <w:rFonts w:ascii="GHEA Grapalat" w:hAnsi="GHEA Grapalat"/>
                <w:lang w:val="hy-AM"/>
              </w:rPr>
            </w:pPr>
            <w:r w:rsidRPr="00F2718E">
              <w:rPr>
                <w:rFonts w:ascii="GHEA Grapalat" w:hAnsi="GHEA Grapalat"/>
                <w:lang w:val="hy-AM"/>
              </w:rPr>
              <w:t>ՀՀ վարչական դատավարության օրենսգիրքը չի սահմանում դատարանի կազմը փոխվելու կամ դատական կազմում փոփոխության դեպքում գործերի քննությունը սկզբից սկսելու կանոն: Մինչդեռ, նախագծային կարգավորումներն ուղղված են քաղաքացիական դատավարությունում գործերի սկզբից սկսելու կանոնին զուգահեռ այլընտրանքային պայմանների սահմանմանը, որպիսի պայմաններում այդ կարգավորումները վարչական դատավարության օրենսգրքում լրացումներ և փոփոխություններ կատարելու մասին նախագծում չեն ներառվել:</w:t>
            </w:r>
          </w:p>
        </w:tc>
      </w:tr>
      <w:tr w:rsidR="00B27B87" w:rsidRPr="00F2718E" w14:paraId="5BEA0E3E" w14:textId="77777777" w:rsidTr="00F260E8">
        <w:trPr>
          <w:trHeight w:val="1326"/>
        </w:trPr>
        <w:tc>
          <w:tcPr>
            <w:tcW w:w="12563" w:type="dxa"/>
            <w:gridSpan w:val="6"/>
            <w:vMerge w:val="restart"/>
            <w:shd w:val="clear" w:color="auto" w:fill="D9D9D9" w:themeFill="background1" w:themeFillShade="D9"/>
          </w:tcPr>
          <w:p w14:paraId="4BBB45BC" w14:textId="77777777" w:rsidR="00B27B87" w:rsidRPr="00F2718E" w:rsidRDefault="00B27B87" w:rsidP="00A961C5">
            <w:pPr>
              <w:spacing w:line="360" w:lineRule="auto"/>
              <w:ind w:firstLine="720"/>
              <w:jc w:val="center"/>
              <w:rPr>
                <w:rFonts w:ascii="GHEA Grapalat" w:hAnsi="GHEA Grapalat"/>
                <w:b/>
                <w:lang w:val="hy-AM"/>
              </w:rPr>
            </w:pPr>
            <w:r w:rsidRPr="00F2718E">
              <w:rPr>
                <w:rFonts w:ascii="GHEA Grapalat" w:hAnsi="GHEA Grapalat"/>
                <w:b/>
                <w:lang w:val="hy-AM"/>
              </w:rPr>
              <w:t>29. Իրավունքի զարգացման և պաշտպանության հիﬓադրամ,</w:t>
            </w:r>
          </w:p>
          <w:p w14:paraId="6A6F20E0" w14:textId="77777777" w:rsidR="00B27B87" w:rsidRPr="00F2718E" w:rsidRDefault="00B27B87" w:rsidP="00A961C5">
            <w:pPr>
              <w:spacing w:line="360" w:lineRule="auto"/>
              <w:ind w:firstLine="720"/>
              <w:jc w:val="center"/>
              <w:rPr>
                <w:rFonts w:ascii="GHEA Grapalat" w:hAnsi="GHEA Grapalat"/>
                <w:b/>
                <w:lang w:val="hy-AM"/>
              </w:rPr>
            </w:pPr>
            <w:r w:rsidRPr="00F2718E">
              <w:rPr>
                <w:rFonts w:ascii="GHEA Grapalat" w:hAnsi="GHEA Grapalat"/>
                <w:b/>
                <w:lang w:val="hy-AM"/>
              </w:rPr>
              <w:t>«Իրավունքների պաշտպանություն առանց սահմանների» ՀԿ,</w:t>
            </w:r>
          </w:p>
          <w:p w14:paraId="444D1A93" w14:textId="77777777" w:rsidR="00B27B87" w:rsidRPr="00F2718E" w:rsidRDefault="00B27B87" w:rsidP="00A961C5">
            <w:pPr>
              <w:spacing w:line="360" w:lineRule="auto"/>
              <w:ind w:firstLine="720"/>
              <w:jc w:val="center"/>
              <w:rPr>
                <w:rFonts w:ascii="GHEA Grapalat" w:hAnsi="GHEA Grapalat"/>
                <w:b/>
                <w:lang w:val="hy-AM"/>
              </w:rPr>
            </w:pPr>
            <w:r w:rsidRPr="00F2718E">
              <w:rPr>
                <w:rFonts w:ascii="GHEA Grapalat" w:hAnsi="GHEA Grapalat"/>
                <w:b/>
                <w:lang w:val="hy-AM"/>
              </w:rPr>
              <w:t>Ժողովրդավարության զարգացման հիﬓադրամ,</w:t>
            </w:r>
          </w:p>
          <w:p w14:paraId="5D015424" w14:textId="77777777" w:rsidR="00B27B87" w:rsidRPr="00F2718E" w:rsidRDefault="00B27B87" w:rsidP="00A961C5">
            <w:pPr>
              <w:spacing w:line="360" w:lineRule="auto"/>
              <w:ind w:firstLine="720"/>
              <w:jc w:val="center"/>
              <w:rPr>
                <w:rFonts w:ascii="GHEA Grapalat" w:hAnsi="GHEA Grapalat"/>
                <w:b/>
                <w:lang w:val="hy-AM"/>
              </w:rPr>
            </w:pPr>
            <w:r w:rsidRPr="00F2718E">
              <w:rPr>
                <w:rFonts w:ascii="GHEA Grapalat" w:hAnsi="GHEA Grapalat"/>
                <w:b/>
                <w:lang w:val="hy-AM"/>
              </w:rPr>
              <w:t>«Հելսինկյան քաղաքացիական ասամբլեայի Վանաձորի գրասենյակ» ՀԿ,</w:t>
            </w:r>
          </w:p>
          <w:p w14:paraId="1705C1A5" w14:textId="77777777" w:rsidR="00B27B87" w:rsidRPr="00F2718E" w:rsidRDefault="00B27B87" w:rsidP="00A961C5">
            <w:pPr>
              <w:spacing w:line="360" w:lineRule="auto"/>
              <w:jc w:val="center"/>
              <w:rPr>
                <w:rFonts w:ascii="GHEA Grapalat" w:hAnsi="GHEA Grapalat"/>
                <w:lang w:val="hy-AM"/>
              </w:rPr>
            </w:pPr>
            <w:r w:rsidRPr="00F2718E">
              <w:rPr>
                <w:rFonts w:ascii="GHEA Grapalat" w:hAnsi="GHEA Grapalat"/>
                <w:b/>
                <w:lang w:val="hy-AM"/>
              </w:rPr>
              <w:t>«Թրանսփարենսի ինթերնեշնլ հակակոռուպցիոն կենտրոն» ՀԿ</w:t>
            </w:r>
          </w:p>
        </w:tc>
        <w:tc>
          <w:tcPr>
            <w:tcW w:w="2344" w:type="dxa"/>
            <w:gridSpan w:val="2"/>
            <w:shd w:val="clear" w:color="auto" w:fill="D9D9D9" w:themeFill="background1" w:themeFillShade="D9"/>
          </w:tcPr>
          <w:p w14:paraId="52E2A53E" w14:textId="77777777" w:rsidR="00B27B87" w:rsidRPr="00F2718E" w:rsidRDefault="00B27B87" w:rsidP="00A961C5">
            <w:pPr>
              <w:spacing w:line="360" w:lineRule="auto"/>
              <w:jc w:val="center"/>
              <w:rPr>
                <w:rFonts w:ascii="GHEA Grapalat" w:hAnsi="GHEA Grapalat"/>
              </w:rPr>
            </w:pPr>
            <w:r w:rsidRPr="00F2718E">
              <w:rPr>
                <w:rFonts w:ascii="GHEA Grapalat" w:hAnsi="GHEA Grapalat"/>
                <w:b/>
                <w:lang w:val="en-US"/>
              </w:rPr>
              <w:t>21.05.2024</w:t>
            </w:r>
            <w:r w:rsidRPr="00F2718E">
              <w:rPr>
                <w:rFonts w:ascii="GHEA Grapalat" w:hAnsi="GHEA Grapalat"/>
                <w:b/>
                <w:lang w:val="hy-AM"/>
              </w:rPr>
              <w:t>թ.</w:t>
            </w:r>
          </w:p>
        </w:tc>
      </w:tr>
      <w:tr w:rsidR="00B27B87" w:rsidRPr="00F2718E" w14:paraId="40C58B27" w14:textId="77777777" w:rsidTr="00F260E8">
        <w:trPr>
          <w:trHeight w:val="385"/>
        </w:trPr>
        <w:tc>
          <w:tcPr>
            <w:tcW w:w="12563" w:type="dxa"/>
            <w:gridSpan w:val="6"/>
            <w:vMerge/>
            <w:shd w:val="clear" w:color="auto" w:fill="D9D9D9" w:themeFill="background1" w:themeFillShade="D9"/>
          </w:tcPr>
          <w:p w14:paraId="3D314EBE" w14:textId="77777777" w:rsidR="00B27B87" w:rsidRPr="00F2718E" w:rsidRDefault="00B27B87" w:rsidP="00A961C5">
            <w:pPr>
              <w:spacing w:line="360" w:lineRule="auto"/>
              <w:jc w:val="center"/>
              <w:rPr>
                <w:rFonts w:ascii="GHEA Grapalat" w:hAnsi="GHEA Grapalat"/>
              </w:rPr>
            </w:pPr>
          </w:p>
        </w:tc>
        <w:tc>
          <w:tcPr>
            <w:tcW w:w="2344" w:type="dxa"/>
            <w:gridSpan w:val="2"/>
            <w:shd w:val="clear" w:color="auto" w:fill="D9D9D9" w:themeFill="background1" w:themeFillShade="D9"/>
          </w:tcPr>
          <w:p w14:paraId="27A6B048" w14:textId="77777777" w:rsidR="00B27B87" w:rsidRPr="00F2718E" w:rsidRDefault="00B27B87" w:rsidP="00A961C5">
            <w:pPr>
              <w:spacing w:line="360" w:lineRule="auto"/>
              <w:jc w:val="center"/>
              <w:rPr>
                <w:rFonts w:ascii="GHEA Grapalat" w:hAnsi="GHEA Grapalat"/>
              </w:rPr>
            </w:pPr>
          </w:p>
        </w:tc>
      </w:tr>
      <w:tr w:rsidR="00881AD5" w:rsidRPr="00F2718E" w14:paraId="66946A1F" w14:textId="77777777" w:rsidTr="00F260E8">
        <w:trPr>
          <w:gridAfter w:val="1"/>
          <w:wAfter w:w="6" w:type="dxa"/>
        </w:trPr>
        <w:tc>
          <w:tcPr>
            <w:tcW w:w="7879" w:type="dxa"/>
          </w:tcPr>
          <w:p w14:paraId="75783E91" w14:textId="77777777" w:rsidR="00881AD5" w:rsidRPr="00F2718E" w:rsidRDefault="00B27B87" w:rsidP="00A961C5">
            <w:pPr>
              <w:spacing w:line="360" w:lineRule="auto"/>
              <w:jc w:val="both"/>
              <w:rPr>
                <w:rFonts w:ascii="GHEA Grapalat" w:hAnsi="GHEA Grapalat"/>
              </w:rPr>
            </w:pPr>
            <w:r w:rsidRPr="00F2718E">
              <w:rPr>
                <w:rFonts w:ascii="GHEA Grapalat" w:hAnsi="GHEA Grapalat"/>
                <w:lang w:val="hy-AM"/>
              </w:rPr>
              <w:t xml:space="preserve">1. </w:t>
            </w:r>
            <w:r w:rsidRPr="00F2718E">
              <w:rPr>
                <w:rFonts w:ascii="GHEA Grapalat" w:hAnsi="GHEA Grapalat"/>
              </w:rPr>
              <w:t>Նախագծերով առաջարկվ</w:t>
            </w:r>
            <w:r w:rsidRPr="00F2718E">
              <w:rPr>
                <w:rFonts w:ascii="GHEA Grapalat" w:hAnsi="GHEA Grapalat"/>
                <w:lang w:val="hy-AM"/>
              </w:rPr>
              <w:t>ու</w:t>
            </w:r>
            <w:r w:rsidRPr="00F2718E">
              <w:rPr>
                <w:rFonts w:ascii="GHEA Grapalat" w:hAnsi="GHEA Grapalat"/>
              </w:rPr>
              <w:t>մ է դատարաններին իրավաս</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 տալ դատական տ</w:t>
            </w:r>
            <w:r w:rsidRPr="00F2718E">
              <w:rPr>
                <w:rFonts w:ascii="GHEA Grapalat" w:hAnsi="GHEA Grapalat"/>
                <w:lang w:val="hy-AM"/>
              </w:rPr>
              <w:t>ու</w:t>
            </w:r>
            <w:r w:rsidRPr="00F2718E">
              <w:rPr>
                <w:rFonts w:ascii="GHEA Grapalat" w:hAnsi="GHEA Grapalat"/>
              </w:rPr>
              <w:t>գանք կիրառել եզրափակիչ/գործն ըստ է</w:t>
            </w:r>
            <w:r w:rsidRPr="00F2718E">
              <w:rPr>
                <w:rFonts w:ascii="GHEA Grapalat" w:hAnsi="GHEA Grapalat"/>
                <w:lang w:val="hy-AM"/>
              </w:rPr>
              <w:t>ու</w:t>
            </w:r>
            <w:r w:rsidRPr="00F2718E">
              <w:rPr>
                <w:rFonts w:ascii="GHEA Grapalat" w:hAnsi="GHEA Grapalat"/>
              </w:rPr>
              <w:t>թյան լ</w:t>
            </w:r>
            <w:r w:rsidRPr="00F2718E">
              <w:rPr>
                <w:rFonts w:ascii="GHEA Grapalat" w:hAnsi="GHEA Grapalat"/>
                <w:lang w:val="hy-AM"/>
              </w:rPr>
              <w:t>ու</w:t>
            </w:r>
            <w:r w:rsidRPr="00F2718E">
              <w:rPr>
                <w:rFonts w:ascii="GHEA Grapalat" w:hAnsi="GHEA Grapalat"/>
              </w:rPr>
              <w:t>ծող դատական ակտերով կամ հայցադիմ</w:t>
            </w:r>
            <w:r w:rsidRPr="00F2718E">
              <w:rPr>
                <w:rFonts w:ascii="GHEA Grapalat" w:hAnsi="GHEA Grapalat"/>
                <w:lang w:val="hy-AM"/>
              </w:rPr>
              <w:t>ու</w:t>
            </w:r>
            <w:r w:rsidRPr="00F2718E">
              <w:rPr>
                <w:rFonts w:ascii="GHEA Grapalat" w:hAnsi="GHEA Grapalat"/>
              </w:rPr>
              <w:t>ﬕ ընդ</w:t>
            </w:r>
            <w:r w:rsidRPr="00F2718E">
              <w:rPr>
                <w:rFonts w:ascii="GHEA Grapalat" w:hAnsi="GHEA Grapalat"/>
                <w:lang w:val="hy-AM"/>
              </w:rPr>
              <w:t>ու</w:t>
            </w:r>
            <w:r w:rsidRPr="00F2718E">
              <w:rPr>
                <w:rFonts w:ascii="GHEA Grapalat" w:hAnsi="GHEA Grapalat"/>
              </w:rPr>
              <w:t>ն</w:t>
            </w:r>
            <w:r w:rsidRPr="00F2718E">
              <w:rPr>
                <w:rFonts w:ascii="GHEA Grapalat" w:hAnsi="GHEA Grapalat"/>
                <w:lang w:val="hy-AM"/>
              </w:rPr>
              <w:t>ու</w:t>
            </w:r>
            <w:r w:rsidRPr="00F2718E">
              <w:rPr>
                <w:rFonts w:ascii="GHEA Grapalat" w:hAnsi="GHEA Grapalat"/>
              </w:rPr>
              <w:t>մը ﬔրժել</w:t>
            </w:r>
            <w:r w:rsidRPr="00F2718E">
              <w:rPr>
                <w:rFonts w:ascii="GHEA Grapalat" w:hAnsi="GHEA Grapalat"/>
                <w:lang w:val="hy-AM"/>
              </w:rPr>
              <w:t>ու</w:t>
            </w:r>
            <w:r w:rsidRPr="00F2718E">
              <w:rPr>
                <w:rFonts w:ascii="GHEA Grapalat" w:hAnsi="GHEA Grapalat"/>
              </w:rPr>
              <w:t xml:space="preserve"> մասին որոշ</w:t>
            </w:r>
            <w:r w:rsidRPr="00F2718E">
              <w:rPr>
                <w:rFonts w:ascii="GHEA Grapalat" w:hAnsi="GHEA Grapalat"/>
                <w:lang w:val="hy-AM"/>
              </w:rPr>
              <w:t>ու</w:t>
            </w:r>
            <w:r w:rsidRPr="00F2718E">
              <w:rPr>
                <w:rFonts w:ascii="GHEA Grapalat" w:hAnsi="GHEA Grapalat"/>
              </w:rPr>
              <w:t>ﬓերով՝ անբարեխիղճ կերպով անհիﬓ հայց, վերաքննիչ կամ վճռաբեկ բողոք ներկայացնել</w:t>
            </w:r>
            <w:r w:rsidRPr="00F2718E">
              <w:rPr>
                <w:rFonts w:ascii="GHEA Grapalat" w:hAnsi="GHEA Grapalat"/>
                <w:lang w:val="hy-AM"/>
              </w:rPr>
              <w:t>ու</w:t>
            </w:r>
            <w:r w:rsidRPr="00F2718E">
              <w:rPr>
                <w:rFonts w:ascii="GHEA Grapalat" w:hAnsi="GHEA Grapalat"/>
              </w:rPr>
              <w:t xml:space="preserve"> կամ դատավարական այլ վարքագծով իր իրավ</w:t>
            </w:r>
            <w:r w:rsidRPr="00F2718E">
              <w:rPr>
                <w:rFonts w:ascii="GHEA Grapalat" w:hAnsi="GHEA Grapalat"/>
                <w:lang w:val="hy-AM"/>
              </w:rPr>
              <w:t>ու</w:t>
            </w:r>
            <w:r w:rsidRPr="00F2718E">
              <w:rPr>
                <w:rFonts w:ascii="GHEA Grapalat" w:hAnsi="GHEA Grapalat"/>
              </w:rPr>
              <w:t>նքները չարաշահել</w:t>
            </w:r>
            <w:r w:rsidRPr="00F2718E">
              <w:rPr>
                <w:rFonts w:ascii="GHEA Grapalat" w:hAnsi="GHEA Grapalat"/>
                <w:lang w:val="hy-AM"/>
              </w:rPr>
              <w:t>ու</w:t>
            </w:r>
            <w:r w:rsidRPr="00F2718E">
              <w:rPr>
                <w:rFonts w:ascii="GHEA Grapalat" w:hAnsi="GHEA Grapalat"/>
              </w:rPr>
              <w:t xml:space="preserve"> դեպքեր</w:t>
            </w:r>
            <w:r w:rsidRPr="00F2718E">
              <w:rPr>
                <w:rFonts w:ascii="GHEA Grapalat" w:hAnsi="GHEA Grapalat"/>
                <w:lang w:val="hy-AM"/>
              </w:rPr>
              <w:t>ու</w:t>
            </w:r>
            <w:r w:rsidRPr="00F2718E">
              <w:rPr>
                <w:rFonts w:ascii="GHEA Grapalat" w:hAnsi="GHEA Grapalat"/>
              </w:rPr>
              <w:t>մ, եթե համապատասխան դատական ակտով հաստատվել է իրավ</w:t>
            </w:r>
            <w:r w:rsidRPr="00F2718E">
              <w:rPr>
                <w:rFonts w:ascii="GHEA Grapalat" w:hAnsi="GHEA Grapalat"/>
                <w:lang w:val="hy-AM"/>
              </w:rPr>
              <w:t>ու</w:t>
            </w:r>
            <w:r w:rsidRPr="00F2718E">
              <w:rPr>
                <w:rFonts w:ascii="GHEA Grapalat" w:hAnsi="GHEA Grapalat"/>
              </w:rPr>
              <w:t>նքի չարաշահման փաստը։ Ակնհայտ է, որ նշված իրավակարգավոր</w:t>
            </w:r>
            <w:r w:rsidRPr="00F2718E">
              <w:rPr>
                <w:rFonts w:ascii="GHEA Grapalat" w:hAnsi="GHEA Grapalat"/>
                <w:lang w:val="hy-AM"/>
              </w:rPr>
              <w:t>ու</w:t>
            </w:r>
            <w:r w:rsidRPr="00F2718E">
              <w:rPr>
                <w:rFonts w:ascii="GHEA Grapalat" w:hAnsi="GHEA Grapalat"/>
              </w:rPr>
              <w:t>մը գործին մասնակցող անձանց նկատմամբ դատական սանկցիա կիրառե</w:t>
            </w:r>
            <w:r w:rsidRPr="00F2718E">
              <w:rPr>
                <w:rFonts w:ascii="GHEA Grapalat" w:hAnsi="GHEA Grapalat"/>
                <w:lang w:val="hy-AM"/>
              </w:rPr>
              <w:t xml:space="preserve">լու </w:t>
            </w:r>
            <w:r w:rsidRPr="00F2718E">
              <w:rPr>
                <w:rFonts w:ascii="GHEA Grapalat" w:hAnsi="GHEA Grapalat"/>
              </w:rPr>
              <w:t>համար խիստ գնահատողական հիմքեր է նախատես</w:t>
            </w:r>
            <w:r w:rsidRPr="00F2718E">
              <w:rPr>
                <w:rFonts w:ascii="GHEA Grapalat" w:hAnsi="GHEA Grapalat"/>
                <w:lang w:val="hy-AM"/>
              </w:rPr>
              <w:t>ու</w:t>
            </w:r>
            <w:r w:rsidRPr="00F2718E">
              <w:rPr>
                <w:rFonts w:ascii="GHEA Grapalat" w:hAnsi="GHEA Grapalat"/>
              </w:rPr>
              <w:t>մ, մասնավորապես բավականին լայն կարող է ﬔկնաբանվել թե</w:t>
            </w:r>
            <w:r w:rsidRPr="00F2718E">
              <w:rPr>
                <w:rFonts w:ascii="GHEA Grapalat" w:hAnsi="GHEA Grapalat"/>
                <w:lang w:val="hy-AM"/>
              </w:rPr>
              <w:t>՛</w:t>
            </w:r>
            <w:r w:rsidRPr="00F2718E">
              <w:rPr>
                <w:rFonts w:ascii="GHEA Grapalat" w:hAnsi="GHEA Grapalat"/>
              </w:rPr>
              <w:t xml:space="preserve"> «անհիﬓ հայց կամ բողոք» եզր</w:t>
            </w:r>
            <w:r w:rsidRPr="00F2718E">
              <w:rPr>
                <w:rFonts w:ascii="GHEA Grapalat" w:hAnsi="GHEA Grapalat"/>
                <w:lang w:val="hy-AM"/>
              </w:rPr>
              <w:t>ու</w:t>
            </w:r>
            <w:r w:rsidRPr="00F2718E">
              <w:rPr>
                <w:rFonts w:ascii="GHEA Grapalat" w:hAnsi="GHEA Grapalat"/>
              </w:rPr>
              <w:t>յթը, թե</w:t>
            </w:r>
            <w:r w:rsidRPr="00F2718E">
              <w:rPr>
                <w:rFonts w:ascii="GHEA Grapalat" w:hAnsi="GHEA Grapalat"/>
                <w:lang w:val="hy-AM"/>
              </w:rPr>
              <w:t>՛</w:t>
            </w:r>
            <w:r w:rsidRPr="00F2718E">
              <w:rPr>
                <w:rFonts w:ascii="GHEA Grapalat" w:hAnsi="GHEA Grapalat"/>
              </w:rPr>
              <w:t xml:space="preserve"> հատկապես «դատավարական այլ վարքագծով իրավ</w:t>
            </w:r>
            <w:r w:rsidRPr="00F2718E">
              <w:rPr>
                <w:rFonts w:ascii="GHEA Grapalat" w:hAnsi="GHEA Grapalat"/>
                <w:lang w:val="hy-AM"/>
              </w:rPr>
              <w:t>ու</w:t>
            </w:r>
            <w:r w:rsidRPr="00F2718E">
              <w:rPr>
                <w:rFonts w:ascii="GHEA Grapalat" w:hAnsi="GHEA Grapalat"/>
              </w:rPr>
              <w:t>նքները չարաշել» եզրույթը։ Գործնական</w:t>
            </w:r>
            <w:r w:rsidRPr="00F2718E">
              <w:rPr>
                <w:rFonts w:ascii="GHEA Grapalat" w:hAnsi="GHEA Grapalat"/>
                <w:lang w:val="hy-AM"/>
              </w:rPr>
              <w:t>ու</w:t>
            </w:r>
            <w:r w:rsidRPr="00F2718E">
              <w:rPr>
                <w:rFonts w:ascii="GHEA Grapalat" w:hAnsi="GHEA Grapalat"/>
              </w:rPr>
              <w:t>մ նշված հասկաց</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նների ներքո հնարավոր է հասկանալ գրեթե ցանկացած դատավարական իրավ</w:t>
            </w:r>
            <w:r w:rsidRPr="00F2718E">
              <w:rPr>
                <w:rFonts w:ascii="GHEA Grapalat" w:hAnsi="GHEA Grapalat"/>
                <w:lang w:val="hy-AM"/>
              </w:rPr>
              <w:t>ու</w:t>
            </w:r>
            <w:r w:rsidRPr="00F2718E">
              <w:rPr>
                <w:rFonts w:ascii="GHEA Grapalat" w:hAnsi="GHEA Grapalat"/>
              </w:rPr>
              <w:t>նքից օգտվելը, որի անբարեխղճ</w:t>
            </w:r>
            <w:r w:rsidRPr="00F2718E">
              <w:rPr>
                <w:rFonts w:ascii="GHEA Grapalat" w:hAnsi="GHEA Grapalat"/>
                <w:lang w:val="hy-AM"/>
              </w:rPr>
              <w:t>ու</w:t>
            </w:r>
            <w:r w:rsidRPr="00F2718E">
              <w:rPr>
                <w:rFonts w:ascii="GHEA Grapalat" w:hAnsi="GHEA Grapalat"/>
              </w:rPr>
              <w:t>թյան գնահատման որևէ չափորոշիչ Նախագծի առաջարկվող դր</w:t>
            </w:r>
            <w:r w:rsidRPr="00F2718E">
              <w:rPr>
                <w:rFonts w:ascii="GHEA Grapalat" w:hAnsi="GHEA Grapalat"/>
                <w:lang w:val="hy-AM"/>
              </w:rPr>
              <w:t>ու</w:t>
            </w:r>
            <w:r w:rsidRPr="00F2718E">
              <w:rPr>
                <w:rFonts w:ascii="GHEA Grapalat" w:hAnsi="GHEA Grapalat"/>
              </w:rPr>
              <w:t>յթը չի նախատես</w:t>
            </w:r>
            <w:r w:rsidRPr="00F2718E">
              <w:rPr>
                <w:rFonts w:ascii="GHEA Grapalat" w:hAnsi="GHEA Grapalat"/>
                <w:lang w:val="hy-AM"/>
              </w:rPr>
              <w:t>ու</w:t>
            </w:r>
            <w:r w:rsidRPr="00F2718E">
              <w:rPr>
                <w:rFonts w:ascii="GHEA Grapalat" w:hAnsi="GHEA Grapalat"/>
              </w:rPr>
              <w:t>մ: Կարծ</w:t>
            </w:r>
            <w:r w:rsidRPr="00F2718E">
              <w:rPr>
                <w:rFonts w:ascii="GHEA Grapalat" w:hAnsi="GHEA Grapalat"/>
                <w:lang w:val="hy-AM"/>
              </w:rPr>
              <w:t>ու</w:t>
            </w:r>
            <w:r w:rsidRPr="00F2718E">
              <w:rPr>
                <w:rFonts w:ascii="GHEA Grapalat" w:hAnsi="GHEA Grapalat"/>
              </w:rPr>
              <w:t>մ ենք, որ թեև առաջարկվող կարգավոր</w:t>
            </w:r>
            <w:r w:rsidRPr="00F2718E">
              <w:rPr>
                <w:rFonts w:ascii="GHEA Grapalat" w:hAnsi="GHEA Grapalat"/>
                <w:lang w:val="hy-AM"/>
              </w:rPr>
              <w:t>ու</w:t>
            </w:r>
            <w:r w:rsidRPr="00F2718E">
              <w:rPr>
                <w:rFonts w:ascii="GHEA Grapalat" w:hAnsi="GHEA Grapalat"/>
              </w:rPr>
              <w:t>ﬓերի, առհասարակ դատական սանկցիաներ կիրառել</w:t>
            </w:r>
            <w:r w:rsidRPr="00F2718E">
              <w:rPr>
                <w:rFonts w:ascii="GHEA Grapalat" w:hAnsi="GHEA Grapalat"/>
                <w:lang w:val="hy-AM"/>
              </w:rPr>
              <w:t>ու</w:t>
            </w:r>
            <w:r w:rsidRPr="00F2718E">
              <w:rPr>
                <w:rFonts w:ascii="GHEA Grapalat" w:hAnsi="GHEA Grapalat"/>
              </w:rPr>
              <w:t xml:space="preserve"> հետապնդվող նպատակը դատական օրենսգրքի համաձայն կարող է լինել դատական իշխան</w:t>
            </w:r>
            <w:r w:rsidRPr="00F2718E">
              <w:rPr>
                <w:rFonts w:ascii="GHEA Grapalat" w:hAnsi="GHEA Grapalat"/>
                <w:lang w:val="hy-AM"/>
              </w:rPr>
              <w:t>ու</w:t>
            </w:r>
            <w:r w:rsidRPr="00F2718E">
              <w:rPr>
                <w:rFonts w:ascii="GHEA Grapalat" w:hAnsi="GHEA Grapalat"/>
              </w:rPr>
              <w:t>թյան հեղինակ</w:t>
            </w:r>
            <w:r w:rsidRPr="00F2718E">
              <w:rPr>
                <w:rFonts w:ascii="GHEA Grapalat" w:hAnsi="GHEA Grapalat"/>
                <w:lang w:val="hy-AM"/>
              </w:rPr>
              <w:t>ու</w:t>
            </w:r>
            <w:r w:rsidRPr="00F2718E">
              <w:rPr>
                <w:rFonts w:ascii="GHEA Grapalat" w:hAnsi="GHEA Grapalat"/>
              </w:rPr>
              <w:t>թյան պաշտպան</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նը, այն</w:t>
            </w:r>
            <w:r w:rsidRPr="00F2718E">
              <w:rPr>
                <w:rFonts w:ascii="GHEA Grapalat" w:hAnsi="GHEA Grapalat"/>
                <w:lang w:val="hy-AM"/>
              </w:rPr>
              <w:t>ու</w:t>
            </w:r>
            <w:r w:rsidRPr="00F2718E">
              <w:rPr>
                <w:rFonts w:ascii="GHEA Grapalat" w:hAnsi="GHEA Grapalat"/>
              </w:rPr>
              <w:t>աﬔնայնիվ, նշված նպատակի իրագործ</w:t>
            </w:r>
            <w:r w:rsidRPr="00F2718E">
              <w:rPr>
                <w:rFonts w:ascii="GHEA Grapalat" w:hAnsi="GHEA Grapalat"/>
                <w:lang w:val="hy-AM"/>
              </w:rPr>
              <w:t>ու</w:t>
            </w:r>
            <w:r w:rsidRPr="00F2718E">
              <w:rPr>
                <w:rFonts w:ascii="GHEA Grapalat" w:hAnsi="GHEA Grapalat"/>
              </w:rPr>
              <w:t>մը ակնհայտորեն չի կարող վտանգել դատավար</w:t>
            </w:r>
            <w:r w:rsidRPr="00F2718E">
              <w:rPr>
                <w:rFonts w:ascii="GHEA Grapalat" w:hAnsi="GHEA Grapalat"/>
                <w:lang w:val="hy-AM"/>
              </w:rPr>
              <w:t>ու</w:t>
            </w:r>
            <w:r w:rsidRPr="00F2718E">
              <w:rPr>
                <w:rFonts w:ascii="GHEA Grapalat" w:hAnsi="GHEA Grapalat"/>
              </w:rPr>
              <w:t>թյան մասնակիցների արդար դատաքնն</w:t>
            </w:r>
            <w:r w:rsidRPr="00F2718E">
              <w:rPr>
                <w:rFonts w:ascii="GHEA Grapalat" w:hAnsi="GHEA Grapalat"/>
                <w:lang w:val="hy-AM"/>
              </w:rPr>
              <w:t>ու</w:t>
            </w:r>
            <w:r w:rsidRPr="00F2718E">
              <w:rPr>
                <w:rFonts w:ascii="GHEA Grapalat" w:hAnsi="GHEA Grapalat"/>
              </w:rPr>
              <w:t>թյան իրավ</w:t>
            </w:r>
            <w:r w:rsidRPr="00F2718E">
              <w:rPr>
                <w:rFonts w:ascii="GHEA Grapalat" w:hAnsi="GHEA Grapalat"/>
                <w:lang w:val="hy-AM"/>
              </w:rPr>
              <w:t>ու</w:t>
            </w:r>
            <w:r w:rsidRPr="00F2718E">
              <w:rPr>
                <w:rFonts w:ascii="GHEA Grapalat" w:hAnsi="GHEA Grapalat"/>
              </w:rPr>
              <w:t>նքի լիարժեք իրաց</w:t>
            </w:r>
            <w:r w:rsidRPr="00F2718E">
              <w:rPr>
                <w:rFonts w:ascii="GHEA Grapalat" w:hAnsi="GHEA Grapalat"/>
                <w:lang w:val="hy-AM"/>
              </w:rPr>
              <w:t>ու</w:t>
            </w:r>
            <w:r w:rsidRPr="00F2718E">
              <w:rPr>
                <w:rFonts w:ascii="GHEA Grapalat" w:hAnsi="GHEA Grapalat"/>
              </w:rPr>
              <w:t xml:space="preserve">ﬓ </w:t>
            </w:r>
            <w:r w:rsidRPr="00F2718E">
              <w:rPr>
                <w:rFonts w:ascii="GHEA Grapalat" w:hAnsi="GHEA Grapalat"/>
                <w:lang w:val="hy-AM"/>
              </w:rPr>
              <w:t>ու</w:t>
            </w:r>
            <w:r w:rsidRPr="00F2718E">
              <w:rPr>
                <w:rFonts w:ascii="GHEA Grapalat" w:hAnsi="GHEA Grapalat"/>
              </w:rPr>
              <w:t xml:space="preserve"> դրանից ածանցվող մյ</w:t>
            </w:r>
            <w:r w:rsidRPr="00F2718E">
              <w:rPr>
                <w:rFonts w:ascii="GHEA Grapalat" w:hAnsi="GHEA Grapalat"/>
                <w:lang w:val="hy-AM"/>
              </w:rPr>
              <w:t>ու</w:t>
            </w:r>
            <w:r w:rsidRPr="00F2718E">
              <w:rPr>
                <w:rFonts w:ascii="GHEA Grapalat" w:hAnsi="GHEA Grapalat"/>
              </w:rPr>
              <w:t>ս իրավունքները։</w:t>
            </w:r>
          </w:p>
          <w:p w14:paraId="210533FE" w14:textId="77777777" w:rsidR="00B27B87" w:rsidRPr="00F2718E" w:rsidRDefault="00B27B87" w:rsidP="00A961C5">
            <w:pPr>
              <w:spacing w:line="360" w:lineRule="auto"/>
              <w:jc w:val="both"/>
              <w:rPr>
                <w:rFonts w:ascii="GHEA Grapalat" w:hAnsi="GHEA Grapalat"/>
              </w:rPr>
            </w:pPr>
            <w:r w:rsidRPr="00F2718E">
              <w:rPr>
                <w:rFonts w:ascii="GHEA Grapalat" w:hAnsi="GHEA Grapalat"/>
              </w:rPr>
              <w:t>Առաջարկում ենք նախագծերից բացառել անբարեխիղճ կերպով անհիﬓ հայց, վերաքննիչ կամ վճռաբեկ բողոք ներկայացնելու կամ դատավարական այլ վարքագծով իրավունքները չարաշահելու դեպքերում դատական տուգանք կիրառելու հնարավորություն սահմանող դրույթները:</w:t>
            </w:r>
          </w:p>
        </w:tc>
        <w:tc>
          <w:tcPr>
            <w:tcW w:w="7022" w:type="dxa"/>
            <w:gridSpan w:val="6"/>
          </w:tcPr>
          <w:p w14:paraId="5FA85FBA" w14:textId="77777777" w:rsidR="00B27B87" w:rsidRPr="00F2718E" w:rsidRDefault="00B27B87"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596D5536" w14:textId="77777777" w:rsidR="00B27B87" w:rsidRPr="00F2718E" w:rsidRDefault="00B27B87"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 xml:space="preserve">155.3-րդ  և 101.5-րդ հոդվածները </w:t>
            </w:r>
            <w:r w:rsidRPr="00F2718E">
              <w:rPr>
                <w:rFonts w:ascii="GHEA Grapalat" w:hAnsi="GHEA Grapalat"/>
              </w:rPr>
              <w:t>(</w:t>
            </w:r>
            <w:r w:rsidRPr="00F2718E">
              <w:rPr>
                <w:rFonts w:ascii="GHEA Grapalat" w:hAnsi="GHEA Grapalat"/>
                <w:lang w:val="hy-AM"/>
              </w:rPr>
              <w:t>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rPr>
              <w:t>)</w:t>
            </w:r>
            <w:r w:rsidRPr="00F2718E">
              <w:rPr>
                <w:rFonts w:ascii="GHEA Grapalat" w:hAnsi="GHEA Grapalat"/>
                <w:lang w:val="hy-AM"/>
              </w:rPr>
              <w:t>:</w:t>
            </w:r>
            <w:r w:rsidRPr="00F2718E">
              <w:rPr>
                <w:rFonts w:ascii="GHEA Grapalat" w:hAnsi="GHEA Grapalat"/>
                <w:shd w:val="clear" w:color="auto" w:fill="FFFFFF"/>
                <w:lang w:val="hy-AM"/>
              </w:rPr>
              <w:t xml:space="preserve"> </w:t>
            </w:r>
          </w:p>
          <w:p w14:paraId="526ACF02" w14:textId="77777777" w:rsidR="00881AD5" w:rsidRPr="00F2718E" w:rsidRDefault="00881AD5" w:rsidP="00A961C5">
            <w:pPr>
              <w:spacing w:line="360" w:lineRule="auto"/>
              <w:jc w:val="both"/>
              <w:rPr>
                <w:rFonts w:ascii="GHEA Grapalat" w:hAnsi="GHEA Grapalat"/>
              </w:rPr>
            </w:pPr>
          </w:p>
        </w:tc>
      </w:tr>
      <w:tr w:rsidR="00881AD5" w:rsidRPr="00F2718E" w14:paraId="73852112" w14:textId="77777777" w:rsidTr="00F260E8">
        <w:trPr>
          <w:gridAfter w:val="1"/>
          <w:wAfter w:w="6" w:type="dxa"/>
        </w:trPr>
        <w:tc>
          <w:tcPr>
            <w:tcW w:w="7879" w:type="dxa"/>
          </w:tcPr>
          <w:p w14:paraId="66B824C4" w14:textId="7D18EBD4" w:rsidR="00B27B87" w:rsidRPr="00F2718E" w:rsidRDefault="00B27B87" w:rsidP="00A961C5">
            <w:pPr>
              <w:tabs>
                <w:tab w:val="left" w:pos="810"/>
                <w:tab w:val="left" w:pos="900"/>
              </w:tabs>
              <w:spacing w:line="360" w:lineRule="auto"/>
              <w:jc w:val="both"/>
              <w:rPr>
                <w:rFonts w:ascii="GHEA Grapalat" w:hAnsi="GHEA Grapalat"/>
              </w:rPr>
            </w:pPr>
            <w:r w:rsidRPr="00F2718E">
              <w:rPr>
                <w:rFonts w:ascii="GHEA Grapalat" w:hAnsi="GHEA Grapalat"/>
                <w:lang w:val="hy-AM"/>
              </w:rPr>
              <w:t xml:space="preserve">2. </w:t>
            </w:r>
            <w:r w:rsidRPr="00F2718E">
              <w:rPr>
                <w:rFonts w:ascii="GHEA Grapalat" w:hAnsi="GHEA Grapalat"/>
              </w:rPr>
              <w:t>Նախագծերով առաջարկվ</w:t>
            </w:r>
            <w:r w:rsidRPr="00F2718E">
              <w:rPr>
                <w:rFonts w:ascii="GHEA Grapalat" w:hAnsi="GHEA Grapalat"/>
                <w:lang w:val="hy-AM"/>
              </w:rPr>
              <w:t>ու</w:t>
            </w:r>
            <w:r w:rsidRPr="00F2718E">
              <w:rPr>
                <w:rFonts w:ascii="GHEA Grapalat" w:hAnsi="GHEA Grapalat"/>
              </w:rPr>
              <w:t>մ է նաև սահմանել դատական սանկցիայի նոր տեսակ՝ իրավ</w:t>
            </w:r>
            <w:r w:rsidRPr="00F2718E">
              <w:rPr>
                <w:rFonts w:ascii="GHEA Grapalat" w:hAnsi="GHEA Grapalat"/>
                <w:lang w:val="hy-AM"/>
              </w:rPr>
              <w:t>ու</w:t>
            </w:r>
            <w:r w:rsidRPr="00F2718E">
              <w:rPr>
                <w:rFonts w:ascii="GHEA Grapalat" w:hAnsi="GHEA Grapalat"/>
              </w:rPr>
              <w:t>նքի իրականացման սահմանափակ</w:t>
            </w:r>
            <w:r w:rsidRPr="00F2718E">
              <w:rPr>
                <w:rFonts w:ascii="GHEA Grapalat" w:hAnsi="GHEA Grapalat"/>
                <w:lang w:val="hy-AM"/>
              </w:rPr>
              <w:t>ու</w:t>
            </w:r>
            <w:r w:rsidRPr="00F2718E">
              <w:rPr>
                <w:rFonts w:ascii="GHEA Grapalat" w:hAnsi="GHEA Grapalat"/>
              </w:rPr>
              <w:t>մ, որը կարող է կիրառվել. 1) գործի նյ</w:t>
            </w:r>
            <w:r w:rsidRPr="00F2718E">
              <w:rPr>
                <w:rFonts w:ascii="GHEA Grapalat" w:hAnsi="GHEA Grapalat"/>
                <w:lang w:val="hy-AM"/>
              </w:rPr>
              <w:t>ու</w:t>
            </w:r>
            <w:r w:rsidRPr="00F2718E">
              <w:rPr>
                <w:rFonts w:ascii="GHEA Grapalat" w:hAnsi="GHEA Grapalat"/>
              </w:rPr>
              <w:t>թերին ծանոթանալ</w:t>
            </w:r>
            <w:r w:rsidRPr="00F2718E">
              <w:rPr>
                <w:rFonts w:ascii="GHEA Grapalat" w:hAnsi="GHEA Grapalat"/>
                <w:lang w:val="hy-AM"/>
              </w:rPr>
              <w:t>ու</w:t>
            </w:r>
            <w:r w:rsidRPr="00F2718E">
              <w:rPr>
                <w:rFonts w:ascii="GHEA Grapalat" w:hAnsi="GHEA Grapalat"/>
              </w:rPr>
              <w:t>, դրանց պատճեններ ստանալ</w:t>
            </w:r>
            <w:r w:rsidRPr="00F2718E">
              <w:rPr>
                <w:rFonts w:ascii="GHEA Grapalat" w:hAnsi="GHEA Grapalat"/>
                <w:lang w:val="hy-AM"/>
              </w:rPr>
              <w:t>ու</w:t>
            </w:r>
            <w:r w:rsidRPr="00F2718E">
              <w:rPr>
                <w:rFonts w:ascii="GHEA Grapalat" w:hAnsi="GHEA Grapalat"/>
              </w:rPr>
              <w:t>, քաղվածքներ, լ</w:t>
            </w:r>
            <w:r w:rsidRPr="00F2718E">
              <w:rPr>
                <w:rFonts w:ascii="GHEA Grapalat" w:hAnsi="GHEA Grapalat"/>
                <w:lang w:val="hy-AM"/>
              </w:rPr>
              <w:t>ու</w:t>
            </w:r>
            <w:r w:rsidRPr="00F2718E">
              <w:rPr>
                <w:rFonts w:ascii="GHEA Grapalat" w:hAnsi="GHEA Grapalat"/>
              </w:rPr>
              <w:t>սանկարներ, լ</w:t>
            </w:r>
            <w:r w:rsidRPr="00F2718E">
              <w:rPr>
                <w:rFonts w:ascii="GHEA Grapalat" w:hAnsi="GHEA Grapalat"/>
                <w:lang w:val="hy-AM"/>
              </w:rPr>
              <w:t>ու</w:t>
            </w:r>
            <w:r w:rsidRPr="00F2718E">
              <w:rPr>
                <w:rFonts w:ascii="GHEA Grapalat" w:hAnsi="GHEA Grapalat"/>
              </w:rPr>
              <w:t>սապատճեններ և պատճեններ անել</w:t>
            </w:r>
            <w:r w:rsidRPr="00F2718E">
              <w:rPr>
                <w:rFonts w:ascii="GHEA Grapalat" w:hAnsi="GHEA Grapalat"/>
                <w:lang w:val="hy-AM"/>
              </w:rPr>
              <w:t>ու</w:t>
            </w:r>
            <w:r w:rsidR="00405A58" w:rsidRPr="00F2718E">
              <w:rPr>
                <w:rFonts w:ascii="GHEA Grapalat" w:hAnsi="GHEA Grapalat"/>
              </w:rPr>
              <w:t>, 2) բացարկ հայտնել</w:t>
            </w:r>
            <w:r w:rsidRPr="00F2718E">
              <w:rPr>
                <w:rFonts w:ascii="GHEA Grapalat" w:hAnsi="GHEA Grapalat"/>
              </w:rPr>
              <w:t>, 3) ապաց</w:t>
            </w:r>
            <w:r w:rsidRPr="00F2718E">
              <w:rPr>
                <w:rFonts w:ascii="GHEA Grapalat" w:hAnsi="GHEA Grapalat"/>
                <w:lang w:val="hy-AM"/>
              </w:rPr>
              <w:t>ու</w:t>
            </w:r>
            <w:r w:rsidRPr="00F2718E">
              <w:rPr>
                <w:rFonts w:ascii="GHEA Grapalat" w:hAnsi="GHEA Grapalat"/>
              </w:rPr>
              <w:t>յցներ ներկայացնել</w:t>
            </w:r>
            <w:r w:rsidRPr="00F2718E">
              <w:rPr>
                <w:rFonts w:ascii="GHEA Grapalat" w:hAnsi="GHEA Grapalat"/>
                <w:lang w:val="hy-AM"/>
              </w:rPr>
              <w:t>ու</w:t>
            </w:r>
            <w:r w:rsidRPr="00F2718E">
              <w:rPr>
                <w:rFonts w:ascii="GHEA Grapalat" w:hAnsi="GHEA Grapalat"/>
              </w:rPr>
              <w:t>, 4) դատավար</w:t>
            </w:r>
            <w:r w:rsidRPr="00F2718E">
              <w:rPr>
                <w:rFonts w:ascii="GHEA Grapalat" w:hAnsi="GHEA Grapalat"/>
                <w:lang w:val="hy-AM"/>
              </w:rPr>
              <w:t>ու</w:t>
            </w:r>
            <w:r w:rsidRPr="00F2718E">
              <w:rPr>
                <w:rFonts w:ascii="GHEA Grapalat" w:hAnsi="GHEA Grapalat"/>
              </w:rPr>
              <w:t>թյան մասնակիցներին հարցեր տալ</w:t>
            </w:r>
            <w:r w:rsidRPr="00F2718E">
              <w:rPr>
                <w:rFonts w:ascii="GHEA Grapalat" w:hAnsi="GHEA Grapalat"/>
                <w:lang w:val="hy-AM"/>
              </w:rPr>
              <w:t>ու</w:t>
            </w:r>
            <w:r w:rsidRPr="00F2718E">
              <w:rPr>
                <w:rFonts w:ascii="GHEA Grapalat" w:hAnsi="GHEA Grapalat"/>
              </w:rPr>
              <w:t>, 5) ﬕջնորդ</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ններ ներկայացնել</w:t>
            </w:r>
            <w:r w:rsidRPr="00F2718E">
              <w:rPr>
                <w:rFonts w:ascii="GHEA Grapalat" w:hAnsi="GHEA Grapalat"/>
                <w:lang w:val="hy-AM"/>
              </w:rPr>
              <w:t>ու</w:t>
            </w:r>
            <w:r w:rsidRPr="00F2718E">
              <w:rPr>
                <w:rFonts w:ascii="GHEA Grapalat" w:hAnsi="GHEA Grapalat"/>
              </w:rPr>
              <w:t>, 6) դիրքորոշ</w:t>
            </w:r>
            <w:r w:rsidRPr="00F2718E">
              <w:rPr>
                <w:rFonts w:ascii="GHEA Grapalat" w:hAnsi="GHEA Grapalat"/>
                <w:lang w:val="hy-AM"/>
              </w:rPr>
              <w:t>ու</w:t>
            </w:r>
            <w:r w:rsidRPr="00F2718E">
              <w:rPr>
                <w:rFonts w:ascii="GHEA Grapalat" w:hAnsi="GHEA Grapalat"/>
              </w:rPr>
              <w:t>մ ներկայացնել</w:t>
            </w:r>
            <w:r w:rsidRPr="00F2718E">
              <w:rPr>
                <w:rFonts w:ascii="GHEA Grapalat" w:hAnsi="GHEA Grapalat"/>
                <w:lang w:val="hy-AM"/>
              </w:rPr>
              <w:t>ու</w:t>
            </w:r>
            <w:r w:rsidRPr="00F2718E">
              <w:rPr>
                <w:rFonts w:ascii="GHEA Grapalat" w:hAnsi="GHEA Grapalat"/>
              </w:rPr>
              <w:t xml:space="preserve"> իրավ</w:t>
            </w:r>
            <w:r w:rsidRPr="00F2718E">
              <w:rPr>
                <w:rFonts w:ascii="GHEA Grapalat" w:hAnsi="GHEA Grapalat"/>
                <w:lang w:val="hy-AM"/>
              </w:rPr>
              <w:t>ու</w:t>
            </w:r>
            <w:r w:rsidRPr="00F2718E">
              <w:rPr>
                <w:rFonts w:ascii="GHEA Grapalat" w:hAnsi="GHEA Grapalat"/>
              </w:rPr>
              <w:t>նքները պարբերաբար չարաշահել</w:t>
            </w:r>
            <w:r w:rsidRPr="00F2718E">
              <w:rPr>
                <w:rFonts w:ascii="GHEA Grapalat" w:hAnsi="GHEA Grapalat"/>
                <w:lang w:val="hy-AM"/>
              </w:rPr>
              <w:t>ու</w:t>
            </w:r>
            <w:r w:rsidRPr="00F2718E">
              <w:rPr>
                <w:rFonts w:ascii="GHEA Grapalat" w:hAnsi="GHEA Grapalat"/>
              </w:rPr>
              <w:t xml:space="preserve"> դեպք</w:t>
            </w:r>
            <w:r w:rsidRPr="00F2718E">
              <w:rPr>
                <w:rFonts w:ascii="GHEA Grapalat" w:hAnsi="GHEA Grapalat"/>
                <w:lang w:val="hy-AM"/>
              </w:rPr>
              <w:t>ու</w:t>
            </w:r>
            <w:r w:rsidRPr="00F2718E">
              <w:rPr>
                <w:rFonts w:ascii="GHEA Grapalat" w:hAnsi="GHEA Grapalat"/>
              </w:rPr>
              <w:t>մ: Ինչպես և նախորդ կետ</w:t>
            </w:r>
            <w:r w:rsidRPr="00F2718E">
              <w:rPr>
                <w:rFonts w:ascii="GHEA Grapalat" w:hAnsi="GHEA Grapalat"/>
                <w:lang w:val="hy-AM"/>
              </w:rPr>
              <w:t>ու</w:t>
            </w:r>
            <w:r w:rsidRPr="00F2718E">
              <w:rPr>
                <w:rFonts w:ascii="GHEA Grapalat" w:hAnsi="GHEA Grapalat"/>
              </w:rPr>
              <w:t>մ նշվածը, այս իրավակարգավոր</w:t>
            </w:r>
            <w:r w:rsidRPr="00F2718E">
              <w:rPr>
                <w:rFonts w:ascii="GHEA Grapalat" w:hAnsi="GHEA Grapalat"/>
                <w:lang w:val="hy-AM"/>
              </w:rPr>
              <w:t>ու</w:t>
            </w:r>
            <w:r w:rsidRPr="00F2718E">
              <w:rPr>
                <w:rFonts w:ascii="GHEA Grapalat" w:hAnsi="GHEA Grapalat"/>
              </w:rPr>
              <w:t>մը ն</w:t>
            </w:r>
            <w:r w:rsidRPr="00F2718E">
              <w:rPr>
                <w:rFonts w:ascii="GHEA Grapalat" w:hAnsi="GHEA Grapalat"/>
                <w:lang w:val="hy-AM"/>
              </w:rPr>
              <w:t>ու</w:t>
            </w:r>
            <w:r w:rsidRPr="00F2718E">
              <w:rPr>
                <w:rFonts w:ascii="GHEA Grapalat" w:hAnsi="GHEA Grapalat"/>
              </w:rPr>
              <w:t>յնպես բարձր ռիսկեր է ստեղծ</w:t>
            </w:r>
            <w:r w:rsidRPr="00F2718E">
              <w:rPr>
                <w:rFonts w:ascii="GHEA Grapalat" w:hAnsi="GHEA Grapalat"/>
                <w:lang w:val="hy-AM"/>
              </w:rPr>
              <w:t>ու</w:t>
            </w:r>
            <w:r w:rsidRPr="00F2718E">
              <w:rPr>
                <w:rFonts w:ascii="GHEA Grapalat" w:hAnsi="GHEA Grapalat"/>
              </w:rPr>
              <w:t>մ գործին մասնակցող անձանց իրավ</w:t>
            </w:r>
            <w:r w:rsidRPr="00F2718E">
              <w:rPr>
                <w:rFonts w:ascii="GHEA Grapalat" w:hAnsi="GHEA Grapalat"/>
                <w:lang w:val="hy-AM"/>
              </w:rPr>
              <w:t>ու</w:t>
            </w:r>
            <w:r w:rsidRPr="00F2718E">
              <w:rPr>
                <w:rFonts w:ascii="GHEA Grapalat" w:hAnsi="GHEA Grapalat"/>
              </w:rPr>
              <w:t>նքների չհիﬓավորված սահմանափակման մասով։ Մասնավորապես նախատեսված կարգավոր</w:t>
            </w:r>
            <w:r w:rsidRPr="00F2718E">
              <w:rPr>
                <w:rFonts w:ascii="GHEA Grapalat" w:hAnsi="GHEA Grapalat"/>
                <w:lang w:val="hy-AM"/>
              </w:rPr>
              <w:t>ու</w:t>
            </w:r>
            <w:r w:rsidRPr="00F2718E">
              <w:rPr>
                <w:rFonts w:ascii="GHEA Grapalat" w:hAnsi="GHEA Grapalat"/>
              </w:rPr>
              <w:t>մը դատական սանկցիա կիրառել</w:t>
            </w:r>
            <w:r w:rsidRPr="00F2718E">
              <w:rPr>
                <w:rFonts w:ascii="GHEA Grapalat" w:hAnsi="GHEA Grapalat"/>
                <w:lang w:val="hy-AM"/>
              </w:rPr>
              <w:t>ու</w:t>
            </w:r>
            <w:r w:rsidRPr="00F2718E">
              <w:rPr>
                <w:rFonts w:ascii="GHEA Grapalat" w:hAnsi="GHEA Grapalat"/>
              </w:rPr>
              <w:t xml:space="preserve"> հիմքը հաստատված համարել</w:t>
            </w:r>
            <w:r w:rsidRPr="00F2718E">
              <w:rPr>
                <w:rFonts w:ascii="GHEA Grapalat" w:hAnsi="GHEA Grapalat"/>
                <w:lang w:val="hy-AM"/>
              </w:rPr>
              <w:t>ու</w:t>
            </w:r>
            <w:r w:rsidRPr="00F2718E">
              <w:rPr>
                <w:rFonts w:ascii="GHEA Grapalat" w:hAnsi="GHEA Grapalat"/>
              </w:rPr>
              <w:t xml:space="preserve"> համար նախատես</w:t>
            </w:r>
            <w:r w:rsidRPr="00F2718E">
              <w:rPr>
                <w:rFonts w:ascii="GHEA Grapalat" w:hAnsi="GHEA Grapalat"/>
                <w:lang w:val="hy-AM"/>
              </w:rPr>
              <w:t>ու</w:t>
            </w:r>
            <w:r w:rsidRPr="00F2718E">
              <w:rPr>
                <w:rFonts w:ascii="GHEA Grapalat" w:hAnsi="GHEA Grapalat"/>
              </w:rPr>
              <w:t>մ է ﬕայն ﬔկ չափելի չափանիշ, այն է՝ իրավ</w:t>
            </w:r>
            <w:r w:rsidRPr="00F2718E">
              <w:rPr>
                <w:rFonts w:ascii="GHEA Grapalat" w:hAnsi="GHEA Grapalat"/>
                <w:lang w:val="hy-AM"/>
              </w:rPr>
              <w:t>ու</w:t>
            </w:r>
            <w:r w:rsidRPr="00F2718E">
              <w:rPr>
                <w:rFonts w:ascii="GHEA Grapalat" w:hAnsi="GHEA Grapalat"/>
              </w:rPr>
              <w:t>նքից օգտվել</w:t>
            </w:r>
            <w:r w:rsidRPr="00F2718E">
              <w:rPr>
                <w:rFonts w:ascii="GHEA Grapalat" w:hAnsi="GHEA Grapalat"/>
                <w:lang w:val="hy-AM"/>
              </w:rPr>
              <w:t>ու</w:t>
            </w:r>
            <w:r w:rsidRPr="00F2718E">
              <w:rPr>
                <w:rFonts w:ascii="GHEA Grapalat" w:hAnsi="GHEA Grapalat"/>
              </w:rPr>
              <w:t xml:space="preserve"> պարբերական</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նը, սակայն արարքի ս</w:t>
            </w:r>
            <w:r w:rsidRPr="00F2718E">
              <w:rPr>
                <w:rFonts w:ascii="GHEA Grapalat" w:hAnsi="GHEA Grapalat"/>
                <w:lang w:val="hy-AM"/>
              </w:rPr>
              <w:t>ու</w:t>
            </w:r>
            <w:r w:rsidRPr="00F2718E">
              <w:rPr>
                <w:rFonts w:ascii="GHEA Grapalat" w:hAnsi="GHEA Grapalat"/>
              </w:rPr>
              <w:t>բյեկտիվ կողմը, այն է՝ դատավարական ս</w:t>
            </w:r>
            <w:r w:rsidRPr="00F2718E">
              <w:rPr>
                <w:rFonts w:ascii="GHEA Grapalat" w:hAnsi="GHEA Grapalat"/>
                <w:lang w:val="hy-AM"/>
              </w:rPr>
              <w:t>ու</w:t>
            </w:r>
            <w:r w:rsidRPr="00F2718E">
              <w:rPr>
                <w:rFonts w:ascii="GHEA Grapalat" w:hAnsi="GHEA Grapalat"/>
              </w:rPr>
              <w:t>բյեկտի չարամտ</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նը գնահատել</w:t>
            </w:r>
            <w:r w:rsidRPr="00F2718E">
              <w:rPr>
                <w:rFonts w:ascii="GHEA Grapalat" w:hAnsi="GHEA Grapalat"/>
                <w:lang w:val="hy-AM"/>
              </w:rPr>
              <w:t xml:space="preserve">ու </w:t>
            </w:r>
            <w:r w:rsidRPr="00F2718E">
              <w:rPr>
                <w:rFonts w:ascii="GHEA Grapalat" w:hAnsi="GHEA Grapalat"/>
              </w:rPr>
              <w:t>համար որևէ չափելի չափանիշ չի նախատեսվ</w:t>
            </w:r>
            <w:r w:rsidRPr="00F2718E">
              <w:rPr>
                <w:rFonts w:ascii="GHEA Grapalat" w:hAnsi="GHEA Grapalat"/>
                <w:lang w:val="hy-AM"/>
              </w:rPr>
              <w:t>ու</w:t>
            </w:r>
            <w:r w:rsidRPr="00F2718E">
              <w:rPr>
                <w:rFonts w:ascii="GHEA Grapalat" w:hAnsi="GHEA Grapalat"/>
              </w:rPr>
              <w:t>մ։ Նաև գտն</w:t>
            </w:r>
            <w:r w:rsidRPr="00F2718E">
              <w:rPr>
                <w:rFonts w:ascii="GHEA Grapalat" w:hAnsi="GHEA Grapalat"/>
                <w:lang w:val="hy-AM"/>
              </w:rPr>
              <w:t>ու</w:t>
            </w:r>
            <w:r w:rsidRPr="00F2718E">
              <w:rPr>
                <w:rFonts w:ascii="GHEA Grapalat" w:hAnsi="GHEA Grapalat"/>
              </w:rPr>
              <w:t>մ ենք, որ ﬕանշանակորեն հնարավոր է սահմանել նման չափանիշներ։ Այդ մասով առաջարկ</w:t>
            </w:r>
            <w:r w:rsidRPr="00F2718E">
              <w:rPr>
                <w:rFonts w:ascii="GHEA Grapalat" w:hAnsi="GHEA Grapalat"/>
                <w:lang w:val="hy-AM"/>
              </w:rPr>
              <w:t>ու</w:t>
            </w:r>
            <w:r w:rsidRPr="00F2718E">
              <w:rPr>
                <w:rFonts w:ascii="GHEA Grapalat" w:hAnsi="GHEA Grapalat"/>
              </w:rPr>
              <w:t>մ ենք. 1</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նյ</w:t>
            </w:r>
            <w:r w:rsidRPr="00F2718E">
              <w:rPr>
                <w:rFonts w:ascii="GHEA Grapalat" w:hAnsi="GHEA Grapalat"/>
                <w:lang w:val="hy-AM"/>
              </w:rPr>
              <w:t>ու</w:t>
            </w:r>
            <w:r w:rsidRPr="00F2718E">
              <w:rPr>
                <w:rFonts w:ascii="GHEA Grapalat" w:hAnsi="GHEA Grapalat"/>
              </w:rPr>
              <w:t>թերին ծանոթանալ</w:t>
            </w:r>
            <w:r w:rsidRPr="00F2718E">
              <w:rPr>
                <w:rFonts w:ascii="GHEA Grapalat" w:hAnsi="GHEA Grapalat"/>
                <w:lang w:val="hy-AM"/>
              </w:rPr>
              <w:t>ու</w:t>
            </w:r>
            <w:r w:rsidRPr="00F2718E">
              <w:rPr>
                <w:rFonts w:ascii="GHEA Grapalat" w:hAnsi="GHEA Grapalat"/>
              </w:rPr>
              <w:t xml:space="preserve"> մասով արարքը որպես չարաշահ</w:t>
            </w:r>
            <w:r w:rsidRPr="00F2718E">
              <w:rPr>
                <w:rFonts w:ascii="GHEA Grapalat" w:hAnsi="GHEA Grapalat"/>
                <w:lang w:val="hy-AM"/>
              </w:rPr>
              <w:t>ու</w:t>
            </w:r>
            <w:r w:rsidRPr="00F2718E">
              <w:rPr>
                <w:rFonts w:ascii="GHEA Grapalat" w:hAnsi="GHEA Grapalat"/>
              </w:rPr>
              <w:t>մ գնահատել</w:t>
            </w:r>
            <w:r w:rsidRPr="00F2718E">
              <w:rPr>
                <w:rFonts w:ascii="GHEA Grapalat" w:hAnsi="GHEA Grapalat"/>
                <w:lang w:val="hy-AM"/>
              </w:rPr>
              <w:t>ու</w:t>
            </w:r>
            <w:r w:rsidRPr="00F2718E">
              <w:rPr>
                <w:rFonts w:ascii="GHEA Grapalat" w:hAnsi="GHEA Grapalat"/>
              </w:rPr>
              <w:t xml:space="preserve"> հիմք սահմանել գործի ն</w:t>
            </w:r>
            <w:r w:rsidRPr="00F2718E">
              <w:rPr>
                <w:rFonts w:ascii="GHEA Grapalat" w:hAnsi="GHEA Grapalat"/>
                <w:lang w:val="hy-AM"/>
              </w:rPr>
              <w:t>ու</w:t>
            </w:r>
            <w:r w:rsidRPr="00F2718E">
              <w:rPr>
                <w:rFonts w:ascii="GHEA Grapalat" w:hAnsi="GHEA Grapalat"/>
              </w:rPr>
              <w:t>յն նյ</w:t>
            </w:r>
            <w:r w:rsidRPr="00F2718E">
              <w:rPr>
                <w:rFonts w:ascii="GHEA Grapalat" w:hAnsi="GHEA Grapalat"/>
                <w:lang w:val="hy-AM"/>
              </w:rPr>
              <w:t>ու</w:t>
            </w:r>
            <w:r w:rsidRPr="00F2718E">
              <w:rPr>
                <w:rFonts w:ascii="GHEA Grapalat" w:hAnsi="GHEA Grapalat"/>
              </w:rPr>
              <w:t>թերը կամ գործի ամբողջ նյ</w:t>
            </w:r>
            <w:r w:rsidRPr="00F2718E">
              <w:rPr>
                <w:rFonts w:ascii="GHEA Grapalat" w:hAnsi="GHEA Grapalat"/>
                <w:lang w:val="hy-AM"/>
              </w:rPr>
              <w:t>ու</w:t>
            </w:r>
            <w:r w:rsidRPr="00F2718E">
              <w:rPr>
                <w:rFonts w:ascii="GHEA Grapalat" w:hAnsi="GHEA Grapalat"/>
              </w:rPr>
              <w:t>թը պարբերաբար ծանոթացման ներկայացնել</w:t>
            </w:r>
            <w:r w:rsidRPr="00F2718E">
              <w:rPr>
                <w:rFonts w:ascii="GHEA Grapalat" w:hAnsi="GHEA Grapalat"/>
                <w:lang w:val="hy-AM"/>
              </w:rPr>
              <w:t>ու</w:t>
            </w:r>
            <w:r w:rsidRPr="00F2718E">
              <w:rPr>
                <w:rFonts w:ascii="GHEA Grapalat" w:hAnsi="GHEA Grapalat"/>
              </w:rPr>
              <w:t xml:space="preserve"> խնդրանքով դիﬔլը կամ նշված իրավ</w:t>
            </w:r>
            <w:r w:rsidRPr="00F2718E">
              <w:rPr>
                <w:rFonts w:ascii="GHEA Grapalat" w:hAnsi="GHEA Grapalat"/>
                <w:lang w:val="hy-AM"/>
              </w:rPr>
              <w:t>ու</w:t>
            </w:r>
            <w:r w:rsidRPr="00F2718E">
              <w:rPr>
                <w:rFonts w:ascii="GHEA Grapalat" w:hAnsi="GHEA Grapalat"/>
              </w:rPr>
              <w:t>նքից օգտվելը որպես պարբերաբար գործի քնն</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նը հետաձգել</w:t>
            </w:r>
            <w:r w:rsidRPr="00F2718E">
              <w:rPr>
                <w:rFonts w:ascii="GHEA Grapalat" w:hAnsi="GHEA Grapalat"/>
                <w:lang w:val="hy-AM"/>
              </w:rPr>
              <w:t>ու</w:t>
            </w:r>
            <w:r w:rsidRPr="00F2718E">
              <w:rPr>
                <w:rFonts w:ascii="GHEA Grapalat" w:hAnsi="GHEA Grapalat"/>
              </w:rPr>
              <w:t xml:space="preserve"> հիմք օգտագործելը, 2</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բա</w:t>
            </w:r>
            <w:r w:rsidRPr="00F2718E">
              <w:rPr>
                <w:rFonts w:ascii="GHEA Grapalat" w:hAnsi="GHEA Grapalat"/>
              </w:rPr>
              <w:t>ցարկ հայտնել</w:t>
            </w:r>
            <w:r w:rsidRPr="00F2718E">
              <w:rPr>
                <w:rFonts w:ascii="GHEA Grapalat" w:hAnsi="GHEA Grapalat"/>
                <w:lang w:val="hy-AM"/>
              </w:rPr>
              <w:t>ու</w:t>
            </w:r>
            <w:r w:rsidRPr="00F2718E">
              <w:rPr>
                <w:rFonts w:ascii="GHEA Grapalat" w:hAnsi="GHEA Grapalat"/>
              </w:rPr>
              <w:t xml:space="preserve"> մասով՝ փաստացի ﬕևն</w:t>
            </w:r>
            <w:r w:rsidRPr="00F2718E">
              <w:rPr>
                <w:rFonts w:ascii="GHEA Grapalat" w:hAnsi="GHEA Grapalat"/>
                <w:lang w:val="hy-AM"/>
              </w:rPr>
              <w:t>ու</w:t>
            </w:r>
            <w:r w:rsidRPr="00F2718E">
              <w:rPr>
                <w:rFonts w:ascii="GHEA Grapalat" w:hAnsi="GHEA Grapalat"/>
              </w:rPr>
              <w:t>յն հիմքով դա անելը, 3</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ապաց</w:t>
            </w:r>
            <w:r w:rsidRPr="00F2718E">
              <w:rPr>
                <w:rFonts w:ascii="GHEA Grapalat" w:hAnsi="GHEA Grapalat"/>
                <w:lang w:val="hy-AM"/>
              </w:rPr>
              <w:t>ու</w:t>
            </w:r>
            <w:r w:rsidRPr="00F2718E">
              <w:rPr>
                <w:rFonts w:ascii="GHEA Grapalat" w:hAnsi="GHEA Grapalat"/>
              </w:rPr>
              <w:t>յցներ ներկայացնել</w:t>
            </w:r>
            <w:r w:rsidRPr="00F2718E">
              <w:rPr>
                <w:rFonts w:ascii="GHEA Grapalat" w:hAnsi="GHEA Grapalat"/>
                <w:lang w:val="hy-AM"/>
              </w:rPr>
              <w:t>ու</w:t>
            </w:r>
            <w:r w:rsidRPr="00F2718E">
              <w:rPr>
                <w:rFonts w:ascii="GHEA Grapalat" w:hAnsi="GHEA Grapalat"/>
              </w:rPr>
              <w:t xml:space="preserve"> մասով՝ գործին ոչ վերաբերելի ապաց</w:t>
            </w:r>
            <w:r w:rsidRPr="00F2718E">
              <w:rPr>
                <w:rFonts w:ascii="GHEA Grapalat" w:hAnsi="GHEA Grapalat"/>
                <w:lang w:val="hy-AM"/>
              </w:rPr>
              <w:t>ու</w:t>
            </w:r>
            <w:r w:rsidRPr="00F2718E">
              <w:rPr>
                <w:rFonts w:ascii="GHEA Grapalat" w:hAnsi="GHEA Grapalat"/>
              </w:rPr>
              <w:t>յցներ պարբերաբար ներկայացնելը (հաշվի առնելով այն, որ վերաբերելի ապաց</w:t>
            </w:r>
            <w:r w:rsidRPr="00F2718E">
              <w:rPr>
                <w:rFonts w:ascii="GHEA Grapalat" w:hAnsi="GHEA Grapalat"/>
                <w:lang w:val="hy-AM"/>
              </w:rPr>
              <w:t>ու</w:t>
            </w:r>
            <w:r w:rsidRPr="00F2718E">
              <w:rPr>
                <w:rFonts w:ascii="GHEA Grapalat" w:hAnsi="GHEA Grapalat"/>
              </w:rPr>
              <w:t xml:space="preserve">յցների մասով առհասարակ </w:t>
            </w:r>
            <w:r w:rsidR="00405A58" w:rsidRPr="00F2718E">
              <w:rPr>
                <w:rFonts w:ascii="GHEA Grapalat" w:hAnsi="GHEA Grapalat"/>
              </w:rPr>
              <w:t>արդար դատաքն</w:t>
            </w:r>
            <w:r w:rsidR="00405A58" w:rsidRPr="00F2718E">
              <w:rPr>
                <w:rFonts w:ascii="GHEA Grapalat" w:hAnsi="GHEA Grapalat"/>
                <w:lang w:val="hy-AM"/>
              </w:rPr>
              <w:t>նու</w:t>
            </w:r>
            <w:r w:rsidRPr="00F2718E">
              <w:rPr>
                <w:rFonts w:ascii="GHEA Grapalat" w:hAnsi="GHEA Grapalat"/>
              </w:rPr>
              <w:t>թյան իրավ</w:t>
            </w:r>
            <w:r w:rsidRPr="00F2718E">
              <w:rPr>
                <w:rFonts w:ascii="GHEA Grapalat" w:hAnsi="GHEA Grapalat"/>
                <w:lang w:val="hy-AM"/>
              </w:rPr>
              <w:t>ու</w:t>
            </w:r>
            <w:r w:rsidRPr="00F2718E">
              <w:rPr>
                <w:rFonts w:ascii="GHEA Grapalat" w:hAnsi="GHEA Grapalat"/>
              </w:rPr>
              <w:t xml:space="preserve">նքի </w:t>
            </w:r>
            <w:r w:rsidRPr="00F2718E">
              <w:rPr>
                <w:rFonts w:ascii="GHEA Grapalat" w:hAnsi="GHEA Grapalat"/>
                <w:lang w:val="hy-AM"/>
              </w:rPr>
              <w:t>ու</w:t>
            </w:r>
            <w:r w:rsidRPr="00F2718E">
              <w:rPr>
                <w:rFonts w:ascii="GHEA Grapalat" w:hAnsi="GHEA Grapalat"/>
              </w:rPr>
              <w:t>ղղակի խախտ</w:t>
            </w:r>
            <w:r w:rsidRPr="00F2718E">
              <w:rPr>
                <w:rFonts w:ascii="GHEA Grapalat" w:hAnsi="GHEA Grapalat"/>
                <w:lang w:val="hy-AM"/>
              </w:rPr>
              <w:t>ու</w:t>
            </w:r>
            <w:r w:rsidRPr="00F2718E">
              <w:rPr>
                <w:rFonts w:ascii="GHEA Grapalat" w:hAnsi="GHEA Grapalat"/>
              </w:rPr>
              <w:t>մ կլինի դրանք ներկայացնելը որևէ կերպով սահմանափակելը՝ բացի դատավարական փ</w:t>
            </w:r>
            <w:r w:rsidRPr="00F2718E">
              <w:rPr>
                <w:rFonts w:ascii="GHEA Grapalat" w:hAnsi="GHEA Grapalat"/>
                <w:lang w:val="hy-AM"/>
              </w:rPr>
              <w:t>ու</w:t>
            </w:r>
            <w:r w:rsidRPr="00F2718E">
              <w:rPr>
                <w:rFonts w:ascii="GHEA Grapalat" w:hAnsi="GHEA Grapalat"/>
              </w:rPr>
              <w:t>լերից և ժամկետներից), 4</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դատավար</w:t>
            </w:r>
            <w:r w:rsidRPr="00F2718E">
              <w:rPr>
                <w:rFonts w:ascii="GHEA Grapalat" w:hAnsi="GHEA Grapalat"/>
                <w:lang w:val="hy-AM"/>
              </w:rPr>
              <w:t>ու</w:t>
            </w:r>
            <w:r w:rsidRPr="00F2718E">
              <w:rPr>
                <w:rFonts w:ascii="GHEA Grapalat" w:hAnsi="GHEA Grapalat" w:cs="GHEA Grapalat"/>
              </w:rPr>
              <w:t>թյան</w:t>
            </w:r>
            <w:r w:rsidRPr="00F2718E">
              <w:rPr>
                <w:rFonts w:ascii="GHEA Grapalat" w:hAnsi="GHEA Grapalat"/>
              </w:rPr>
              <w:t xml:space="preserve"> </w:t>
            </w:r>
            <w:r w:rsidRPr="00F2718E">
              <w:rPr>
                <w:rFonts w:ascii="GHEA Grapalat" w:hAnsi="GHEA Grapalat" w:cs="GHEA Grapalat"/>
              </w:rPr>
              <w:t>մասնակիցներին</w:t>
            </w:r>
            <w:r w:rsidRPr="00F2718E">
              <w:rPr>
                <w:rFonts w:ascii="GHEA Grapalat" w:hAnsi="GHEA Grapalat"/>
              </w:rPr>
              <w:t xml:space="preserve"> </w:t>
            </w:r>
            <w:r w:rsidRPr="00F2718E">
              <w:rPr>
                <w:rFonts w:ascii="GHEA Grapalat" w:hAnsi="GHEA Grapalat" w:cs="GHEA Grapalat"/>
              </w:rPr>
              <w:t>հարցեր</w:t>
            </w:r>
            <w:r w:rsidRPr="00F2718E">
              <w:rPr>
                <w:rFonts w:ascii="GHEA Grapalat" w:hAnsi="GHEA Grapalat"/>
              </w:rPr>
              <w:t xml:space="preserve"> </w:t>
            </w:r>
            <w:r w:rsidRPr="00F2718E">
              <w:rPr>
                <w:rFonts w:ascii="GHEA Grapalat" w:hAnsi="GHEA Grapalat" w:cs="GHEA Grapalat"/>
              </w:rPr>
              <w:t>տալ</w:t>
            </w:r>
            <w:r w:rsidRPr="00F2718E">
              <w:rPr>
                <w:rFonts w:ascii="GHEA Grapalat" w:hAnsi="GHEA Grapalat"/>
                <w:lang w:val="hy-AM"/>
              </w:rPr>
              <w:t>ու</w:t>
            </w:r>
            <w:r w:rsidRPr="00F2718E">
              <w:rPr>
                <w:rFonts w:ascii="GHEA Grapalat" w:hAnsi="GHEA Grapalat"/>
              </w:rPr>
              <w:t xml:space="preserve"> մասով՝ ն</w:t>
            </w:r>
            <w:r w:rsidRPr="00F2718E">
              <w:rPr>
                <w:rFonts w:ascii="GHEA Grapalat" w:hAnsi="GHEA Grapalat"/>
                <w:lang w:val="hy-AM"/>
              </w:rPr>
              <w:t>ու</w:t>
            </w:r>
            <w:r w:rsidRPr="00F2718E">
              <w:rPr>
                <w:rFonts w:ascii="GHEA Grapalat" w:hAnsi="GHEA Grapalat"/>
              </w:rPr>
              <w:t>յնաբովանդակ կամ ոչ վերաբերելի հարցեր տալը, 5</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ﬕջնորդ</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ններ ներկայացնել</w:t>
            </w:r>
            <w:r w:rsidRPr="00F2718E">
              <w:rPr>
                <w:rFonts w:ascii="GHEA Grapalat" w:hAnsi="GHEA Grapalat"/>
                <w:lang w:val="hy-AM"/>
              </w:rPr>
              <w:t>ու</w:t>
            </w:r>
            <w:r w:rsidRPr="00F2718E">
              <w:rPr>
                <w:rFonts w:ascii="GHEA Grapalat" w:hAnsi="GHEA Grapalat"/>
              </w:rPr>
              <w:t xml:space="preserve"> դեպք</w:t>
            </w:r>
            <w:r w:rsidRPr="00F2718E">
              <w:rPr>
                <w:rFonts w:ascii="GHEA Grapalat" w:hAnsi="GHEA Grapalat"/>
                <w:lang w:val="hy-AM"/>
              </w:rPr>
              <w:t>ու</w:t>
            </w:r>
            <w:r w:rsidRPr="00F2718E">
              <w:rPr>
                <w:rFonts w:ascii="GHEA Grapalat" w:hAnsi="GHEA Grapalat"/>
              </w:rPr>
              <w:t>մ՝ փաստացի ն</w:t>
            </w:r>
            <w:r w:rsidRPr="00F2718E">
              <w:rPr>
                <w:rFonts w:ascii="GHEA Grapalat" w:hAnsi="GHEA Grapalat"/>
                <w:lang w:val="hy-AM"/>
              </w:rPr>
              <w:t>ու</w:t>
            </w:r>
            <w:r w:rsidRPr="00F2718E">
              <w:rPr>
                <w:rFonts w:ascii="GHEA Grapalat" w:hAnsi="GHEA Grapalat"/>
              </w:rPr>
              <w:t>յն հիմքով կամ պահանջով ﬕջնորդ</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ններ ներկայացնելը կամ ﬕջնորդ</w:t>
            </w:r>
            <w:r w:rsidRPr="00F2718E">
              <w:rPr>
                <w:rFonts w:ascii="GHEA Grapalat" w:hAnsi="GHEA Grapalat"/>
                <w:lang w:val="hy-AM"/>
              </w:rPr>
              <w:t>ու</w:t>
            </w:r>
            <w:r w:rsidRPr="00F2718E">
              <w:rPr>
                <w:rFonts w:ascii="GHEA Grapalat" w:hAnsi="GHEA Grapalat"/>
              </w:rPr>
              <w:t>թյ</w:t>
            </w:r>
            <w:r w:rsidRPr="00F2718E">
              <w:rPr>
                <w:rFonts w:ascii="GHEA Grapalat" w:hAnsi="GHEA Grapalat"/>
                <w:lang w:val="hy-AM"/>
              </w:rPr>
              <w:t>ու</w:t>
            </w:r>
            <w:r w:rsidRPr="00F2718E">
              <w:rPr>
                <w:rFonts w:ascii="GHEA Grapalat" w:hAnsi="GHEA Grapalat"/>
              </w:rPr>
              <w:t>նները պարբերաբար օրենքով չսահմանված փ</w:t>
            </w:r>
            <w:r w:rsidRPr="00F2718E">
              <w:rPr>
                <w:rFonts w:ascii="GHEA Grapalat" w:hAnsi="GHEA Grapalat"/>
                <w:lang w:val="hy-AM"/>
              </w:rPr>
              <w:t>ու</w:t>
            </w:r>
            <w:r w:rsidRPr="00F2718E">
              <w:rPr>
                <w:rFonts w:ascii="GHEA Grapalat" w:hAnsi="GHEA Grapalat"/>
              </w:rPr>
              <w:t>լ</w:t>
            </w:r>
            <w:r w:rsidRPr="00F2718E">
              <w:rPr>
                <w:rFonts w:ascii="GHEA Grapalat" w:hAnsi="GHEA Grapalat"/>
                <w:lang w:val="hy-AM"/>
              </w:rPr>
              <w:t>ու</w:t>
            </w:r>
            <w:r w:rsidRPr="00F2718E">
              <w:rPr>
                <w:rFonts w:ascii="GHEA Grapalat" w:hAnsi="GHEA Grapalat"/>
              </w:rPr>
              <w:t>մ ներկայացնելը, 6</w:t>
            </w:r>
            <w:r w:rsidRPr="00F2718E">
              <w:rPr>
                <w:rFonts w:ascii="Cambria Math" w:hAnsi="Cambria Math" w:cs="Cambria Math"/>
              </w:rPr>
              <w:t>․</w:t>
            </w:r>
            <w:r w:rsidRPr="00F2718E">
              <w:rPr>
                <w:rFonts w:ascii="GHEA Grapalat" w:hAnsi="GHEA Grapalat"/>
              </w:rPr>
              <w:t xml:space="preserve"> </w:t>
            </w:r>
            <w:r w:rsidRPr="00F2718E">
              <w:rPr>
                <w:rFonts w:ascii="GHEA Grapalat" w:hAnsi="GHEA Grapalat" w:cs="GHEA Grapalat"/>
              </w:rPr>
              <w:t>դիրքորոշ</w:t>
            </w:r>
            <w:r w:rsidRPr="00F2718E">
              <w:rPr>
                <w:rFonts w:ascii="GHEA Grapalat" w:hAnsi="GHEA Grapalat"/>
                <w:lang w:val="hy-AM"/>
              </w:rPr>
              <w:t>ու</w:t>
            </w:r>
            <w:r w:rsidRPr="00F2718E">
              <w:rPr>
                <w:rFonts w:ascii="GHEA Grapalat" w:hAnsi="GHEA Grapalat"/>
              </w:rPr>
              <w:t>մ արտահայտե</w:t>
            </w:r>
            <w:r w:rsidRPr="00F2718E">
              <w:rPr>
                <w:rFonts w:ascii="GHEA Grapalat" w:hAnsi="GHEA Grapalat"/>
                <w:lang w:val="hy-AM"/>
              </w:rPr>
              <w:t xml:space="preserve">լու </w:t>
            </w:r>
            <w:r w:rsidRPr="00F2718E">
              <w:rPr>
                <w:rFonts w:ascii="GHEA Grapalat" w:hAnsi="GHEA Grapalat"/>
              </w:rPr>
              <w:t>մասով՝ փաստացի ն</w:t>
            </w:r>
            <w:r w:rsidRPr="00F2718E">
              <w:rPr>
                <w:rFonts w:ascii="GHEA Grapalat" w:hAnsi="GHEA Grapalat"/>
                <w:lang w:val="hy-AM"/>
              </w:rPr>
              <w:t>ու</w:t>
            </w:r>
            <w:r w:rsidRPr="00F2718E">
              <w:rPr>
                <w:rFonts w:ascii="GHEA Grapalat" w:hAnsi="GHEA Grapalat"/>
              </w:rPr>
              <w:t>յն հարցի շ</w:t>
            </w:r>
            <w:r w:rsidRPr="00F2718E">
              <w:rPr>
                <w:rFonts w:ascii="GHEA Grapalat" w:hAnsi="GHEA Grapalat"/>
                <w:lang w:val="hy-AM"/>
              </w:rPr>
              <w:t>ու</w:t>
            </w:r>
            <w:r w:rsidRPr="00F2718E">
              <w:rPr>
                <w:rFonts w:ascii="GHEA Grapalat" w:hAnsi="GHEA Grapalat"/>
              </w:rPr>
              <w:t>րջ ն</w:t>
            </w:r>
            <w:r w:rsidRPr="00F2718E">
              <w:rPr>
                <w:rFonts w:ascii="GHEA Grapalat" w:hAnsi="GHEA Grapalat"/>
                <w:lang w:val="hy-AM"/>
              </w:rPr>
              <w:t>ու</w:t>
            </w:r>
            <w:r w:rsidRPr="00F2718E">
              <w:rPr>
                <w:rFonts w:ascii="GHEA Grapalat" w:hAnsi="GHEA Grapalat"/>
              </w:rPr>
              <w:t>յնաբովանդակ դիրքորոշ</w:t>
            </w:r>
            <w:r w:rsidRPr="00F2718E">
              <w:rPr>
                <w:rFonts w:ascii="GHEA Grapalat" w:hAnsi="GHEA Grapalat"/>
                <w:lang w:val="hy-AM"/>
              </w:rPr>
              <w:t>ու</w:t>
            </w:r>
            <w:r w:rsidRPr="00F2718E">
              <w:rPr>
                <w:rFonts w:ascii="GHEA Grapalat" w:hAnsi="GHEA Grapalat"/>
              </w:rPr>
              <w:t>ﬓեր ներկայացնելը</w:t>
            </w:r>
            <w:r w:rsidRPr="00F2718E">
              <w:rPr>
                <w:rFonts w:ascii="GHEA Grapalat" w:hAnsi="GHEA Grapalat"/>
                <w:lang w:val="hy-AM"/>
              </w:rPr>
              <w:t>:</w:t>
            </w:r>
          </w:p>
          <w:p w14:paraId="4167568F" w14:textId="77777777" w:rsidR="00881AD5" w:rsidRPr="00F2718E" w:rsidRDefault="00B27B87" w:rsidP="00A961C5">
            <w:pPr>
              <w:spacing w:line="360" w:lineRule="auto"/>
              <w:jc w:val="both"/>
              <w:rPr>
                <w:rFonts w:ascii="GHEA Grapalat" w:hAnsi="GHEA Grapalat"/>
              </w:rPr>
            </w:pPr>
            <w:r w:rsidRPr="00F2718E">
              <w:rPr>
                <w:rFonts w:ascii="GHEA Grapalat" w:hAnsi="GHEA Grapalat"/>
              </w:rPr>
              <w:t>Առաջարկում ենք Նախագծերում հստակեցնել/սահմանել իրավունքի իրականացման սահմանափակման դատական սանկցիայի կիրառման համար հիմք հանդիսացող վարքագծի գնահատման չափորոշիչները:</w:t>
            </w:r>
          </w:p>
        </w:tc>
        <w:tc>
          <w:tcPr>
            <w:tcW w:w="7022" w:type="dxa"/>
            <w:gridSpan w:val="6"/>
          </w:tcPr>
          <w:p w14:paraId="3470803F" w14:textId="77777777" w:rsidR="00B27B87" w:rsidRPr="00F2718E" w:rsidRDefault="00B27B87"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5AF4B1A0" w14:textId="77777777" w:rsidR="00B27B87" w:rsidRPr="00F2718E" w:rsidRDefault="00B27B87" w:rsidP="00A961C5">
            <w:pPr>
              <w:spacing w:line="360" w:lineRule="auto"/>
              <w:contextualSpacing/>
              <w:jc w:val="both"/>
              <w:rPr>
                <w:rFonts w:ascii="GHEA Grapalat" w:hAnsi="GHEA Grapalat"/>
                <w:lang w:val="hy-AM"/>
              </w:rPr>
            </w:pPr>
            <w:r w:rsidRPr="00F2718E">
              <w:rPr>
                <w:rFonts w:ascii="GHEA Grapalat" w:hAnsi="GHEA Grapalat"/>
                <w:shd w:val="clear" w:color="auto" w:fill="FFFFFF"/>
                <w:lang w:val="hy-AM"/>
              </w:rPr>
              <w:t xml:space="preserve">Նախագծերով առաջարկվող «իրավունքի իրականացման սահմանափակում» սանկցիայի </w:t>
            </w:r>
            <w:r w:rsidRPr="00F2718E">
              <w:rPr>
                <w:rFonts w:ascii="GHEA Grapalat" w:hAnsi="GHEA Grapalat"/>
                <w:lang w:val="hy-AM"/>
              </w:rPr>
              <w:t xml:space="preserve">էությունը կայանում է նրանում, որ երբ դատարանը գտնում է, որ դատավարության մասնակիցն իր դատավարական իրավունքներն օգտագործելիս չարաշահում է դրանք՝ դրանով վնաս պատճառելով դատավարության մյուս մասնակիցների իրավունքներին, հանգեցնելով դատական նիստի ձգձգման կամ գործի դատական քննության խափանման, ապա կարող է կիրառել սպառիչ ցանկի տեսքով նախատեսված իրավունքների իրականացման ժամանակային կամ քանակական սահմանափակումներ պայմանով, որ այդ իրավունքների բուն իրացումը չի բացառվելու: </w:t>
            </w:r>
          </w:p>
          <w:p w14:paraId="784F1E90" w14:textId="77777777" w:rsidR="00B27B87" w:rsidRPr="00F2718E" w:rsidRDefault="00B27B87" w:rsidP="00A961C5">
            <w:pPr>
              <w:spacing w:line="360" w:lineRule="auto"/>
              <w:contextualSpacing/>
              <w:jc w:val="both"/>
              <w:rPr>
                <w:rFonts w:ascii="GHEA Grapalat" w:hAnsi="GHEA Grapalat"/>
                <w:shd w:val="clear" w:color="auto" w:fill="FFFFFF"/>
                <w:lang w:val="hy-AM"/>
              </w:rPr>
            </w:pPr>
            <w:r w:rsidRPr="00F2718E">
              <w:rPr>
                <w:rFonts w:ascii="GHEA Grapalat" w:hAnsi="GHEA Grapalat"/>
                <w:lang w:val="hy-AM"/>
              </w:rPr>
              <w:t xml:space="preserve">Այսպիսով, Նախագծերով առաջարկվել է սահմանել գործի նյութերին ծանոթանալու, դրանց պատճեններ ստանալու, քաղվածքներ, լուսանկարներ, լուսապատճեններ և պատճեններ անելու, բացարկ հայտնելու, ինքնաբացարկ հայտնելու, միջնորդություններ անելու, ապացույցներ ներկայացնելու, դատավարության մասնակիցներին հարցեր տալու, միջնորդություններ ներկայացնելու, դիրքորոշում ներկայացնելու իրավունքների ժամանակային կամ քանակական սահմանափակումներ կիրառելու դատարանների իրավասությունը: </w:t>
            </w:r>
            <w:r w:rsidRPr="00F2718E">
              <w:rPr>
                <w:rFonts w:ascii="GHEA Grapalat" w:hAnsi="GHEA Grapalat"/>
                <w:shd w:val="clear" w:color="auto" w:fill="FFFFFF"/>
                <w:lang w:val="hy-AM"/>
              </w:rPr>
              <w:t>«Իրավունքները պարբերաբար չարաշահել» եզրույթի կիրառումն արդեն իսկ ենթադրում է, որ դատավարության մասնակցի վարքագիծը պետք է ունենա պարբերական, շարունակական բնույթ՝ չսահմանափակվելով մեկ անգամ կատարված գործողությամբ: Միաժամանակ, պետք է դատարանի կողմից հաստատվի «չարաշահման» փաստը, այսինքն՝ դատավարական իրավունքը ոչ դրա նպատակներին համահունչ օգտագործման փաստը, և դրան զուգահեռ չպետք է իրավունքի բուն իրացումը սահմանափակվի: Իրավունքի իրականացման սահմանափակում սանկցիայի կիրառումը ոչ թե անորոշ, այլ դատարանի կողմից գնահատման ենթակա հասկացություն է, որը ենթադրում է, որ պետք է հաշվի առնվեն դատավարական գործողության կատարման նպատակը, նախատեսված իրավունքի՝ օրենսդրի հետապնդած նպատակներին համահունչ կամ այլ՝ քողարկված նպատակների համար օգտագործելը:</w:t>
            </w:r>
          </w:p>
          <w:p w14:paraId="0E54798B" w14:textId="32688395" w:rsidR="00B27B87" w:rsidRPr="00F2718E" w:rsidRDefault="00B27B87" w:rsidP="00A961C5">
            <w:pPr>
              <w:spacing w:line="360" w:lineRule="auto"/>
              <w:contextualSpacing/>
              <w:jc w:val="both"/>
              <w:rPr>
                <w:rFonts w:ascii="GHEA Grapalat" w:hAnsi="GHEA Grapalat"/>
                <w:shd w:val="clear" w:color="auto" w:fill="FFFFFF"/>
                <w:lang w:val="hy-AM"/>
              </w:rPr>
            </w:pPr>
            <w:r w:rsidRPr="00F2718E">
              <w:rPr>
                <w:rFonts w:ascii="GHEA Grapalat" w:hAnsi="GHEA Grapalat"/>
                <w:shd w:val="clear" w:color="auto" w:fill="FFFFFF"/>
                <w:lang w:val="hy-AM"/>
              </w:rPr>
              <w:t>Միաժամանակ, նախագծերում սահմանվել է նաև իրավունքի իրականացման սահմանափակում սանկցիայի վերանայման հնարավորություն, ինչը ևս երաշխիք է դատավարության մասնակիցների իրավունքների արդյունավետ իրացում ապահովելու համար: Բացի այդ, թեև նախագծերով չեն հստակեցվել կոնկրետ իրավունքների մասով չարաշահման դրսևորման եղանակները, այնուամենայնիվ իրավունքների պարբերաբար չարաշահումն արդեն իսկ անձի շարունակական, անբարեխիղճ վարքագծի մասին է վկայում, որը պետք է գնահատվի դատարանի կողմից:</w:t>
            </w:r>
            <w:r w:rsidR="003D6B7B" w:rsidRPr="00F2718E">
              <w:rPr>
                <w:rFonts w:ascii="GHEA Grapalat" w:hAnsi="GHEA Grapalat"/>
                <w:shd w:val="clear" w:color="auto" w:fill="FFFFFF"/>
                <w:lang w:val="hy-AM"/>
              </w:rPr>
              <w:t xml:space="preserve"> Սահմանափակման ենթակա յուրաքանչյուր իրավունքի մասով հստակ դեպքեր նախատեսելը կարող է խնդրահարույց լինել այնքանով, որքանով ավելորդ կսահմանափակի դատարաններին օրենքով թվարկված որոշակի իրավիճակներով՝ զրկելով դրանից դուրս իրավունքի չարաշահման դեպքերին արձագանքելու հնարավորությունից:</w:t>
            </w:r>
          </w:p>
          <w:p w14:paraId="262F4813" w14:textId="77777777" w:rsidR="00B27B87" w:rsidRPr="00F2718E" w:rsidRDefault="00B27B87" w:rsidP="00A961C5">
            <w:pPr>
              <w:spacing w:line="360" w:lineRule="auto"/>
              <w:jc w:val="both"/>
              <w:rPr>
                <w:rFonts w:ascii="GHEA Grapalat" w:hAnsi="GHEA Grapalat"/>
                <w:shd w:val="clear" w:color="auto" w:fill="FFFFFF"/>
                <w:lang w:val="hy-AM"/>
              </w:rPr>
            </w:pPr>
            <w:r w:rsidRPr="00F2718E">
              <w:rPr>
                <w:rFonts w:ascii="GHEA Grapalat" w:hAnsi="GHEA Grapalat"/>
                <w:shd w:val="clear" w:color="auto" w:fill="FFFFFF"/>
                <w:lang w:val="hy-AM"/>
              </w:rPr>
              <w:t>Ընդ որում, իրավունքի իրականացման սահմանափակում սանկցիայի սահմանադրականությանը՝ ինչպես համաչափության, այնպես էլ իրավական որոշակիության տեսանկյունից անդրադարձել է Սահմանադրական դատարանի 12.10.2021 թվականի թիվ ՍԴՈ-1613 որոշմամբ՝ նշելով, որ այդ սահմանափակումը համաչափ է, «իրավունքի չարաշահում», «պարբերաբար» եզրույթների օգտագործումն իրավական որոշակիության սկզբունքի խախտման չի հանգեցնում:</w:t>
            </w:r>
          </w:p>
          <w:p w14:paraId="7A038152" w14:textId="2D7906C4" w:rsidR="003D6B7B" w:rsidRPr="00F2718E" w:rsidRDefault="003D6B7B" w:rsidP="00A961C5">
            <w:pPr>
              <w:spacing w:line="360" w:lineRule="auto"/>
              <w:jc w:val="both"/>
              <w:rPr>
                <w:rFonts w:ascii="GHEA Grapalat" w:hAnsi="GHEA Grapalat"/>
                <w:shd w:val="clear" w:color="auto" w:fill="FFFFFF"/>
                <w:lang w:val="hy-AM"/>
              </w:rPr>
            </w:pPr>
          </w:p>
        </w:tc>
      </w:tr>
      <w:tr w:rsidR="00B27B87" w:rsidRPr="00F2718E" w14:paraId="3466704B" w14:textId="77777777" w:rsidTr="00F260E8">
        <w:trPr>
          <w:gridAfter w:val="1"/>
          <w:wAfter w:w="6" w:type="dxa"/>
        </w:trPr>
        <w:tc>
          <w:tcPr>
            <w:tcW w:w="7879" w:type="dxa"/>
          </w:tcPr>
          <w:p w14:paraId="55529A29" w14:textId="77777777" w:rsidR="00B27B87" w:rsidRPr="00F2718E" w:rsidRDefault="00B27B87"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Վերոգրյալի հետ ﬔկտեղ «ՀՀ քաղաքացիական դատավարության օրենսգրքում փոփոխություններ և լրացուﬓեր կատարելու մասին» ՀՀ օրենքի նախագծով առաջարկվում է նախատեսել որոշ դեպքերում դատական նիստին դատավարության մասնակիցների ներկայության պարտադիրությունը սահմանող դրույթ՝ այն խախտելու համար որպես հետևանք սահմանելով դատական տուգանքի նշանակումը։ Գտնում ենք, որ նշված կարգավորումը ևս իրավաչափ չէ, քանի որ ուղղակի կերպով խախտում է դատավարական իրավունքներից և դատական պաշտպանության ﬕջոցներից օգտվելու տնօրինչականության սկզբունքը։ Մասնավորապես, թեև ընդհանուր առմամբ ընկալելի է, որ առաջարկվող կարգավորման նպատակն է առավելագույնս ապահովել դատավարության բազմակողմանիությունն՝ այդպիսով առավելագույնս սպասարկել արդարադատության շահը, բայցևայնպես այն ակնհայտորեն ոչ իրավաչափ է այնքանով, որքանով դատարանում հայց հարուցելն ու այն պաշտպանելը հայցվոր կողﬕ համար, իսկ դրա դեմ առարկելը պատասխանող կողﬕ համար իրավունք է, այլ ոչ պարտականություն, և եթե նրանք այդ իրավ;նքից օգտվելու համար չեն օգտվում բոլոր դատավարական հնարավորություններից, այդ թվում՝ անհրաժեշտ պարզաբանուﬓեր տալու համար չեն ներկայանում դատական նիստին, կարող են կրել դրա բացասական հետևանքները իրենց համար անբարենպաստ դատական ակտի կայացման (դրա կայացման հավանականությունը բարձրանալու) տեսքով, սակայն նրանց ըստ էության չի կարելի պարտավորեցնել մասնակցել քաղաքացիական դատավարությանը՝ ֆիզիկական ներկայություն ապահովելով։ Կարծում ենք՝ առաջարկվող կարգավորման նպատակին հասնելու առումով ավելի պիտանի և համաչափ ﬕջոց կարող է լինել նախագծով առաջարկվող՝ դատարանին պարզաբանում ներկայացնելու անհրաժեշտության դեպքերում կողﬕն այդ մասին և չներկայանալու դեպքում հավանական անբարենպաստ հետևանքների մասին ծանուցելու պարտականությունը սահմանելը՝ ﬕաժամանակ սահմանելով նշվածի մասին պատշաճ ծանուցված լինելու և առանց հարգելի պատճառի չներկայանալու դեպքում կողﬕ համար համապատասխան անբարենպաստ դատական ակտի ընդունման հնարավորություն, օրինակ՝ հայցն առանց քննության թողնելը կամ ﬔրժելը, եթե հայցվորի կողﬕց պարզաբանում չներկայացնելը օբյեկտիվորեն բացառում է հայցի հիմքն ու առարկան պարզելը և որպես հետևանք դրա քննությունը:</w:t>
            </w:r>
          </w:p>
          <w:p w14:paraId="250D8E6A" w14:textId="2553FEF9" w:rsidR="001C63AC" w:rsidRPr="00F2718E" w:rsidRDefault="00B27B87"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Առաջարկում ենք վերախմբագրել «ՀՀ քաղաքացիական դատավարության օրենսգրքում փոփոխություններ և լրացուﬓեր կատարելու մասին» ՀՀ օրենքի նախագիծը՝ դրանից բացառելով դատական նիստին չներկայանալու համար կողﬕ նկատմամբ դատական սանկցիա կիրառելու հնարավորությունը:</w:t>
            </w:r>
          </w:p>
        </w:tc>
        <w:tc>
          <w:tcPr>
            <w:tcW w:w="7022" w:type="dxa"/>
            <w:gridSpan w:val="6"/>
          </w:tcPr>
          <w:p w14:paraId="155A3AD2"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418F40E9" w14:textId="7A57A655"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3674A839" w14:textId="603CBE37" w:rsidR="00B27B87" w:rsidRPr="00F2718E" w:rsidRDefault="00B27B87" w:rsidP="00A961C5">
            <w:pPr>
              <w:keepNext/>
              <w:keepLines/>
              <w:spacing w:line="360" w:lineRule="auto"/>
              <w:jc w:val="both"/>
              <w:outlineLvl w:val="0"/>
              <w:rPr>
                <w:rFonts w:ascii="GHEA Grapalat" w:hAnsi="GHEA Grapalat"/>
                <w:b/>
                <w:shd w:val="clear" w:color="auto" w:fill="FFFFFF"/>
                <w:lang w:val="hy-AM"/>
              </w:rPr>
            </w:pPr>
          </w:p>
        </w:tc>
      </w:tr>
      <w:tr w:rsidR="001C63AC" w:rsidRPr="00F2718E" w14:paraId="0D46647A" w14:textId="77777777" w:rsidTr="00F260E8">
        <w:trPr>
          <w:trHeight w:val="447"/>
        </w:trPr>
        <w:tc>
          <w:tcPr>
            <w:tcW w:w="11832" w:type="dxa"/>
            <w:gridSpan w:val="4"/>
            <w:vMerge w:val="restart"/>
            <w:shd w:val="clear" w:color="auto" w:fill="D9D9D9" w:themeFill="background1" w:themeFillShade="D9"/>
          </w:tcPr>
          <w:p w14:paraId="58EEC210" w14:textId="77777777" w:rsidR="001C63AC" w:rsidRPr="00F2718E" w:rsidRDefault="001C63AC" w:rsidP="00A961C5">
            <w:pPr>
              <w:keepNext/>
              <w:keepLines/>
              <w:spacing w:line="360" w:lineRule="auto"/>
              <w:ind w:firstLine="720"/>
              <w:jc w:val="center"/>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en-US"/>
              </w:rPr>
              <w:t xml:space="preserve">30. </w:t>
            </w:r>
            <w:r w:rsidRPr="00F2718E">
              <w:rPr>
                <w:rFonts w:ascii="GHEA Grapalat" w:hAnsi="GHEA Grapalat"/>
                <w:b/>
                <w:highlight w:val="lightGray"/>
                <w:shd w:val="clear" w:color="auto" w:fill="FFFFFF"/>
                <w:lang w:val="hy-AM"/>
              </w:rPr>
              <w:t>ՀՀ փաստաբանների պալատ</w:t>
            </w:r>
          </w:p>
        </w:tc>
        <w:tc>
          <w:tcPr>
            <w:tcW w:w="3075" w:type="dxa"/>
            <w:gridSpan w:val="4"/>
            <w:shd w:val="clear" w:color="auto" w:fill="D9D9D9" w:themeFill="background1" w:themeFillShade="D9"/>
          </w:tcPr>
          <w:p w14:paraId="5A97D154" w14:textId="77777777" w:rsidR="001C63AC" w:rsidRPr="00F2718E" w:rsidRDefault="001C63AC" w:rsidP="00A961C5">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07.06.2024թ.</w:t>
            </w:r>
          </w:p>
        </w:tc>
      </w:tr>
      <w:tr w:rsidR="001C63AC" w:rsidRPr="00F2718E" w14:paraId="00CEE9A5" w14:textId="77777777" w:rsidTr="00F260E8">
        <w:trPr>
          <w:trHeight w:val="449"/>
        </w:trPr>
        <w:tc>
          <w:tcPr>
            <w:tcW w:w="11832" w:type="dxa"/>
            <w:gridSpan w:val="4"/>
            <w:vMerge/>
            <w:shd w:val="clear" w:color="auto" w:fill="D9D9D9" w:themeFill="background1" w:themeFillShade="D9"/>
          </w:tcPr>
          <w:p w14:paraId="60895171" w14:textId="77777777" w:rsidR="001C63AC" w:rsidRPr="00F2718E" w:rsidRDefault="001C63AC" w:rsidP="00A961C5">
            <w:pPr>
              <w:keepNext/>
              <w:keepLines/>
              <w:spacing w:line="360" w:lineRule="auto"/>
              <w:ind w:firstLine="720"/>
              <w:jc w:val="center"/>
              <w:outlineLvl w:val="0"/>
              <w:rPr>
                <w:rFonts w:ascii="GHEA Grapalat" w:hAnsi="GHEA Grapalat"/>
                <w:b/>
                <w:highlight w:val="lightGray"/>
                <w:shd w:val="clear" w:color="auto" w:fill="FFFFFF"/>
                <w:lang w:val="hy-AM"/>
              </w:rPr>
            </w:pPr>
          </w:p>
        </w:tc>
        <w:tc>
          <w:tcPr>
            <w:tcW w:w="3075" w:type="dxa"/>
            <w:gridSpan w:val="4"/>
            <w:shd w:val="clear" w:color="auto" w:fill="D9D9D9" w:themeFill="background1" w:themeFillShade="D9"/>
          </w:tcPr>
          <w:p w14:paraId="0F0653F0" w14:textId="77777777" w:rsidR="001C63AC" w:rsidRPr="00F2718E" w:rsidRDefault="001C63AC" w:rsidP="00A961C5">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01/558-24</w:t>
            </w:r>
          </w:p>
        </w:tc>
      </w:tr>
      <w:tr w:rsidR="001C63AC" w:rsidRPr="00F2718E" w14:paraId="453E0219" w14:textId="77777777" w:rsidTr="00F260E8">
        <w:trPr>
          <w:gridAfter w:val="1"/>
          <w:wAfter w:w="6" w:type="dxa"/>
        </w:trPr>
        <w:tc>
          <w:tcPr>
            <w:tcW w:w="7879" w:type="dxa"/>
          </w:tcPr>
          <w:p w14:paraId="1CE60F0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w:t>
            </w:r>
            <w:r w:rsidRPr="00F2718E">
              <w:rPr>
                <w:rFonts w:ascii="GHEA Grapalat" w:hAnsi="GHEA Grapalat"/>
                <w:lang w:val="hy-AM"/>
              </w:rPr>
              <w:tab/>
              <w:t>Նախագծի 1-ին հոդվածի 2-րդ կետով Օրենսգրքի 27-րդ հոդվածում լրացվող 5.1-ին մասի 1-ին նախադասությամբ սահմանված է, որ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քննությունը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w:t>
            </w:r>
          </w:p>
          <w:p w14:paraId="40DC0A5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Նախագծի վերը նշված իրավակարգավորմամբ առաջարկվում է փոփոխել ՀՀ քաղաքացիական դատավարության օրենսգրքի 27-րդ հոդվածի 5-րդ մասով սահմանված դատավորի կամ դատական կազմի փոփոխության պարագայում գործի կամ վերաքննիչ բողոքի քննությունը բոլոր դեպքերում սկզբից սկսելու կարգավորումը և հնարավորություն է տրվում գործի կամ վերաքննիչ բողոքի քննությունը նաև ընդհատման պահից շարունակելու կարգավորումը: </w:t>
            </w:r>
          </w:p>
          <w:p w14:paraId="5486704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Ընդհանուր առմամբ նշված փոփոխությունը դրական է, սակայն անհրաժեշտ է հաշվի առնել այն, որ գործը սկզբից քննելու դեպքում, գործին մասնակցող այն անձը, որը գործի նախորդ դատավորի քննության ժամանակ թույլ է տվել դատավարական սխալներ, բացթողումներ, ժամանակին չի ներկայացրել ապացույցները,  կարող է իր սխալները շտկել, ինչը չի բխում ՀՀ քաղաքացիական դատավարության օրենսգրքի 11-րդ և 13-րդ հոդվածների կարգավորումներից: Հետևաբար անհրաժեշտ է Նախագծով սահմանել նաև այն, որ գործը սկզբից քննելու դեպքում գործին մասնակցող անձը պետք է պահպանի դատավարական կարգապահությունը, այսինքն չկատարի այնպիսի դատավարական գործողություններ, որը չի կատարել մինչև դատավորի փոփոխություն կամ կազմում դատավորի փոփոխությունն ընկած ժամանակահատվածում:</w:t>
            </w:r>
          </w:p>
          <w:p w14:paraId="448F52A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Նախագծում անհրաժեշտ է նաև սահմանել, որ գործը սկզբից քննելու որոշման մեջ պատճառաբանական մասում դատավորը պետք է նշի, որ դատավարական կարգապահությունը խախտման կատարված դատավարական գործողությունները ենթակա չեն քննարկման:</w:t>
            </w:r>
          </w:p>
          <w:p w14:paraId="496397B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 համատեքստում առաջարկում ենք Նախագծում սահմանել, որ դատարանը գործը սկզբից քննելու կամ ընդհատման պահից շարունակելու հայեցողական լիազորությունը կիրառելիս  ընդունում է պատճառաբանված որոշում, և եթե որոշում կայացնի գործը սկզբից քննելու մասին, բացի այդ որոշումը պատճառաբանելուց, որոշման պատճառաբանական մասում պետք է նաև նշի դատավարական կարգապահությունը պաշտպանելու անհրաժեշտության և դատավարական կարգապահությունը խախտելու հետևանքների մասին:</w:t>
            </w:r>
          </w:p>
        </w:tc>
        <w:tc>
          <w:tcPr>
            <w:tcW w:w="7022" w:type="dxa"/>
            <w:gridSpan w:val="6"/>
          </w:tcPr>
          <w:p w14:paraId="0CC0B575" w14:textId="10573C72" w:rsidR="001C63AC" w:rsidRPr="00F2718E" w:rsidRDefault="0005628A"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Մասամբ է ընդունվել:</w:t>
            </w:r>
          </w:p>
          <w:p w14:paraId="6FD622C0" w14:textId="40AFFD38" w:rsidR="001C63AC" w:rsidRPr="00F2718E" w:rsidRDefault="001C63AC"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Նախագիծը լրամշակվել է</w:t>
            </w:r>
            <w:r w:rsidR="00E06CD9" w:rsidRPr="00F2718E">
              <w:rPr>
                <w:rFonts w:ascii="GHEA Grapalat" w:hAnsi="GHEA Grapalat"/>
                <w:shd w:val="clear" w:color="auto" w:fill="FFFFFF"/>
                <w:lang w:val="hy-AM"/>
              </w:rPr>
              <w:t>՝ նախատես</w:t>
            </w:r>
            <w:r w:rsidR="00D83A21" w:rsidRPr="00F2718E">
              <w:rPr>
                <w:rFonts w:ascii="GHEA Grapalat" w:hAnsi="GHEA Grapalat"/>
                <w:shd w:val="clear" w:color="auto" w:fill="FFFFFF"/>
                <w:lang w:val="hy-AM"/>
              </w:rPr>
              <w:t>ե</w:t>
            </w:r>
            <w:r w:rsidR="00E06CD9" w:rsidRPr="00F2718E">
              <w:rPr>
                <w:rFonts w:ascii="GHEA Grapalat" w:hAnsi="GHEA Grapalat"/>
                <w:shd w:val="clear" w:color="auto" w:fill="FFFFFF"/>
                <w:lang w:val="hy-AM"/>
              </w:rPr>
              <w:t>լ</w:t>
            </w:r>
            <w:r w:rsidR="00D83A21" w:rsidRPr="00F2718E">
              <w:rPr>
                <w:rFonts w:ascii="GHEA Grapalat" w:hAnsi="GHEA Grapalat"/>
                <w:shd w:val="clear" w:color="auto" w:fill="FFFFFF"/>
                <w:lang w:val="hy-AM"/>
              </w:rPr>
              <w:t xml:space="preserve">ով գործի քննությունն ընդհատման պահից շարունակվելու դեպքում </w:t>
            </w:r>
            <w:r w:rsidR="003D6B7B" w:rsidRPr="00F2718E">
              <w:rPr>
                <w:rFonts w:ascii="GHEA Grapalat" w:hAnsi="GHEA Grapalat" w:cs="Calibri"/>
                <w:color w:val="222222"/>
              </w:rPr>
              <w:t>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r w:rsidR="003D6B7B" w:rsidRPr="00F2718E">
              <w:rPr>
                <w:rFonts w:ascii="GHEA Grapalat" w:hAnsi="GHEA Grapalat" w:cs="Calibri"/>
                <w:color w:val="222222"/>
                <w:lang w:val="hy-AM"/>
              </w:rPr>
              <w:t>:</w:t>
            </w:r>
          </w:p>
          <w:p w14:paraId="57FDF8C8" w14:textId="7A7455BC" w:rsidR="00D83A21" w:rsidRPr="00F2718E" w:rsidRDefault="00D83A21"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 xml:space="preserve">Ինչ վերաբերում է գործի քննությունը սկզբից սկսելու դեպքում էլ որոշ գործողությունների կատարման </w:t>
            </w:r>
            <w:r w:rsidR="007F5640" w:rsidRPr="00F2718E">
              <w:rPr>
                <w:rFonts w:ascii="GHEA Grapalat" w:hAnsi="GHEA Grapalat"/>
                <w:shd w:val="clear" w:color="auto" w:fill="FFFFFF"/>
                <w:lang w:val="en-US"/>
              </w:rPr>
              <w:t>արգելք</w:t>
            </w:r>
            <w:r w:rsidR="003D6B7B" w:rsidRPr="00F2718E">
              <w:rPr>
                <w:rFonts w:ascii="GHEA Grapalat" w:hAnsi="GHEA Grapalat"/>
                <w:shd w:val="clear" w:color="auto" w:fill="FFFFFF"/>
                <w:lang w:val="hy-AM"/>
              </w:rPr>
              <w:t xml:space="preserve"> սահմանելուն</w:t>
            </w:r>
            <w:r w:rsidRPr="00F2718E">
              <w:rPr>
                <w:rFonts w:ascii="GHEA Grapalat" w:hAnsi="GHEA Grapalat"/>
                <w:shd w:val="clear" w:color="auto" w:fill="FFFFFF"/>
                <w:lang w:val="hy-AM"/>
              </w:rPr>
              <w:t xml:space="preserve">, ապա պետք է փաստել, որ նման կարգավորումներն առհասարակ կհակասեն գործի քննությունը սկզբից սկսելու տրամաբանությանը: Գործի քննությունը սկզբից սկսելը ենթադրում է բոլոր դատավարական գործողությունների </w:t>
            </w:r>
            <w:r w:rsidR="00554CB4" w:rsidRPr="00F2718E">
              <w:rPr>
                <w:rFonts w:ascii="GHEA Grapalat" w:hAnsi="GHEA Grapalat"/>
                <w:shd w:val="clear" w:color="auto" w:fill="FFFFFF"/>
                <w:lang w:val="hy-AM"/>
              </w:rPr>
              <w:t xml:space="preserve">կրկին </w:t>
            </w:r>
            <w:r w:rsidRPr="00F2718E">
              <w:rPr>
                <w:rFonts w:ascii="GHEA Grapalat" w:hAnsi="GHEA Grapalat"/>
                <w:shd w:val="clear" w:color="auto" w:fill="FFFFFF"/>
                <w:lang w:val="hy-AM"/>
              </w:rPr>
              <w:t>կատարում թե՛ դատարանի, թե՛ դատավարության մասնակիցների համար: Գործի քննությունը սկզբից սկսելու կանոն սահմանվելուն զուգահեռ որոշ գործողությունների չկատարում նախատեսելը կհանգեցնի գործը սկզբից սկսելու և ընդհատման պահից շարունակելու ինստիտուտների միջանկյալ տարբերակի, որը կհանգեցնի անորոշության, օրինակ՝</w:t>
            </w:r>
            <w:r w:rsidR="00554CB4" w:rsidRPr="00F2718E">
              <w:rPr>
                <w:rFonts w:ascii="GHEA Grapalat" w:hAnsi="GHEA Grapalat"/>
                <w:shd w:val="clear" w:color="auto" w:fill="FFFFFF"/>
                <w:lang w:val="hy-AM"/>
              </w:rPr>
              <w:t xml:space="preserve"> պարզ չի լինի, թե</w:t>
            </w:r>
            <w:r w:rsidRPr="00F2718E">
              <w:rPr>
                <w:rFonts w:ascii="GHEA Grapalat" w:hAnsi="GHEA Grapalat"/>
                <w:shd w:val="clear" w:color="auto" w:fill="FFFFFF"/>
                <w:lang w:val="hy-AM"/>
              </w:rPr>
              <w:t xml:space="preserve"> ինչպես </w:t>
            </w:r>
            <w:r w:rsidR="00554CB4" w:rsidRPr="00F2718E">
              <w:rPr>
                <w:rFonts w:ascii="GHEA Grapalat" w:hAnsi="GHEA Grapalat"/>
                <w:shd w:val="clear" w:color="auto" w:fill="FFFFFF"/>
                <w:lang w:val="hy-AM"/>
              </w:rPr>
              <w:t xml:space="preserve">և ինչ սկզբունքով </w:t>
            </w:r>
            <w:r w:rsidRPr="00F2718E">
              <w:rPr>
                <w:rFonts w:ascii="GHEA Grapalat" w:hAnsi="GHEA Grapalat"/>
                <w:shd w:val="clear" w:color="auto" w:fill="FFFFFF"/>
                <w:lang w:val="hy-AM"/>
              </w:rPr>
              <w:t>պետք է նախապես դատավորը որոշի</w:t>
            </w:r>
            <w:r w:rsidR="00554CB4" w:rsidRPr="00F2718E">
              <w:rPr>
                <w:rFonts w:ascii="GHEA Grapalat" w:hAnsi="GHEA Grapalat"/>
                <w:shd w:val="clear" w:color="auto" w:fill="FFFFFF"/>
                <w:lang w:val="hy-AM"/>
              </w:rPr>
              <w:t>՝</w:t>
            </w:r>
            <w:r w:rsidRPr="00F2718E">
              <w:rPr>
                <w:rFonts w:ascii="GHEA Grapalat" w:hAnsi="GHEA Grapalat"/>
                <w:shd w:val="clear" w:color="auto" w:fill="FFFFFF"/>
                <w:lang w:val="hy-AM"/>
              </w:rPr>
              <w:t xml:space="preserve"> որ գործողությունները կրկին կատարել, որոնք՝ ոչ կամ արդյո՞ք դատարանի համար պետք է այդ գործողությունների կատարումը լինի պարտադիր, դատավարության մասնակիցների համար՝ ոչ:</w:t>
            </w:r>
            <w:r w:rsidR="00554CB4" w:rsidRPr="00F2718E">
              <w:rPr>
                <w:rFonts w:ascii="GHEA Grapalat" w:hAnsi="GHEA Grapalat"/>
                <w:shd w:val="clear" w:color="auto" w:fill="FFFFFF"/>
                <w:lang w:val="hy-AM"/>
              </w:rPr>
              <w:t xml:space="preserve"> Ուստի, կարծում ենք, որ գործը սկզբից սկսելու և ընդհատման պահից շարունակելու ինստիտուտների համակցված ինստիտուտի գոյությունը չի կարողանա ապահովել որոշակիություն:</w:t>
            </w:r>
          </w:p>
        </w:tc>
      </w:tr>
      <w:tr w:rsidR="001C63AC" w:rsidRPr="00F2718E" w14:paraId="194C289D" w14:textId="77777777" w:rsidTr="00F260E8">
        <w:trPr>
          <w:gridAfter w:val="1"/>
          <w:wAfter w:w="6" w:type="dxa"/>
        </w:trPr>
        <w:tc>
          <w:tcPr>
            <w:tcW w:w="7879" w:type="dxa"/>
          </w:tcPr>
          <w:p w14:paraId="76E3531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w:t>
            </w:r>
            <w:r w:rsidRPr="00F2718E">
              <w:rPr>
                <w:rFonts w:ascii="GHEA Grapalat" w:hAnsi="GHEA Grapalat"/>
                <w:lang w:val="hy-AM"/>
              </w:rPr>
              <w:tab/>
              <w:t>Նախագծի 2-րդ հոդվածով Օրենսգրքի 29-րդ հոդվածը լրացվում է 11-րդ մասով, որի 1-ին նախադասության համաձայն՝ սույն հոդվածի 10-րդ մասով նախատեսված ինքնաբացարկի հիմքերը բացահայտելու անհրաժեշտության դեպքերում դատարանը դատական նիստի ծանուցագրում նշում է կատարում այդ մասին:</w:t>
            </w:r>
          </w:p>
          <w:p w14:paraId="09F6B92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 հոդվածի 10-րդ մասի 1-ին նախադասության համաձայն՝ դատավորը պարտավոր է կողմերին բացահայտել ինքնաբացարկի հիմքերը, որոնք ենթակա են արձանագրման:</w:t>
            </w:r>
          </w:p>
          <w:p w14:paraId="5929B7F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Օրենսգրքի 29-րդ հոդվածի 10-րդ մասի բովանդակությունից ակնհայտ է, որ ինքնաբացարկի հիմքերի առկայության դեպքում դատավորը պարտավոր է բացահայտել ինքնաբացարկի հիմքերը: Նախագծում «հիմքերը բացահայտելու անհրաժեշտության դեպքում» բառերի օգտագործումը թույլ է տալիս նշված նորմը մեկնաբանել այնպես, որ  դատարանը սեփական հայեցողությամբ գնահատի, թե որ դեպքում անհրաժեշտ է բացահայտել հիմքերը, իսկ որ դեպքում անհրաժեշտ չէ բացահայտել հիմքերը, թեկուզև այդ հիմքերն առկա են:</w:t>
            </w:r>
          </w:p>
          <w:p w14:paraId="3082DA9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Տարակարծիք մեկնաբանություններից խուսափելու նպատակով, գտնում ենք, որ ավելի ճիշտ կլինի Նախագծի 2-րդ հոդվածում «հիմքերը բացահայտելու անհրաժեշտության դեպքերում դատարանը» բառերի փոխարեն օգտագործել «հիմքերի առկայության դեպքում, դատարանը նշանակում է դատական նիստ և» բառերը: Արդյունքում ստացվում է հետևյալը.</w:t>
            </w:r>
          </w:p>
          <w:p w14:paraId="2709A41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սույն հոդվածի 10-րդ մասով նախատեսված ինքնաբացարկի հիմքերի առկայության դեպքերում դատարանը դատական նիստի ծանուցագրում նշում է կատարում այդ մասին։</w:t>
            </w:r>
          </w:p>
        </w:tc>
        <w:tc>
          <w:tcPr>
            <w:tcW w:w="7022" w:type="dxa"/>
            <w:gridSpan w:val="6"/>
          </w:tcPr>
          <w:p w14:paraId="37E98F4D" w14:textId="77777777" w:rsidR="001C63AC" w:rsidRPr="00F2718E" w:rsidRDefault="008427D4"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162B619B" w14:textId="4179E982" w:rsidR="008427D4" w:rsidRPr="00F2718E" w:rsidRDefault="008427D4"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Նախագծի 2-րդ հոդվածով լրացվող Քաղաքացիական դատավարության օրենսգրքի 29-րդ հոդվածի 11-րդ մասում նշվել է՝ «</w:t>
            </w:r>
            <w:r w:rsidRPr="00F2718E">
              <w:rPr>
                <w:rFonts w:ascii="GHEA Grapalat" w:hAnsi="GHEA Grapalat"/>
                <w:b/>
                <w:shd w:val="clear" w:color="auto" w:fill="FFFFFF"/>
                <w:lang w:val="hy-AM"/>
              </w:rPr>
              <w:t>Սույն հոդվածի 10-րդ մասով նախատեսված ինքնաբացարկի հիմքերը բացահայտելու անհրաժեշտության դեպքերում»</w:t>
            </w:r>
            <w:r w:rsidRPr="00F2718E">
              <w:rPr>
                <w:rFonts w:ascii="GHEA Grapalat" w:hAnsi="GHEA Grapalat"/>
                <w:shd w:val="clear" w:color="auto" w:fill="FFFFFF"/>
                <w:lang w:val="hy-AM"/>
              </w:rPr>
              <w:t xml:space="preserve">, այսինքն՝ 11-րդ հոդվածը հղում է կատարում 10-րդ հոդվածին և նախատեսում է ոչ թե դատարանի հայեցողությունը՝ ինքնաբացարկի հիմքերը բացահայտելու կամ չբացահայտելու առումով, այլ հղում է կատարում այն իրավիճակներին, երբ 29-րդ հոդվածի 10-րդ մասի ուժով առաջացել է ինքնաբացարկի հիմքերը բացահայտելու անհրաժեշտություն՝ բացառապես նախատեսելով գրավոր եղանակով ծանուցման ընթացակարգ, այլ ոչ թե դատարանի՝ հիմքերը բացահայտելու կամ չբացահայտելու </w:t>
            </w:r>
            <w:r w:rsidR="00897369" w:rsidRPr="00F2718E">
              <w:rPr>
                <w:rFonts w:ascii="GHEA Grapalat" w:hAnsi="GHEA Grapalat"/>
                <w:shd w:val="clear" w:color="auto" w:fill="FFFFFF"/>
                <w:lang w:val="hy-AM"/>
              </w:rPr>
              <w:t>իրավասություն:</w:t>
            </w:r>
          </w:p>
        </w:tc>
      </w:tr>
      <w:tr w:rsidR="001C63AC" w:rsidRPr="00F2718E" w14:paraId="5D8EB53B" w14:textId="77777777" w:rsidTr="00F260E8">
        <w:trPr>
          <w:gridAfter w:val="1"/>
          <w:wAfter w:w="6" w:type="dxa"/>
        </w:trPr>
        <w:tc>
          <w:tcPr>
            <w:tcW w:w="7879" w:type="dxa"/>
          </w:tcPr>
          <w:p w14:paraId="19BED67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w:t>
            </w:r>
            <w:r w:rsidRPr="00F2718E">
              <w:rPr>
                <w:rFonts w:ascii="GHEA Grapalat" w:hAnsi="GHEA Grapalat"/>
                <w:lang w:val="hy-AM"/>
              </w:rPr>
              <w:tab/>
              <w:t>Նախագծի 3-րդ հոդվածով Օրենսգիրքը լրացվում է «Դատական նիստին դատավարության մասնակիցների ներկայության պարտադիրությունը» վերտառությամբ 147.1-րդ հոդվածով, որի 1-ին մասի համաձայն՝ սույն օրենսգրքի 158-րդ հոդվածի 3-րդ մասով, 234.9 հոդվածի 1-ին մասի 1-ին կետով, 247-րդ հոդվածի 1-ին մասի, 300-րդ հոդվածի 1-ին մասի 1-ին կետի, 318-րդ հոդվածի 2.2.-րդ մասով, 323-րդ հոդվածի 2-րդ մասով, 328-րդ հոդվածի 2-րդ մասով, 339-րդ հոդվածի 2-րդ մասով, 343-րդ հոդվածի 2-րդ մասով, 345.4-րդ հոդվածի 2-րդ մասով նախատեսված դեպքերում դատարանը դատավարության մասնակիցներին ուղղված ծանուցագրում նշում է կատարում դատական նիստին մասնակցելու անհրաժեշտության մասին:</w:t>
            </w:r>
          </w:p>
          <w:p w14:paraId="49358AD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Հարկ է նկատի ունենալ, որ Օրենսգրքի «Տնօրինչականությունը» վերտառությամբ 12-րդ հոդվածի 2-րդ մասը սահմանում է, որ գործին մասնակցող անձն իրականացնում է իր դատավարական իրավունքները, տնօրինում է դատական պաշտպանության միջոցները և եղանակները սեփական հայեցողությամբ՝ օրենքով սահմանված կարգով: </w:t>
            </w:r>
          </w:p>
          <w:p w14:paraId="261D03A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Օրենսգրքի 147-րդ հոդվածի 3-րդ մասի համաձայն՝ դատական նիստի ժամանակի և վայրի մասին ծանուցված գործին մասնակցող անձի չներկայանալը դատական նիստին արգելք չէ գործի քննության համար:</w:t>
            </w:r>
          </w:p>
          <w:p w14:paraId="4221B61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վճռաբեկ դատարանը թիվ ՍԴ3/0055/02/13 քաղաքացիական գործով 18.07.2014թ. որոշմամբ արձանագրել է, որ դատական պաշտպանության իրավունքի իրացման հիմնական սկզբունքներից է տնօրինչականության (դիսպոզիտիվության) սկզբունքը, որն անձին հնարավորություն է տալիս սեփական հայեցողությամբ տնօրինելու իր նյութական և դատավար</w:t>
            </w:r>
            <w:r w:rsidR="0049706C" w:rsidRPr="00F2718E">
              <w:rPr>
                <w:rFonts w:ascii="GHEA Grapalat" w:hAnsi="GHEA Grapalat"/>
                <w:lang w:val="hy-AM"/>
              </w:rPr>
              <w:t>ական իրավունքներն ու դրանց պաշտ</w:t>
            </w:r>
            <w:r w:rsidRPr="00F2718E">
              <w:rPr>
                <w:rFonts w:ascii="GHEA Grapalat" w:hAnsi="GHEA Grapalat"/>
                <w:lang w:val="hy-AM"/>
              </w:rPr>
              <w:t>պանության եղանակները: Տնօրինչականության (դիսպոզիտիվության) սկզբունքն անձանց հնարավորություն է տալիս ինքնուրույն որոշել՝ դիմել, թե չդիմել դատարան իրենց իրավունքների, ազատությունների և օրինական շահերի պաշտպանության համար, այսինքն՝ իրականացնել, թե չիրականացնել իրենց դատական պաշտպանության հիմնական իրավունքը։</w:t>
            </w:r>
          </w:p>
          <w:p w14:paraId="225398C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 իրավական նորմերի և ՀՀ վճռաբեկ դատարանի որոշման հետ  համակարգային մեկնաբանության արդյունքում կարելի է հանգել նրան, որ դատավարության մասնակիցները սեփական հայեցողությամբ են տնօրինում իրենց դատավարական իրավունքները: Մասնավորապես դատավարության մասնակիցները իրենք են որոշում դատական նիստին ներկայանալ, թե ոչ, և կրում են դատական նիստին չներկայանալուց բխող բոլոր ռիսկերը: Բացառություն են կազմում այն դեպքերը, երբ օրենքով ուղղակիորեն նշված են գործին մասնակցող որևէ անձի մասնակցության պարտադիրությունը դատական նիստին:</w:t>
            </w:r>
          </w:p>
          <w:p w14:paraId="7C19C16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Օրինակ, համաձայն Օրենսգրքի 247-րդ հոդվածի 1-ին մասի՝ դատարանը դիմումը քննում է դիմողի, ծնողների (որդեգրողների, հոգաբարձուի) կամ խնամակալության ու հոգաբարձության մարմնի ներկայացուցչի պարտադիր մասնակցությամբ: Նրանց չներկայանալն արգելք է գործի քննության համար:</w:t>
            </w:r>
          </w:p>
          <w:p w14:paraId="031D202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Նշված դեպքում դիմողի, ծնողների (որդեգրողների, հոգաբարձուի) կամ խնամակալության ու հոգաբարձության մարմնի ներկայացուցիչները օրենքի ուժով պարտավոր են ներկայանալ դատական նիստին: Հետևաբար մյուս բոլոր դեպքերում դատավարության մասնակիցները դատական նիստին ներկայանալու պարտականություն չեն կրում և տնօրինչականության սկզբունքը հիմք ընդունելով կարող են նաև չներկայանալ դատական նիստին:</w:t>
            </w:r>
          </w:p>
          <w:p w14:paraId="0F663CC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Արդյունքում ստացվում է, որ տնօրինչականության սկզբունքի և Նախագծով առաջարկվող փոփոխության համադրված ուսումնասիրությունը ցույց է տալիս, որ օրենսդիրը մի կողմից թույլատրում է դատավարության մասնակիցներին իրենց իրավունքներն իրացնել ազատորեն և իրենց հայեցողությամբ, մյուս կողմից Նախագծով առաջարկվող կարգավորմամբ պարտադրում է ներկայանալ և մասնակցել որոշակի դատավարական գործընթացների՝ դրանով իսկ դատավարության մասնակցին զրկելով իր իրավունքը իր հայեցողությամբ իրացնելու իրավունքից։</w:t>
            </w:r>
          </w:p>
          <w:p w14:paraId="603646E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Մինչդեռ ՀՀ քաղաքացիական դատավարության օրենսգիրքը դատարանին օժտել է բավարար գործիքակազմով՝ դատական նիստին չներկայացող դատավարության մասնակցի բացակայությամբ գործի քննությունն իրականացնելու և վճիռ կայացնելու համար։ Հետևաբար դատական նիստին ներկայանալու պարտադիրությունը սահմանող Նախագծի դրույթն ընդունելի չէ:</w:t>
            </w:r>
          </w:p>
        </w:tc>
        <w:tc>
          <w:tcPr>
            <w:tcW w:w="7022" w:type="dxa"/>
            <w:gridSpan w:val="6"/>
          </w:tcPr>
          <w:p w14:paraId="6156154A"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3E7BA880" w14:textId="16E4B1D8"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4E1D8546" w14:textId="79D0FBBA" w:rsidR="00062D80" w:rsidRPr="00F2718E" w:rsidRDefault="00062D80" w:rsidP="00A961C5">
            <w:pPr>
              <w:keepNext/>
              <w:keepLines/>
              <w:spacing w:line="360" w:lineRule="auto"/>
              <w:jc w:val="both"/>
              <w:outlineLvl w:val="0"/>
              <w:rPr>
                <w:rFonts w:ascii="GHEA Grapalat" w:hAnsi="GHEA Grapalat"/>
                <w:b/>
                <w:shd w:val="clear" w:color="auto" w:fill="FFFFFF"/>
                <w:lang w:val="hy-AM"/>
              </w:rPr>
            </w:pPr>
          </w:p>
        </w:tc>
      </w:tr>
      <w:tr w:rsidR="001C63AC" w:rsidRPr="00F2718E" w14:paraId="75A921C3" w14:textId="77777777" w:rsidTr="00F260E8">
        <w:trPr>
          <w:gridAfter w:val="1"/>
          <w:wAfter w:w="6" w:type="dxa"/>
        </w:trPr>
        <w:tc>
          <w:tcPr>
            <w:tcW w:w="7879" w:type="dxa"/>
          </w:tcPr>
          <w:p w14:paraId="46CB7A5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w:t>
            </w:r>
            <w:r w:rsidRPr="00F2718E">
              <w:rPr>
                <w:rFonts w:ascii="GHEA Grapalat" w:hAnsi="GHEA Grapalat"/>
                <w:lang w:val="hy-AM"/>
              </w:rPr>
              <w:tab/>
              <w:t>Նախագծի 3-րդ հոդվածով Օրենսգիրքը լրացվում է «Դատական նիստին դատավարության մասնակիցների ներկայության պարտադիրությունը» վերտառությամբ 147.1-րդ հոդվածով, որի 1-ին մասի համաձայն՝ սույն օրենսգրքի 158-րդ հոդվածի 3-րդ մասով, 234.9 հոդվածի 1-ին մասի 1-ին կետով, 247-րդ հոդվածի 1-ին մասի, 300-րդ հոդվածի 1-ին մասի 1-ին կետի, 318-րդ հոդվածի 2.2.-րդ մասով, 323-րդ հոդվածի 2-րդ մասով, 328-րդ հոդվածի 2-րդ մասով, 339-րդ հոդվածի 2-րդ մասով, 343-րդ հոդվածի 2-րդ մասով, 345.4-րդ հոդվածի 2-րդ մասով նախատեսված դեպքերում դատարանը դատավարության մասնակիցներին ուղղված ծանուցագրում նշում է կատարում դատական նիստին մասնակցելու անհրաժեշտության մասին:</w:t>
            </w:r>
          </w:p>
          <w:p w14:paraId="07222B2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Օրենսգրքի 251-րդ հոդվածի 1-ին մասի 1-ին նախադասության համաձայն՝ քաղաքացուն անգործունակ կամ սահմանափակ գործունակ ճանաչելու վերաբերյալ դիմումն առաջին ատյանի դատարանը քննում է անգործունակ կամ սահմանափակ գործունակ ճանաչվող անձի, նրա փաստաբանի և խնամակալության ու հոգաբարձության մարմնի պարտադիր մասնակցությամբ: </w:t>
            </w:r>
          </w:p>
          <w:p w14:paraId="44DDA00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Օրենսգրքի 263-րդ հոդվածի 1-ին մասի 1-ին կետի համաձայն՝ երեխաների որդեգրումը հաստատելու մասին գործերը դատարանը քննում է՝ որդեգրել ցանկացող անձի, խնամակալության և հոգաբարձության մարմնի և 14 տարին լրացած երեխայի պարտադիր մասնակցությամբ՝ Հայաստանի Հանրապետության քաղաքացիների կողմից երեխաներ որդեգրելու դեպքում:</w:t>
            </w:r>
          </w:p>
          <w:p w14:paraId="0550FCD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ընտանեկան օրենսգրքի 54-րդ հոդվածի 2-րդ մասի 2-րդ պարբերության համաձայն՝ եթե ծնողները չեն կարող համաձայնության գալ, ապա նրանց կամ նրանցից մեկի պահանջով խնամակալության և հոգաբարձության մարմնի պարտադիր մասնակցությամբ վեճը լուծում է դատարանը:</w:t>
            </w:r>
          </w:p>
          <w:p w14:paraId="0F019FB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նշվածից ստացվում է, Օրենսգրքի 251-րդ, 263-րդ հոդվածների, ՀՀ ընտանեկան օրենսգրքի 54-րդ հոդվածում սահմանված են որոշակի խումբ անձանց պարտադիր մասնակցության դեպքեր: Բացի վերը նշվածից Օրենսգրքի 263-րդ հոդվածի 1-ին մասի 2-րդ կետում, ՀՀ ընտանեկան օրենսգրքի 60-րդ հոդվածի 2-րդ մասում, 62-րդ հոդվածի 2-րդ մասում, 129-րդ հոդվածի 2-րդ մասում: Մինչդեռ դատական նիստին պարտադիր մասնակցության դեպքերից, առաջարկվող իրավակարգավորմամբ նշված է միայն  Օրենսգրքի 247-րդ հոդվածի 1-ին մասով սահմանված դեպքը:</w:t>
            </w:r>
          </w:p>
        </w:tc>
        <w:tc>
          <w:tcPr>
            <w:tcW w:w="7022" w:type="dxa"/>
            <w:gridSpan w:val="6"/>
          </w:tcPr>
          <w:p w14:paraId="07DF7563"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22A70546" w14:textId="641B6358"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7A3B340D" w14:textId="77777777" w:rsidR="00897369" w:rsidRPr="00F2718E" w:rsidRDefault="00897369" w:rsidP="00A961C5">
            <w:pPr>
              <w:keepNext/>
              <w:keepLines/>
              <w:spacing w:line="360" w:lineRule="auto"/>
              <w:jc w:val="both"/>
              <w:outlineLvl w:val="0"/>
              <w:rPr>
                <w:rFonts w:ascii="GHEA Grapalat" w:hAnsi="GHEA Grapalat"/>
                <w:lang w:val="hy-AM"/>
              </w:rPr>
            </w:pPr>
          </w:p>
          <w:p w14:paraId="538C92B2" w14:textId="77777777" w:rsidR="000855F8" w:rsidRPr="00F2718E" w:rsidRDefault="000855F8" w:rsidP="00A961C5">
            <w:pPr>
              <w:keepNext/>
              <w:keepLines/>
              <w:spacing w:line="360" w:lineRule="auto"/>
              <w:jc w:val="both"/>
              <w:outlineLvl w:val="0"/>
              <w:rPr>
                <w:rFonts w:ascii="GHEA Grapalat" w:hAnsi="GHEA Grapalat"/>
                <w:lang w:val="hy-AM"/>
              </w:rPr>
            </w:pPr>
          </w:p>
          <w:p w14:paraId="4C5861B4" w14:textId="6470B996" w:rsidR="00897369" w:rsidRPr="00F2718E" w:rsidRDefault="00897369" w:rsidP="00A961C5">
            <w:pPr>
              <w:keepNext/>
              <w:keepLines/>
              <w:spacing w:line="360" w:lineRule="auto"/>
              <w:jc w:val="both"/>
              <w:outlineLvl w:val="0"/>
              <w:rPr>
                <w:rFonts w:ascii="GHEA Grapalat" w:hAnsi="GHEA Grapalat"/>
                <w:b/>
                <w:shd w:val="clear" w:color="auto" w:fill="FFFFFF"/>
                <w:lang w:val="hy-AM"/>
              </w:rPr>
            </w:pPr>
          </w:p>
        </w:tc>
      </w:tr>
      <w:tr w:rsidR="001C63AC" w:rsidRPr="00F2718E" w14:paraId="09873F97" w14:textId="77777777" w:rsidTr="00F260E8">
        <w:trPr>
          <w:gridAfter w:val="1"/>
          <w:wAfter w:w="6" w:type="dxa"/>
        </w:trPr>
        <w:tc>
          <w:tcPr>
            <w:tcW w:w="7879" w:type="dxa"/>
          </w:tcPr>
          <w:p w14:paraId="74811AD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w:t>
            </w:r>
            <w:r w:rsidRPr="00F2718E">
              <w:rPr>
                <w:rFonts w:ascii="GHEA Grapalat" w:hAnsi="GHEA Grapalat"/>
                <w:lang w:val="hy-AM"/>
              </w:rPr>
              <w:tab/>
              <w:t>Նախագծի 3-րդ հոդվածով Օրենսգիրքը լրացվում է «Դատական նիստին դատավարության մասնակիցների ներկայության պարտադիրությունը» վերտառությամբ 147.1-րդ հոդվածով, որով սահմանվում են դատավարության մասնակիցների դատական նիստին պարտադիր մասնակցելու պարտականությունը և պարտադիր մասնակցության  դեպքերը, ինչպես նաև չմասնակցելու համար «տուգանք» դատական սանկցիայի կիրառման հնարավորությունը: Անդրադառնալով Նախագծերում ներկայացված միջազգային փորձին՝ հարկ է նշել հետևյալը</w:t>
            </w:r>
            <w:r w:rsidRPr="00F2718E">
              <w:rPr>
                <w:rFonts w:ascii="Cambria Math" w:hAnsi="Cambria Math" w:cs="Cambria Math"/>
                <w:lang w:val="hy-AM"/>
              </w:rPr>
              <w:t>․</w:t>
            </w:r>
          </w:p>
          <w:p w14:paraId="17EFA49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Էստոնիայի Հանրապետություն։ Էստոնիայի Հանրապետության քաղաքացիական դատավարության օրենսգրքի 346-րդ հոդվածը սահմանում է, որ դատարանը կարող է պարտադիր համարել կողմի կամ նրա ներկայացուցչի ներկայությունը դատական նիստին: Ընդ որում, նույն հոդվածը պարտադիր է համարում ամուսնական գործերով կողմերի պարտադիր ներկայությունը:</w:t>
            </w:r>
          </w:p>
          <w:p w14:paraId="5F8AF44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Վրաստանի Հանրապետություն։ Վրաստանի Հ</w:t>
            </w:r>
            <w:r w:rsidR="005745DF" w:rsidRPr="00F2718E">
              <w:rPr>
                <w:rFonts w:ascii="GHEA Grapalat" w:hAnsi="GHEA Grapalat"/>
                <w:lang w:val="hy-AM"/>
              </w:rPr>
              <w:t>անրապետության քաղաքացիական դատավա</w:t>
            </w:r>
            <w:r w:rsidRPr="00F2718E">
              <w:rPr>
                <w:rFonts w:ascii="GHEA Grapalat" w:hAnsi="GHEA Grapalat"/>
                <w:lang w:val="hy-AM"/>
              </w:rPr>
              <w:t>րության օրենսգիրքը տուգանքի նշանակում է նախատե</w:t>
            </w:r>
            <w:r w:rsidR="008427D4" w:rsidRPr="00F2718E">
              <w:rPr>
                <w:rFonts w:ascii="GHEA Grapalat" w:hAnsi="GHEA Grapalat"/>
                <w:lang w:val="hy-AM"/>
              </w:rPr>
              <w:t>սում դատական նիստի ընթացքում դատա</w:t>
            </w:r>
            <w:r w:rsidRPr="00F2718E">
              <w:rPr>
                <w:rFonts w:ascii="GHEA Grapalat" w:hAnsi="GHEA Grapalat"/>
                <w:lang w:val="hy-AM"/>
              </w:rPr>
              <w:t>կան կարգը խախտելու համար, սակայն դատական նիստին</w:t>
            </w:r>
            <w:r w:rsidR="008427D4" w:rsidRPr="00F2718E">
              <w:rPr>
                <w:rFonts w:ascii="GHEA Grapalat" w:hAnsi="GHEA Grapalat"/>
                <w:lang w:val="hy-AM"/>
              </w:rPr>
              <w:t xml:space="preserve"> չներկայանալը դատական կարգի խախ</w:t>
            </w:r>
            <w:r w:rsidRPr="00F2718E">
              <w:rPr>
                <w:rFonts w:ascii="GHEA Grapalat" w:hAnsi="GHEA Grapalat"/>
                <w:lang w:val="hy-AM"/>
              </w:rPr>
              <w:t>տում չի համարվում։</w:t>
            </w:r>
          </w:p>
          <w:p w14:paraId="70CA081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Ուկրաինայի Հանրապետություն։ Նախագծի ընդունման հիմնավորմամբ հղում է կատարված հետազոտողի կողմից 2020թ</w:t>
            </w:r>
            <w:r w:rsidRPr="00F2718E">
              <w:rPr>
                <w:rFonts w:ascii="Cambria Math" w:hAnsi="Cambria Math" w:cs="Cambria Math"/>
                <w:lang w:val="hy-AM"/>
              </w:rPr>
              <w:t>․</w:t>
            </w:r>
            <w:r w:rsidRPr="00F2718E">
              <w:rPr>
                <w:rFonts w:ascii="GHEA Grapalat" w:hAnsi="GHEA Grapalat"/>
                <w:lang w:val="hy-AM"/>
              </w:rPr>
              <w:t xml:space="preserve"> </w:t>
            </w:r>
            <w:r w:rsidRPr="00F2718E">
              <w:rPr>
                <w:rFonts w:ascii="GHEA Grapalat" w:hAnsi="GHEA Grapalat" w:cs="GHEA Grapalat"/>
                <w:lang w:val="hy-AM"/>
              </w:rPr>
              <w:t>գրված</w:t>
            </w:r>
            <w:r w:rsidRPr="00F2718E">
              <w:rPr>
                <w:rFonts w:ascii="GHEA Grapalat" w:hAnsi="GHEA Grapalat"/>
                <w:lang w:val="hy-AM"/>
              </w:rPr>
              <w:t xml:space="preserve"> </w:t>
            </w:r>
            <w:r w:rsidRPr="00F2718E">
              <w:rPr>
                <w:rFonts w:ascii="GHEA Grapalat" w:hAnsi="GHEA Grapalat" w:cs="GHEA Grapalat"/>
                <w:lang w:val="hy-AM"/>
              </w:rPr>
              <w:t>հոդվածում</w:t>
            </w:r>
            <w:r w:rsidRPr="00F2718E">
              <w:rPr>
                <w:rFonts w:ascii="GHEA Grapalat" w:hAnsi="GHEA Grapalat"/>
                <w:lang w:val="hy-AM"/>
              </w:rPr>
              <w:t xml:space="preserve"> </w:t>
            </w:r>
            <w:r w:rsidRPr="00F2718E">
              <w:rPr>
                <w:rFonts w:ascii="GHEA Grapalat" w:hAnsi="GHEA Grapalat" w:cs="GHEA Grapalat"/>
                <w:lang w:val="hy-AM"/>
              </w:rPr>
              <w:t>առկա</w:t>
            </w:r>
            <w:r w:rsidRPr="00F2718E">
              <w:rPr>
                <w:rFonts w:ascii="GHEA Grapalat" w:hAnsi="GHEA Grapalat"/>
                <w:lang w:val="hy-AM"/>
              </w:rPr>
              <w:t xml:space="preserve"> </w:t>
            </w:r>
            <w:r w:rsidRPr="00F2718E">
              <w:rPr>
                <w:rFonts w:ascii="GHEA Grapalat" w:hAnsi="GHEA Grapalat" w:cs="GHEA Grapalat"/>
                <w:lang w:val="hy-AM"/>
              </w:rPr>
              <w:t>վերլուծություններին</w:t>
            </w:r>
            <w:r w:rsidRPr="00F2718E">
              <w:rPr>
                <w:rFonts w:ascii="GHEA Grapalat" w:hAnsi="GHEA Grapalat"/>
                <w:lang w:val="hy-AM"/>
              </w:rPr>
              <w:t xml:space="preserve">, </w:t>
            </w:r>
            <w:r w:rsidRPr="00F2718E">
              <w:rPr>
                <w:rFonts w:ascii="GHEA Grapalat" w:hAnsi="GHEA Grapalat" w:cs="GHEA Grapalat"/>
                <w:lang w:val="hy-AM"/>
              </w:rPr>
              <w:t>որից</w:t>
            </w:r>
            <w:r w:rsidRPr="00F2718E">
              <w:rPr>
                <w:rFonts w:ascii="GHEA Grapalat" w:hAnsi="GHEA Grapalat"/>
                <w:lang w:val="hy-AM"/>
              </w:rPr>
              <w:t xml:space="preserve"> </w:t>
            </w:r>
            <w:r w:rsidRPr="00F2718E">
              <w:rPr>
                <w:rFonts w:ascii="GHEA Grapalat" w:hAnsi="GHEA Grapalat" w:cs="GHEA Grapalat"/>
                <w:lang w:val="hy-AM"/>
              </w:rPr>
              <w:t>հետո</w:t>
            </w:r>
            <w:r w:rsidRPr="00F2718E">
              <w:rPr>
                <w:rFonts w:ascii="GHEA Grapalat" w:hAnsi="GHEA Grapalat"/>
                <w:lang w:val="hy-AM"/>
              </w:rPr>
              <w:t xml:space="preserve"> </w:t>
            </w:r>
            <w:r w:rsidRPr="00F2718E">
              <w:rPr>
                <w:rFonts w:ascii="GHEA Grapalat" w:hAnsi="GHEA Grapalat" w:cs="GHEA Grapalat"/>
                <w:lang w:val="hy-AM"/>
              </w:rPr>
              <w:t>թե՛</w:t>
            </w:r>
            <w:r w:rsidRPr="00F2718E">
              <w:rPr>
                <w:rFonts w:ascii="GHEA Grapalat" w:hAnsi="GHEA Grapalat"/>
                <w:lang w:val="hy-AM"/>
              </w:rPr>
              <w:t xml:space="preserve"> </w:t>
            </w:r>
            <w:r w:rsidRPr="00F2718E">
              <w:rPr>
                <w:rFonts w:ascii="GHEA Grapalat" w:hAnsi="GHEA Grapalat" w:cs="GHEA Grapalat"/>
                <w:lang w:val="hy-AM"/>
              </w:rPr>
              <w:t>Ուկրաինայի</w:t>
            </w:r>
            <w:r w:rsidRPr="00F2718E">
              <w:rPr>
                <w:rFonts w:ascii="GHEA Grapalat" w:hAnsi="GHEA Grapalat"/>
                <w:lang w:val="hy-AM"/>
              </w:rPr>
              <w:t xml:space="preserve"> </w:t>
            </w:r>
            <w:r w:rsidRPr="00F2718E">
              <w:rPr>
                <w:rFonts w:ascii="GHEA Grapalat" w:hAnsi="GHEA Grapalat" w:cs="GHEA Grapalat"/>
                <w:lang w:val="hy-AM"/>
              </w:rPr>
              <w:t>Հանրապետության</w:t>
            </w:r>
            <w:r w:rsidRPr="00F2718E">
              <w:rPr>
                <w:rFonts w:ascii="GHEA Grapalat" w:hAnsi="GHEA Grapalat"/>
                <w:lang w:val="hy-AM"/>
              </w:rPr>
              <w:t xml:space="preserve"> </w:t>
            </w:r>
            <w:r w:rsidRPr="00F2718E">
              <w:rPr>
                <w:rFonts w:ascii="GHEA Grapalat" w:hAnsi="GHEA Grapalat" w:cs="GHEA Grapalat"/>
                <w:lang w:val="hy-AM"/>
              </w:rPr>
              <w:t>քաղաքացիական</w:t>
            </w:r>
            <w:r w:rsidRPr="00F2718E">
              <w:rPr>
                <w:rFonts w:ascii="GHEA Grapalat" w:hAnsi="GHEA Grapalat"/>
                <w:lang w:val="hy-AM"/>
              </w:rPr>
              <w:t xml:space="preserve"> </w:t>
            </w:r>
            <w:r w:rsidRPr="00F2718E">
              <w:rPr>
                <w:rFonts w:ascii="GHEA Grapalat" w:hAnsi="GHEA Grapalat" w:cs="GHEA Grapalat"/>
                <w:lang w:val="hy-AM"/>
              </w:rPr>
              <w:t>դատավարության</w:t>
            </w:r>
            <w:r w:rsidRPr="00F2718E">
              <w:rPr>
                <w:rFonts w:ascii="GHEA Grapalat" w:hAnsi="GHEA Grapalat"/>
                <w:lang w:val="hy-AM"/>
              </w:rPr>
              <w:t xml:space="preserve"> </w:t>
            </w:r>
            <w:r w:rsidRPr="00F2718E">
              <w:rPr>
                <w:rFonts w:ascii="GHEA Grapalat" w:hAnsi="GHEA Grapalat" w:cs="GHEA Grapalat"/>
                <w:lang w:val="hy-AM"/>
              </w:rPr>
              <w:t>օրենսգրքում</w:t>
            </w:r>
            <w:r w:rsidRPr="00F2718E">
              <w:rPr>
                <w:rFonts w:ascii="GHEA Grapalat" w:hAnsi="GHEA Grapalat"/>
                <w:lang w:val="hy-AM"/>
              </w:rPr>
              <w:t xml:space="preserve"> (</w:t>
            </w:r>
            <w:r w:rsidRPr="00F2718E">
              <w:rPr>
                <w:rFonts w:ascii="GHEA Grapalat" w:hAnsi="GHEA Grapalat" w:cs="GHEA Grapalat"/>
                <w:lang w:val="hy-AM"/>
              </w:rPr>
              <w:t>վերջին</w:t>
            </w:r>
            <w:r w:rsidRPr="00F2718E">
              <w:rPr>
                <w:rFonts w:ascii="GHEA Grapalat" w:hAnsi="GHEA Grapalat"/>
                <w:lang w:val="hy-AM"/>
              </w:rPr>
              <w:t xml:space="preserve"> </w:t>
            </w:r>
            <w:r w:rsidRPr="00F2718E">
              <w:rPr>
                <w:rFonts w:ascii="GHEA Grapalat" w:hAnsi="GHEA Grapalat" w:cs="GHEA Grapalat"/>
                <w:lang w:val="hy-AM"/>
              </w:rPr>
              <w:t>փոփոխութ</w:t>
            </w:r>
            <w:r w:rsidRPr="00F2718E">
              <w:rPr>
                <w:rFonts w:ascii="GHEA Grapalat" w:hAnsi="GHEA Grapalat"/>
                <w:lang w:val="hy-AM"/>
              </w:rPr>
              <w:t>յունը՝ 04.11.2023թ.) և թե՛ իրավակիրառ պրակտիկայում վստահաբար եղել են փոփոխություններ։ Ընդ որում, հիշյալ հոդվածում բերվել են օրինակներ, որոնք վերաբերում են միայն այն դեպքերին, որտեղ դատարանը կիրառել է տուգանք՝ անձի արարքը համարելով իրավունքի չարաշահում։</w:t>
            </w:r>
          </w:p>
          <w:p w14:paraId="11A4E1A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Վերոնշյալից զատ, նաև անհրաժեշտ է փաստել, որ Ուկրաինայի Հանրապետության քաղաքացիական դատավարության օրենսգրքից կատարված մեջբերումը հիմնավորման տեքստում ամբողջությամբ չի արտացոլված։ Մասնավորապես՝ Ուկրաինայի քաղաքացիական դատավարության օրենսգրքի համապատասխան հոդվածը, որը վերաբերում է դատարանի կողմից տուգանք կիրառելու հնարավորությանը (հոդված 148) ունի նաև հետևյալ բովանդակությամբ առանձին մաս. «Դատարանը կարող է չեղարկել տուգանք գանձելու մասին իր կողմից կայացված որոշումը, եթե այն անձը, ում նկատմամբ այն նշանակվել է, ուղղել է կատարված խախտումը և (կամ) ապացույցներ է ներկայացրել համապատասխան պահանջները չկատարելու պատճառների լրջության մասին»։</w:t>
            </w:r>
          </w:p>
          <w:p w14:paraId="7D70826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Այսինքն ստացվում է, որ Ուկրաինայի Հանրապետության քաղաքացիական դատավարության օրենսգիրքը հնարավորություն է տալիս անձին ուղղել իր կողմից կատարված խախտումը և չենթարկվել պատասխանատվության։</w:t>
            </w:r>
          </w:p>
          <w:p w14:paraId="60487E7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Համադրելով Ռուսաստանի Դաշնության քաղաքացիական դատավարության օրենսգրքի 105-րդ և 167-րդ հոդվածները՝ ակնհայտ է, որ Օրենսգիրքը սահմանում է տուգանքի կիրառում միայն այն դեպքերում, եթե այն նախատեսված է նույն օրենսգրքով, իսկ օրենսգիրքը չի սահմանում տուգանքը՝ որպես դատական նիստին չներկայանալու հետևանք։</w:t>
            </w:r>
          </w:p>
          <w:p w14:paraId="58297B0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Ուշադրության է արժանի նաև այն հանգամանքը, որ հենց Նախագծի հիմնավորմամբ բերված երկրների ոլորտը կարգավորող օրենսդրությունն ուսումնասիրելիս ակնհայտ է, որ տուգանքը՝ որպես պատասխանատվության միջոց, մի շարք օրենսդրություններում գտնվում է պատասխանատվության միջոցների հիերարխիայի ամենավերջում, ինչն էլ ցույց է տալիս տվյալ «պատժամիջոցի» բացառիկությունը և այն նշանակելու հնարավորությունը բացառապես այ</w:t>
            </w:r>
            <w:r w:rsidR="006F327D" w:rsidRPr="00F2718E">
              <w:rPr>
                <w:rFonts w:ascii="GHEA Grapalat" w:hAnsi="GHEA Grapalat"/>
                <w:lang w:val="hy-AM"/>
              </w:rPr>
              <w:t>ն դեպքերում, երբ մնացած պատասխա</w:t>
            </w:r>
            <w:r w:rsidRPr="00F2718E">
              <w:rPr>
                <w:rFonts w:ascii="GHEA Grapalat" w:hAnsi="GHEA Grapalat"/>
                <w:lang w:val="hy-AM"/>
              </w:rPr>
              <w:t>նատվության միջոցները չեն ունեցել կանխարգելիչ ազդեցություն, կամ երբ դատարանը կարող է հիմնավորել, որ կատարված արարքի հակաիրավական հետևանքը ուղիղ համեմատական է կիրառված «պատժամիջոցին»։</w:t>
            </w:r>
          </w:p>
        </w:tc>
        <w:tc>
          <w:tcPr>
            <w:tcW w:w="7022" w:type="dxa"/>
            <w:gridSpan w:val="6"/>
          </w:tcPr>
          <w:p w14:paraId="290838FF"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3B7F5824" w14:textId="1B909F12"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40334267" w14:textId="04040388" w:rsidR="005A2B7A" w:rsidRPr="00F2718E" w:rsidRDefault="005A2B7A" w:rsidP="00A961C5">
            <w:pPr>
              <w:keepNext/>
              <w:keepLines/>
              <w:spacing w:line="360" w:lineRule="auto"/>
              <w:jc w:val="both"/>
              <w:outlineLvl w:val="0"/>
              <w:rPr>
                <w:rFonts w:ascii="GHEA Grapalat" w:hAnsi="GHEA Grapalat"/>
                <w:b/>
                <w:shd w:val="clear" w:color="auto" w:fill="FFFFFF"/>
                <w:lang w:val="hy-AM"/>
              </w:rPr>
            </w:pPr>
          </w:p>
        </w:tc>
      </w:tr>
      <w:tr w:rsidR="001C63AC" w:rsidRPr="00F2718E" w14:paraId="631F9BC2" w14:textId="77777777" w:rsidTr="00F260E8">
        <w:trPr>
          <w:gridAfter w:val="1"/>
          <w:wAfter w:w="6" w:type="dxa"/>
        </w:trPr>
        <w:tc>
          <w:tcPr>
            <w:tcW w:w="7879" w:type="dxa"/>
          </w:tcPr>
          <w:p w14:paraId="249F32FD"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6.</w:t>
            </w:r>
            <w:r w:rsidRPr="00F2718E">
              <w:rPr>
                <w:rFonts w:ascii="GHEA Grapalat" w:hAnsi="GHEA Grapalat"/>
                <w:i/>
                <w:lang w:val="hy-AM"/>
              </w:rPr>
              <w:tab/>
              <w:t>Նախագծի 3-րդ հոդվածով Օրենսգիրքը լրացվում է 147.1-րդ հոդվածով, որի 2-րդ  մասի համաձայն՝ եթե դատավարության մասնակիցը, ծանուցված լինելով դատական նիստին ներկայանալու անհրաժեշտության մասին, չի ներկայանում դատական նիստին կամ չի ներկայացնում դատական նիստը հետաձգելու մասին հիմնավորված միջնորդություն, ապա դատարանը դատական նիստին չմասնակցող դատավարության մասնակցի նկատմամբ կիրառում է դատական տուգանք:</w:t>
            </w:r>
          </w:p>
          <w:p w14:paraId="0A73D10E"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Նույն հոդվածի 3-րդ մասի համաձայն՝ դատական տուգանքի կիրառումը դատավարության մասնակցին չի ազատում հաջորդ դատական նիստին ներկայանալու պարտականությունից:</w:t>
            </w:r>
          </w:p>
          <w:p w14:paraId="1827C1F5"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ՀՀ սահմանադրության 75-րդ հոդվածի 1-ին մասի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w:t>
            </w:r>
          </w:p>
          <w:p w14:paraId="48488C80"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ՄԱԿ-ի կողմից 1990թ. ընդունված «Փաստաբանների դերին վերաբերող հիմնարար սկզբունքներ»-ի 16-րդ կետի «ա» ենթակետի համաձայն՝ կառավարություններն ապահովում են, որպեսզի փաստաբանները կարողանան իրենց մասնագիտական բոլոր պարտականությունները կատարել սպառնալիքներից, խոչընդոտներից, ահաբեկումից կամ անարդարացի միջամտությունից զերծ մթնոլորտում:</w:t>
            </w:r>
          </w:p>
          <w:p w14:paraId="2242E2B1"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Եվրոպայի խորհրդի Նախարարների կոմիտեի «Փաստաբանի մասնագիտական գործունեության ազատության մասին» 25.10.2000թ. №Rec(2000)21  հանձնարարականի 1-ին սկզբունքի 1-ին կետի համաձայն՝ հարկավոր է ձեռնարկել բոլոր անհրաժեշտ միջոցները, որպեսզի հարգվի, պաշտպանվի և խթանվի փաստաբանի մասնագիտական գործունեության ազատությունը առանց խտրականության և իշխանությունների կամ հասարակության կողմից անիրավաչափ միջամտության, հատկապես Մարդու իրավունքների եվրոպական կոնվենցիայի համապատասխան դրույթների լույսի ներքո:</w:t>
            </w:r>
          </w:p>
          <w:p w14:paraId="7AFF721F"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Նույն սկզբունքի 4-րդ կետի համաձայն՝ փաստաբանները չպետք է տուժեն հետևանքներից կամ ենթարկվեն ցանկացած պատժամիջոցների կամ ճնշումների վտանգի, երբ գործում են իրենց մասնագիտական չափանիշներին համապատասխան:</w:t>
            </w:r>
          </w:p>
          <w:p w14:paraId="34C9F697"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xml:space="preserve">ՄԱԿ-ի մարդու իրավունքների գերագույն հանձնակատարի գրասենյակի կողմից հրապարակված չափորոշիչների 6.1 կետի համաձայն՝ փաստաբանների կողմից իրենց մասնագիտական պարտականություններն արդյունավետ իրագործելու համար ներպետական և միջազգային իրավունքով պետք է ստեղծվեն համապատասխան ընթացակարգային երաշխիքներ, ինչպես նաև առկա լինեն անհրաժեշտ կառուցակարգեր, որոնք փաստաբաններին զերծ կպահեն իրենց աշխատանքային գործունեության ընթացքում ճնշումներից, կոռուպցիայից և ահաբեկումներից: </w:t>
            </w:r>
          </w:p>
          <w:p w14:paraId="4305C4EA"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xml:space="preserve">6.3 կետի համաձայն՝ Կառավարությունները պարտավոր են երաշխավորել փաստաբանների կողմից իրեն գործառույթների իրականացումը՝ առանց ահաբեկման, խոչընդոտման, բռնության կամ ոչ պատշաճ միջամտության. </w:t>
            </w:r>
          </w:p>
          <w:p w14:paraId="4F60187A"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գ. փաստաբանների նկատմամբ անիրավաչափ քրեական հետպանդման, դրա սպառնալիքի, վարչական կամ տնտեսական սանցկիաների կիրառման բացառումը փաստաբանների օրինական և փաստաբանների վարքագծի կանոններին համապատասխանող գործունեության ընթացքում:</w:t>
            </w:r>
          </w:p>
          <w:p w14:paraId="3497E77F"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Վերոշարադրյալը գալիս է վկայելու, որ փաստաբանության ինստիտուտի և դրանից բխող՝ փաստաբանների անկախու</w:t>
            </w:r>
            <w:r w:rsidR="005A2B7A" w:rsidRPr="00F2718E">
              <w:rPr>
                <w:rFonts w:ascii="GHEA Grapalat" w:hAnsi="GHEA Grapalat"/>
                <w:i/>
                <w:lang w:val="hy-AM"/>
              </w:rPr>
              <w:t xml:space="preserve">թյան սկզբունքն ունի միջազգային </w:t>
            </w:r>
            <w:r w:rsidRPr="00F2718E">
              <w:rPr>
                <w:rFonts w:ascii="GHEA Grapalat" w:hAnsi="GHEA Grapalat"/>
                <w:i/>
                <w:lang w:val="hy-AM"/>
              </w:rPr>
              <w:t>ճանաչում և ստացել է համապատասխան ամրագրում միջազգային տարբեր հեղինակավոր փաստաթղթերում և ենթադրում է պետությունների կողմից համապատասխան օրենսդրական և վարչական, միջոցների ձեռնարկում պրակտիկայում փաստաբանական գործունեության նկատմամբ անհարկի և անիրավաչափ միջամտության բացառման ուղղությամբ: Ավելին՝ պետության կողմից տնտեսական սանկցիաների կիրառումը փաստաբանների նկատմամբ համարվում է նրանց անկախությունը խաթարող ակտ: Սույն պարագայում ակնհայտ է, որ դատարանի կողմից փաստաբաններին կամ գործին մասնակցող անձանց տուգանելու սանկցիայի իրավական կառուցակարգերը չեն համապատասխանում միջազգային չափորոշիչներին, այնքանով, որքանով չեն ապահովում փաստաբանի ընթացակարգային իրավունքների պաշտպանությունը և կարող են դիտարկվել որպես փաստաբանի օրինական գործունեության նկատմամբ պետության միջամտություն՝ տնտեսական բնույթի սանկցիա կիրառելու ձևով:</w:t>
            </w:r>
          </w:p>
          <w:p w14:paraId="4298D18C"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Վերը նշված իրավական նորմերի վերլուծությունից ակնհայտ է, որ պետությունը պարտավոր է ներպետական իրավունքում սահմանել այնպիսի իրավական կառուցակարգեր, որոնցով կապահովվի փաստաբանական գործունեության անկախությունը և որոնք փաստաբաններին զերծ կպահեն իրենց մասնագիտական գործունեության ընթացքում ահաբեկումներից, ոչ պատշաճ միջամտությունից:</w:t>
            </w:r>
          </w:p>
          <w:p w14:paraId="7BABBC9A"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xml:space="preserve">Նախագծի նշված կարգավորման ընդունման դեպքում փաստաբանների և գործին մասնակցող անձանց նկատմամբ կարող է դատական տուգանք կիրառվել դատական նիստին չներկայանալու իրավաչափ գործողության համար: </w:t>
            </w:r>
          </w:p>
          <w:p w14:paraId="066F4A7F"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xml:space="preserve">Դատական նիստին չներկայանալու համար գործին մասնակցող անձի նկատմամբ դատական տուգանքի կիրառումը օրենքի կոպիտ խախտում է, քանի որ նման մոտեցումը ուղղակիորեն հակասում է տնօրինչականության սկզբունքի հետ: Գործին մասնակցող անձը ղեկավարվելով տնօրինչականության սկզբունքով իրավունք ունի չներկայանալու դատական նիստին: Դատական նիստին չներկայանալը դատարանի համար արգելք չէ գործի քննությունը շարունակելու համար: Ստացվում է, որ դատական նիստին չներկայանալը իրավաչափ գործողություն է, իսկ Նախագծով առաջարկվում է սահմանել դատական տուգանք (դատական սանկցիա) իրավաչափ գործողության համար: </w:t>
            </w:r>
          </w:p>
          <w:p w14:paraId="7689A900"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Թեև Նախագծի քննարկվելիք իրավակարգավորումը վերաբերվում է դատավարության մասնակցին և դատական նիստին չներկայանալու համար դատական տուգանքը կիրառվելու է դատավարության մասնակցի նկատմամբ, սակայն բոլոր այն դեպքերում, երբ դատավարության մասնակիցը դատական գործով հանդես կգա ներկայացուցչի միջոցով, քննարկվելիք իրավակարգավորումն ազդեցություն է ունենալու նաև փաստաբանի վրա, քանի որ փաստաբանը կաշկանդված կլինի դատական նիստին չներկայանալու դեպքում իր վստահորդի հանդեպ դատական տուգանքի հնարավոր կիրառմամբ:</w:t>
            </w:r>
          </w:p>
          <w:p w14:paraId="1A254E0D"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Եթե անգամ փաստաբանը դատական նիստին մասնակցելը համարի մարտավարության տեսանկյունից ոչ նպատակահարմար, ստիպված է լինելու մասնակցել դատական նիստին, որպեսզի դատական տուգանքի կիրառմամբ իր վստահորդի համար չառաջանան անբարենպաստ գույքային հետևանքներ: Այսպիսով փաստաբանը չի կարող անկաշկանդ օգտվել տնօրինչականության սկզբունքով երաշխավորված դատական նիստին չներկայանալու իրավունքից:</w:t>
            </w:r>
          </w:p>
          <w:p w14:paraId="243015AD"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Ուստի նշված խնդրահարույց իրավական դրույթն անհրաժեշտ է հանել Նախագծից:</w:t>
            </w:r>
          </w:p>
          <w:p w14:paraId="63BC563A"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Անհրաժեշտ է լրացուցիչ ընդգծել, որ առաջարկվող կարգավորումը նաև բավականաչափ հստակ և որոշակի չէ։ Առկա են բազմաթիվ խնդրահարույց իրավիճակներ, որոնց կարգավորումները տրված չեն։ Օրինակ.</w:t>
            </w:r>
          </w:p>
          <w:p w14:paraId="4B44DABE"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Եթե անձը ծանուցվում է դատական նիստին ներկայանալու անհրաժեշտության մասին, սակայն չի ներկայանում, և դատարանի կողմից կիրառվում է տուգանք, արդյո՞ք հաջորդ դատական նիստին դարձյալ չներկայանալու դեպքում դատարանը նույն արարքի համար կրկին պետք է տուգանք կիրառի։</w:t>
            </w:r>
          </w:p>
          <w:p w14:paraId="2B88858A"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xml:space="preserve">- Տուգանք կիրառելուց հետո դարձյալ դատական նիստին չներկայանալն արդյո՞ք խոչընդոտում է դատական նիստի կայացմանը։ </w:t>
            </w:r>
          </w:p>
          <w:p w14:paraId="2F77C2CB"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Արդյո՞ք որևէ հարցի քննարկման ժամանակ դատավարության մասնակցի չներկայանալը դատարանը մեկնաբանում է ի վնաս դատական նիստին չներկայացած մասնակցի։</w:t>
            </w:r>
          </w:p>
          <w:p w14:paraId="2078C069"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 Եթե դատավարության մասնակիցները միջնորդել են գործը քննել իրենց բացակայությամբ, արդյո՞ք դատարանն իրավասու է ծանուցել վերջիններիս դատական նիստին պարտադիր մասնակցելու վերաբերյալ, թե՞ դատարանը ՀՀ քաղաքացիական դատավարության օրենսգրքի 303-րդ հոդվածի 1-ին մասի 5-րդ կետի հիմքով պետք է կիրառի արագացված դատաքննություն։</w:t>
            </w:r>
          </w:p>
          <w:p w14:paraId="537A4DBE" w14:textId="77777777" w:rsidR="001C63AC" w:rsidRPr="00F2718E" w:rsidRDefault="001C63AC" w:rsidP="00A961C5">
            <w:pPr>
              <w:tabs>
                <w:tab w:val="left" w:pos="810"/>
                <w:tab w:val="left" w:pos="900"/>
              </w:tabs>
              <w:spacing w:line="360" w:lineRule="auto"/>
              <w:jc w:val="both"/>
              <w:rPr>
                <w:rFonts w:ascii="GHEA Grapalat" w:hAnsi="GHEA Grapalat"/>
                <w:i/>
                <w:lang w:val="hy-AM"/>
              </w:rPr>
            </w:pPr>
            <w:r w:rsidRPr="00F2718E">
              <w:rPr>
                <w:rFonts w:ascii="GHEA Grapalat" w:hAnsi="GHEA Grapalat"/>
                <w:i/>
                <w:lang w:val="hy-AM"/>
              </w:rPr>
              <w:t>Հարկ է նշել, որ դատական նիստին պարտադիր մասնակցելու դեպքերում դատական նիստին չներկայանալու համար որպես դատական սանկցիա տուգանք կիրառելն ինքնին չի ապահովում հաջորդ դատական նիստում դատավարության մասնակցի մասնակցությունը: Թեև նշված է, որ տուգանքի կիրառումը չի ազատում հաջորդ դատական նիստին ներկայանալու պարտականությունից, սակայն պարզ չէ, թե ինչ կառուցակարգերով է հնարավոր ապահովել հաջորդ դատական նիստին դատավարության մասնակցի մասնակցությունը:</w:t>
            </w:r>
          </w:p>
        </w:tc>
        <w:tc>
          <w:tcPr>
            <w:tcW w:w="7022" w:type="dxa"/>
            <w:gridSpan w:val="6"/>
          </w:tcPr>
          <w:p w14:paraId="17235F7B"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4312BA5D" w14:textId="6429C5B2"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16054473" w14:textId="586789EE" w:rsidR="00062D80" w:rsidRPr="00F2718E" w:rsidRDefault="00062D80" w:rsidP="00A961C5">
            <w:pPr>
              <w:tabs>
                <w:tab w:val="left" w:pos="810"/>
                <w:tab w:val="left" w:pos="900"/>
              </w:tabs>
              <w:spacing w:line="360" w:lineRule="auto"/>
              <w:jc w:val="both"/>
              <w:rPr>
                <w:rFonts w:ascii="GHEA Grapalat" w:hAnsi="GHEA Grapalat"/>
                <w:lang w:val="hy-AM"/>
              </w:rPr>
            </w:pPr>
          </w:p>
        </w:tc>
      </w:tr>
      <w:tr w:rsidR="001C63AC" w:rsidRPr="00F2718E" w14:paraId="7EA4F7E0" w14:textId="77777777" w:rsidTr="00F260E8">
        <w:trPr>
          <w:gridAfter w:val="1"/>
          <w:wAfter w:w="6" w:type="dxa"/>
        </w:trPr>
        <w:tc>
          <w:tcPr>
            <w:tcW w:w="7879" w:type="dxa"/>
          </w:tcPr>
          <w:p w14:paraId="4EA7533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7.</w:t>
            </w:r>
            <w:r w:rsidRPr="00F2718E">
              <w:rPr>
                <w:rFonts w:ascii="GHEA Grapalat" w:hAnsi="GHEA Grapalat"/>
                <w:lang w:val="hy-AM"/>
              </w:rPr>
              <w:tab/>
              <w:t>Նախագծի 4-րդ հոդվածի համաձայն՝ Օրենսգրքի 153-րդ հոդվածի 1-ին մասը լրացնել հետևյալ բովանդակությամբ 4-րդ կետով.</w:t>
            </w:r>
          </w:p>
          <w:p w14:paraId="04305AD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Հայաստանի Հանրապետության դատական օրենսգիրք սահմանադրական օրենքով նախատեսված հիմքերով դատարանն իրավունք ունի դատավարության մասնակցի, դատական նիստին ներկա այլ անձի նկատմամբ կիրառել հետևյալ սանկցիաները.</w:t>
            </w:r>
          </w:p>
          <w:p w14:paraId="4E19DF9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p>
          <w:p w14:paraId="51A39CD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իրավունքի իրականացման սահմանափակում:»:</w:t>
            </w:r>
          </w:p>
          <w:p w14:paraId="0CC5B18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6-րդ հոդվածով Օրենսգրքում լրացվող «Իրավունքի իրականացման սահմանափակում կիրառելու առանձնահատկությունները» վերտառությամբ 155.4-րդ հոդվածը սահմանում է հետևյալը.</w:t>
            </w:r>
          </w:p>
          <w:p w14:paraId="1738BA2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Հոդված 155.4. Իրավունքի իրականացման սահմանափակում կիրառելու առանձնահատկությունները</w:t>
            </w:r>
          </w:p>
          <w:p w14:paraId="764A146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Իրավունքի իրականացման սահմանափակումը դատավարության մասնակցի` որոշակի իրավունքների սույն օրենսգրքով սահմանված պարբերաբար չարաշահման դեպքում համապատասխան որոշմամբ դրանց իրականացման համար ժամանակային կամ քանակական պայմանների սահմանումն է:</w:t>
            </w:r>
          </w:p>
          <w:p w14:paraId="12FE848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Սույն հոդվածով նախատեսված դատավարական սանկցիան կարող է կիրառվել միայն հետևյալ իրավունքները պարբերաբար չարաշահելու դեպքում</w:t>
            </w:r>
            <w:r w:rsidRPr="00F2718E">
              <w:rPr>
                <w:rFonts w:ascii="Cambria Math" w:hAnsi="Cambria Math" w:cs="Cambria Math"/>
                <w:lang w:val="hy-AM"/>
              </w:rPr>
              <w:t>․</w:t>
            </w:r>
          </w:p>
          <w:p w14:paraId="492EC3F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գործի նյութերին ծանոթանալը, դրանց պատճեններ ստանալը, քաղվածքներ, լուսանկարներ, լուսապատճեններ և պատճեններ անելը,</w:t>
            </w:r>
          </w:p>
          <w:p w14:paraId="22200EC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բացարկ հայտնելը.</w:t>
            </w:r>
          </w:p>
          <w:p w14:paraId="42E2D4E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ապացույցներ ներկայացնելը,</w:t>
            </w:r>
          </w:p>
          <w:p w14:paraId="130EBD7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դատավարության մասնակիցներին հարցեր տալը,</w:t>
            </w:r>
          </w:p>
          <w:p w14:paraId="378781B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5) միջնորդություններ ներկայացնելը,</w:t>
            </w:r>
          </w:p>
          <w:p w14:paraId="6488B44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6) դիրքորոշում ներկայացնելը:</w:t>
            </w:r>
          </w:p>
          <w:p w14:paraId="6B79F83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Սույն հոդվածով նախատեսված դատավարական սանկցիայի կիրառումը չպետք է բացառի համապատասխան իրավունքի բուն իրացումը:</w:t>
            </w:r>
          </w:p>
          <w:p w14:paraId="413434B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Իրավունքի իրականացման սահմանափակումը դատական նիստում կիրառվելու դեպքում կայացվում է նույն դատական նիստում դատարանի արձանագրային որոշմամբ, որն ուժի մեջ է մտնում հրապարակման պահից, իսկ դատական նիստից դուրս կայացվելու դեպքում՝ առանձին դատական ակտի ձևով»:</w:t>
            </w:r>
          </w:p>
          <w:p w14:paraId="0AD6348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ՀՀ փաստաբանների պալատը Նախագծի վերը նշված դրույթների բովանդակության հետ սկզբունքայնորեն համաձայն չէ հետևյալ պատճառաբանությամբ. </w:t>
            </w:r>
          </w:p>
          <w:p w14:paraId="56AB05A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Նախագծի վերը նշված կարգավորումները մշակելիս հաշվի չեն առնվել </w:t>
            </w:r>
            <w:r w:rsidR="00D81677" w:rsidRPr="00F2718E">
              <w:rPr>
                <w:rFonts w:ascii="GHEA Grapalat" w:hAnsi="GHEA Grapalat"/>
                <w:lang w:val="hy-AM"/>
              </w:rPr>
              <w:t>հետևյալ առանձնահատկությունները.</w:t>
            </w:r>
          </w:p>
          <w:p w14:paraId="7A0497E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 Իրավունքի չարաշա</w:t>
            </w:r>
            <w:r w:rsidR="00D81677" w:rsidRPr="00F2718E">
              <w:rPr>
                <w:rFonts w:ascii="GHEA Grapalat" w:hAnsi="GHEA Grapalat"/>
                <w:lang w:val="hy-AM"/>
              </w:rPr>
              <w:t xml:space="preserve">հումը որպես իրավական վարքագիծ: </w:t>
            </w:r>
          </w:p>
          <w:p w14:paraId="1D43862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Նախագծում վերացականորեն օգտագործվում է «իրավունքի չարաշահում» հասկացությունն առանց հստակեցնելու իրավունքի չարաշահման դրսևորման կոնկրետ ձևերը: Հարկ է նկատի ունենալ, որ իրավունքի տեսությունում առավել ընդունելի է իրավական վարքագծի հետևյալ տեսակների առանձնացումը՝ իրավաչափ վարքագիծ, իրավախախտում, իրավունքի չարաշահում, օբյեկտիվորեն հակաիրավական (առանց մեղքի) վարքագիծ :</w:t>
            </w:r>
          </w:p>
          <w:p w14:paraId="427D6F5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Իրավախախտումը իրավական վարքագծի տեսակ է, որը հանրորեն վտանգավոր կամ վնասակար, հակաիրավական և մեղավորությամբ կատարված արարք է, որի համար օրենքով նախատեսված է պատասխանատվություն: Վերը նշված իրավական նորմերը մեկնաբանելիս պարզ է դառնում, որ իրավախախտման կազմը սահմանող արգելող իրավական նորմը պետք է լինի բավարար չափով որոշակի, որպեսզի անձը հստակ պատկերացում ունենա, թե որ վարքագիծը դրսևորելուց պետք է առհասարակ զերծ մնա, որ վարքագիծն է օրենքը դիտարկում որպես իրավախախտում և այն դրսևորելու համար  նախատեսում իրավաբանական պատասխանատվություն:</w:t>
            </w:r>
          </w:p>
          <w:p w14:paraId="61251DC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Իրավունքի չարաշահումը իրավական վարքագծի տեսակ է, որի դեպքում անձն օգտագործում է իր սուբյեկտիվ իրավունքը ի վնաս այլ անձանց, հասարակության և պետության շահերին: Ի տարբերություն, իրավախախտման, իրավունքի չարաշահման ժամանակ անձը օգտվում է իր իրավունքներից այլ անձանց վնաս տալու նպատակով: Իրավունքի չարաշահումը առաջին հայացքից իրավաչափ վարքագիծ է, քանի որ այն դրսևորող անձը օգտվում է իր իրավունքներից: Սակայն չպետք է մոռանալ, որ որևէ անձի սուբյեկտիվ իրավունքները բացարձակ բնույթ չեն կրում և ավարտվում են այնտեղ, որտեղ սկսվում են այլ անձի սուբյեկտիվ իրավունքները: Իրավունքի չարաշահման ոչ իրավաչափ վարքագիծ լինելու հետ մեկտեղ հարկ է նկատի ունենալ, որ ի տարբերություն իրավախախտման, իրավունքի չարաշահման համար չի կարող սահմանվել իրավաբանական պատասխանատվության միջոց:</w:t>
            </w:r>
          </w:p>
          <w:p w14:paraId="67F4CFA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Այն պահից սկսած, երբ որևէ ոչ իրավաչափ վարքագծի, այդ թվում իրավունքի չարաշահման համար սահմանվում է իրավաբանական պատասխանատվության միջոց, այդ վարքագիծը դադարում է իրավունքի չարաշահում համարվելուց և դառնում է իրավախախտում: Պատասխանատվության միջոց կարող է սահմանվել միայն իրավախախտման համար: </w:t>
            </w:r>
          </w:p>
          <w:p w14:paraId="35CE605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Իրավունքի չարաշահումը որպես բացասական երևույթ կարող է միայն պետության համար ազդակ լինել այդ չարաշահման կոնկրետ դրսևորումը օրենքով որպես իրավախախտում սահմանելու համար, բայց իրավունքի չարաշահումն ինքնին չի կարող իրավաբանական պատասխանատվության հիմք լինել: Պատահական չէ, որ ՀՀ սահմանադրության 39-րդ հոդվածում ևս ամրագրված է, որ ոչ ոք չի կարող կրել պարտականություններ, որոնք սահմանված չեն օրենքով: Պարտականության տեսակ է նաև անձի նկատմամբ նշանակված իրավաբանական պատասխանատվության ենթարկվելը:</w:t>
            </w:r>
          </w:p>
          <w:p w14:paraId="4953491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Հետևաբար անձի նկատմամբ իրավունքի չարաշահման կամ պարբերաբար չարաշահման համար չի կարող սահմանվել իրավունքի սահմանափակում՝ դատական սանկցիա: Բացի այդ, հարկ է նկատի ունենալ, որ եթե անգամ օրենքով նախատեսվում է պատասխանատվություն այն արարքի համար, որն ունի «իրավունքի չարաշահում» վերացական անվանումը, այսինքն՝ օրենքում որպես արգելված արարք է սահմանված «իրավունքի չարաշահում կատարելը», ապա արգելված արարքի բովանդակությունը խիստ անորոշ է: Դա նույն է, որ օրենքով պատասխանատվություն սահմանվի «իրավախախտում կատարելու համար», այլ կերպ ասած դա նույնն է, որ ՀՀ քրեական օրենսգրքի կամ ՀՀ վարչական իրավախախտումների վերաբերյալ օրենսգրքի հատուկ մասում սահմանված կոնկրետ հանցակազմի կամ զանցակազմի վերաբերյալ իրավական նորմի դիսպոզիցիայում նշված լինի «հանցանք կատա</w:t>
            </w:r>
            <w:r w:rsidR="002B13C0" w:rsidRPr="00F2718E">
              <w:rPr>
                <w:rFonts w:ascii="GHEA Grapalat" w:hAnsi="GHEA Grapalat"/>
                <w:lang w:val="hy-AM"/>
              </w:rPr>
              <w:t>րելը» կամ «</w:t>
            </w:r>
            <w:r w:rsidRPr="00F2718E">
              <w:rPr>
                <w:rFonts w:ascii="GHEA Grapalat" w:hAnsi="GHEA Grapalat"/>
                <w:lang w:val="hy-AM"/>
              </w:rPr>
              <w:t>վարչական իրավախախտում կատարելը», առանց հստակեցնելու այդ իրավախատման դրսևորման կոնկրե</w:t>
            </w:r>
            <w:r w:rsidR="002B13C0" w:rsidRPr="00F2718E">
              <w:rPr>
                <w:rFonts w:ascii="GHEA Grapalat" w:hAnsi="GHEA Grapalat"/>
                <w:lang w:val="hy-AM"/>
              </w:rPr>
              <w:t>տ ձևը, արարքի բովանդակությունը:</w:t>
            </w:r>
          </w:p>
          <w:p w14:paraId="1B28D75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 Պատասխանատվություն հիմք հանդիսացող գործողությունը և այդ հիմքը սահմանող</w:t>
            </w:r>
            <w:r w:rsidR="002B13C0" w:rsidRPr="00F2718E">
              <w:rPr>
                <w:rFonts w:ascii="GHEA Grapalat" w:hAnsi="GHEA Grapalat"/>
                <w:lang w:val="hy-AM"/>
              </w:rPr>
              <w:t xml:space="preserve"> նորմը զուրկ է որոշակիությունից</w:t>
            </w:r>
          </w:p>
          <w:p w14:paraId="08DB185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39-րդ հոդվածի 1-ին մասի 2-րդ նախադասության համաձայն՝ ոչ ոք չի կարող կրել պարտականություններ, որոնք սահմանված չեն օրենքով:</w:t>
            </w:r>
          </w:p>
          <w:p w14:paraId="5841069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ՀՀ սահմանադրության 79-րդ հոդվածի 1-ին մասի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p>
          <w:p w14:paraId="51A5970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14:paraId="58A0DEA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սահմանադրական դատարանը 2022 թվականի ապրիլի 29-ին կայացված թիվ ՍԴՈ-1646 որոշմամբ նշել է հետևյալը.</w:t>
            </w:r>
          </w:p>
          <w:p w14:paraId="2E89D1E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w:t>
            </w:r>
          </w:p>
          <w:p w14:paraId="7847729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  (ՍԴՈ-753),</w:t>
            </w:r>
          </w:p>
          <w:p w14:paraId="6803467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ՀՀ սահմանադրական դատարանը 2021 թվականի դեկտեմբերի 23-ին կայացված թիվ ՍԴՈ-1621 որոշմամբ նշել է հետևյալը. </w:t>
            </w:r>
          </w:p>
          <w:p w14:paraId="60B2638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Օրենքը դիտարկելով որպես պարտականության սահմանման (իրավունքի սահմանափակման) իրավական ձև՝ սահմանադիրը կանխորոշել է սահմանափակումների հիմքերը և ծավալը, ինչպես նաև բավարար չափով որոշակի լինելը: Դա ենթադրում է, որ անձի համար պարտականություն սահմանելիս օրենսդիրը պարտավոր է օրենքով բավարար հստակությամբ սահմանել այդ պարտականության հիմքը և ծավալը: Հիշատակված սահմանադրաիրավական չափորոշիչներին բավարարող օրենքի կատարումն ապահովելու նպատակով Սահմանադրության 6-րդ հոդվածի 2-րդ մասի ուժով օրենսդիրն օժտված է Սահմանադրությամբ նախատեսված համապատասխան մարմիններին ենթաօրենսդրական նորմատիվ իրավական ակտեր ընդունելը լիազորելու հայեցողությամբ, որոնք իրենց բնույթով կկոնկրետացնեն օրենքով սահմանված պարտականությունների իրավական բովանդակությունը:</w:t>
            </w:r>
          </w:p>
          <w:p w14:paraId="36A1CD6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 իրավական նորմը ՀՀ սահմանադրական դատարանի որոշումների հետ համակարգային մեկնաբանելու արդյունքում կարելի է հանգել այն եզրակացության, որ մարդու իրավունքները սահմանափակելու կամ նրա համար պարտականություններ սահմանելու իրավական ձևը օրենքի ընդունումն է: Մարդու իրավունքները հնարավոր է սահմանափակել միայն օրենքով և դրանում բավարար հստակությամբ պետք է նշված լինի այդ սահմանափակումների հիմքերը և ծավալը: Միայն նշված պահանջը բավարարող օրենքի կատարումն ապահովելու համար Սահմանադրությամբ նախատեսված մարմինը կարող է ընդունել ենթաօրենսդրական նորմատիվ իրավական ակտեր, որոնք կոնկրետացնում են օրենքով արդեն իսկ սահմանված պարտականությունների բովանդակությունը:</w:t>
            </w:r>
          </w:p>
          <w:p w14:paraId="785280B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Մարդու իրավունքը սահմանափակող իրավական նորմը չի կարող «օրենք» համարվել, եթե չի համապատասխանում իրավական որոշակիության (res judicata) սկզբունքին: Օրենքը պետք է հնարավորություն ընձեռնի իրավաբանական և ֆիզիկական անձանց համապատասխանեցնել իրենց վարքագիծը այդ օրենքի պահանջներին, իսկ օրենքի կատարումն ապահովող պետական մարմիններին կոնկրետացնել օրենքով սահմանված պարտականության բովանդակությունը, ինչն այդ պետական մարմինը կարող է իրականացնել օրենքում միայն հիմք ընդունելով օրենքում բավարար աստիճանի հստակությամբ սահմանված իրավունքի սահմանափակման հիմքերը և ծավալները:</w:t>
            </w:r>
          </w:p>
          <w:p w14:paraId="102126E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Վերլուծելով ՀՀ սահմանադրության 79-րդ հոդվածը կարող ենք հանգել այն եզրակացության, որ.</w:t>
            </w:r>
          </w:p>
          <w:p w14:paraId="62DE42C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Հիմնական իրավունքները կարող են սահմանափակվել միայն օրենքով:</w:t>
            </w:r>
          </w:p>
          <w:p w14:paraId="03B3FA5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Օրենքում պետք է նշված լինի հիմնական իրավունքի սահմանափակման հիմքը:</w:t>
            </w:r>
          </w:p>
          <w:p w14:paraId="2A97009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Օրենքում նշված իրավունքի սահմանափակման հիմքը պետք է լինի բավարար չափով որոշակի:</w:t>
            </w:r>
          </w:p>
          <w:p w14:paraId="7DFDA04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Սահմանափակման հիմքը պետք է հնարավորություն ընձեռնի հասցեատիրոջը դրսևորել համապատասխան վարքագիծ:</w:t>
            </w:r>
          </w:p>
          <w:p w14:paraId="05FAA95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Տվյալ դեպքում, «իրավունքների իրականացման սահմանափակում» դատական սանկցիան կիրառելու, այսինքն մարդու արդյունավետ դատական պաշտպանության և արդար դատաքննության իրավունքը սահմանափակելու հիմքը «որոշակի իրավունքների պարբերաբար չարաշահումն է»: Նշենք, որ նշված նորմը հնարավորություն չի ընձեռնում հասցեատիրոջը դրսևորելու համապատասխան վարքագիծ: Պարզ չէ թե ինչ է նշանակվում չարաշահում: Նախագծի քննարկվելիք իրավակարգավորմամբ դատավարության մասնակիցների վրա դրվում են անորոշ և վերացական պարտականություններ: Եթե նույնիսկ «որոշակի իրավունքների պարբերաբար չարաշահումը» դիտարկվում է որպես իրավախախտում, ինչով և պայմանվորված է դրա համար պատասխանատվություն սահմանելը, ապա Նախագծով պետք է հստակ սահմանել իրավունքների չարաշահման կոնկրետ դրսևորումները, թե կոնկրետ որ գործողություններ են համարվում իրավունքի պարբերաբար չարաշահում:  Փաստորեն դատարանը ստանում է հնարավորություն դատավարության մասնակիցներին պատասխանատվության ենթարկել մի վարքագծի համար, որի բովանդակությունը անորոշ է, իսկ հասկացությունը վերացական և խիստ գնահատողական:</w:t>
            </w:r>
          </w:p>
          <w:p w14:paraId="7C3E8D6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Հետևաբար մարդու արդար դատաքննության հիմնարար իրավունքը կարող է սահմանափակվել և պատասխանատվություն կարող է սահմանվել միայն օրենքով, պայմանով, որ այդ օրենքը կհամապատասխանի որոշակիության սկզբունքին, լինելով բավարար չափով որոշակի և հնարավորություն տալով անձին դրսևորելու համապատասխան վարքագիծ:</w:t>
            </w:r>
          </w:p>
          <w:p w14:paraId="06C451E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 Գ. Փաստաբանական գործունեության ազատությանը չհիմնավորված միջամտությունը</w:t>
            </w:r>
          </w:p>
          <w:p w14:paraId="3486297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Սահմանադրության 64-րդ հոդվածի 2-րդ մասը սահմանում է, որ 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 Փաստաբանների կարգավիճակը, իրավունքները և պարտականությունները սահմանվում են օրենքով:</w:t>
            </w:r>
          </w:p>
          <w:p w14:paraId="19F07B7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«Փաստաբանության մասին» օրենքի 17-րդ հոդվածը սահմանում է՝</w:t>
            </w:r>
          </w:p>
          <w:p w14:paraId="39BD4C8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Իրավաբանական օգնություն ցույց տալու ժամանակ փաստաբանը`</w:t>
            </w:r>
          </w:p>
          <w:p w14:paraId="2E2E087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կազմում է դիմումներ, բողոքներ, գանգատներ, միջնորդություններ և իրավական բնույթի այլ փաստաթղթեր, ինչպես նաև դրանց նախագծեր.</w:t>
            </w:r>
          </w:p>
          <w:p w14:paraId="3707E89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3) որպես վստահորդի ներկայացուցիչ մասնակցում է քաղաքացիական և վարչական դատավարությանը, մասնակցում է գործի քննությանը Հայաստանի Հանրապետության սահմանադրական դատարանում.</w:t>
            </w:r>
          </w:p>
          <w:p w14:paraId="4572D28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Դատարանի կողմից «որոշակի դատավարական իրավունքների սահմանափակում» դատական սանկցիան փաստաբանների նկատմամբ կիրառելու դեպքում ուղղակիորեն խախտվում է փաստաբանների՝ իրավաբանական օգնություն տրամադրելու իրավունքը, ինչն էլ իր հերթին հանգեցնում է իրավաբանական օգնություն ստանալու անձի հիմնարար սահմանադրական իրավունքի խախտման: </w:t>
            </w:r>
          </w:p>
          <w:p w14:paraId="61027D0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Ըստ էության դատարանին հնարավորություն է տրվում սահմանափակել փաստաբանների ելույթ ունենալու, միջնորդություն ներկայացնելու և անգամ ապացույց ներկայացնելու իրավունքը, որպիսի պարագայում փաստաբանը չի ունենալու իրավական օգնություն տրամադրելու օբյեկտիվ հնարավորություն, ինչի արդյունքում նրա մասնակցությունը դատական գործընթացներին կրելու է ձևական բնույթ, իսկ քաղաքացիներն էլ զրկվելու են իրենց սահմանադրական հիմնարար իրավունքից:</w:t>
            </w:r>
          </w:p>
          <w:p w14:paraId="37841B9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Պետք է նշենք նաև, որ ՀՀ Սահմանադրական դատարանն անդրադարձել է իրավական օգնության տրամադրման ինստիտուտի սահմանադրաիրավական բովանդակությանն իր 08.10.2013թ. ՍԴՈ 1119 որոշմամբ, որը թեև վերաբերում է նախկին խմբագրությամբ Սահմանադրությանը, սակայն բովանդակային առումով նույն ինստիտուտը իր նույն սահմանադրաիրավական բովանդակությամբ տեղ է գտել նաև 2015թ. խմբագրությամբ Սահմանադրության մեջ:</w:t>
            </w:r>
          </w:p>
          <w:p w14:paraId="622233D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Այսպես, նշված որոշմամբ ՀՀ Սահմանադրական դատարանը նշել է. «Անդրադառնալով Սահմանադրության 20-րդ հոդվածի 1-ին մասի 1-ին նախադասությամբ ամրագրված, ի թիվս այլնի, պաշտպանի միջոցով իրավաբանական օգնություն ստանալու իրավունքին և հաշվի առնելով այն հանգամանքը, որ նշված իրավունքը վերջին հաշվով ուղղված է դատարանների և պետական այլ մարմինների առջև իրավունքի սուբյեկտի օրինական շահերի իրավական պաշտպանությանը, սահմանադրական դատարանը գտնում է, որ դիտարկվող իրավունքը ենթադրում է իրավաբանական օգնության լիարժեքություն, ինչը պայմանավորված է պաշտպանի կողմից իրավաբանական օգնություն տրամադրելու պարտականության իրականացման արդյունավետությամբ` հաշվի առնելով տվյալ իրավունքի` Սահմանադրության 43-րդ հոդվածի 1-ին մասում ամրագրված հիմքերով սահմանափակման հնարավորությունը: Ըստ այդմ էլ, Սահմանադրության 20-րդ հոդվածի 1-ին մասի 1-ին նախադասությամբ ամրագրված` դիտարկվող իրավունքին համապատասխանում է պետության պարտականությունը` թե՛ օրենսդրական մակարդակում, թե՛ իրավակիրառ պրակտիկայում երաշխավորել պաշտպանի կողմից իրավաբանական օգնություն տրամադրելու պարտականության արդյունավետ իրականացումը, իսկ որևէ խոչընդոտ առաջանալու դեպքում քայլեր ձեռնարկել դրանք վերացնելու ուղղությամբ:</w:t>
            </w:r>
          </w:p>
          <w:p w14:paraId="552C62E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Միաժամանակ, սույն գործի քննության շրջանակներում սահմանադրական դատարանը գտնում է, որ պետական մարմինների առջև իրավական պաշտպանության և իրավաբանական օգնություն ստանալու իրավունքների իրացմանն օրենսդրորեն կարող են առաջադրվել որոշակի պահանջներ կամ նշված իրավունքների իրացման կարգերը կարող են պարունակել որոշակի ձևական պայմաններ, որոնք, սակայն, չպետք է լինեն այն ծավալով, որ անարդյունավետ դարձնեն այդ իրավունքների իրացումը, խեղաթյուրեն դրանց էությունը կամ վերածվեն իրավունքի այնպիսի սահմանափակման, որը չի հետապնդում որևէ իրավաչափ նպատակ:»</w:t>
            </w:r>
          </w:p>
          <w:p w14:paraId="22DA110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Սահմանադրական դատարանը իրավական օգնության տրամադրման իրավունքին անդրադարձել է նաև իր մեկ այլ՝ 05.04.2016թ. թիվ ՍԴՈ–1263 որոշմամբ, որով մասնավորապես հայտնել է հետևյալ իրավական դիրքորոշումը. «Միաժամանակ, Սահմանադրական դատարանը գտնում է, որ միայն փաստաբանի միջոցով դատական ներկայացուցչության իրականացման օրենսդրական պահանջն ամրագրելով` օրենսդիրը ոչ միայն ապահովում է Սահմանադրության 64-րդ հոդվածի 1-ին մասում ամրագրված իրավաբանական օգնություն ստանալու իրավունքի երաշխավորման իր պոզիտիվ պարտականությունը, այլև երաշխավորում է որակյալ իրավաբանական օգնություն՝ դրանով իսկ երաշխավորելով իրավական պետությանը հարիր՝ արդյունավետ դատական պաշտպանության իրավունքը՝ ամրագրված Սահմանադրության 61-րդ հոդվածի 1-ին մասում: Ինքնանպատակ չէ այն հանգամանքը, որ ի տարբերություն 2005թ. խմբագրությամբ ՀՀ Սահմանադրության 20-րդ հոդվածի, որի 1-ին մասի 1-ին նախադասությամբ ամրագրված դրույթով սահմանված էր իրավաբանական օգնություն ստանալու իրավունքը, 2015թ. խմբագրությամբ ՀՀ Սահմանադրության 64-րդ հոդվածը, որը վերաբերում է դիտարկվող իրավունքին, պարունակում է 2-րդ մաս, որի 1-ին նախադասությամբ ամրագրված է հետևյալ դրույթը. «Իրավաբանական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 Դրանով իսկ պետությունն ընդլայնել է որակյալ իրավաբանական օգնություն ցուցաբերելու իր պոզիտիվ պարտականության շրջանակները՝ սահմանադրական մակարդակի բարձրացնելով փաստաբանության՝ որպես որակյալ իրավաբանական օգնություն տրամադրող ինստիտուտի դերը:»:</w:t>
            </w:r>
          </w:p>
          <w:p w14:paraId="22CD0C3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Վերոգրյալը հաշվի առնելով, կարող ենք փաստել, որ առաջարկվող փոփոխությունն ուղղակիորեն հակասում է ՀՀ Սահմանադրությանը, ՀՀ Սահմանադրական դատարանի նախկինում հայտնած իրավական դիրքորոշմանը և չի կարող տեղ գտնել իրեն իրավական համարող պետության օրենսդրության մեջ:</w:t>
            </w:r>
          </w:p>
          <w:p w14:paraId="2F5A9AC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Միաժամանակ հարկ է նկատի ունենալ, որ ՀՀ քաղաքացիական դատավարության օրենսգրքի 12-րդ հոդվածի համաձայն՝ գործին մասնակցող անձն իրականացնում է իր դատավարական իրավունքները, տնօրինում է դատական պաշտպանության միջոցները և եղանակները սեփական հայեցողությամբ՝ օրենքով սահմանված կարգով:</w:t>
            </w:r>
          </w:p>
          <w:p w14:paraId="41F0CDB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Պալատի ընդհանուր ժողովի 2019 թվականի հոկտեմբերի 19-ի թիվ 1-Լ որոշմամբ հաստատված փաստաբանի վարքագծի կանոնագրքի (այսուհետ՝ Կանոնագիրք) 2.7.1 ենթակետի համաձայն՝ փաստաբանական գործունեության հասարակական-իրավական նշանակությունը փաստաբանից պահանջում է բարձր մասնագիտական պատրաստվածություն, օրենսդրության իմացություն և գործնական փորձ, փաստաբանական գործունեության մարտավարության մեթոդների և միջոցների, ինչպես նաև հռետորական արվեստի տիրապետում:</w:t>
            </w:r>
          </w:p>
          <w:p w14:paraId="4E109DE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Բանն այն է, որ փաստաբանի կողմից որոշակի գործողությունների կատարումն ինքնին գնահատել որպես իրավունքի չարաշահում անթույլատրելի է, քանի որ դրանով կվերանա իրավունքում ստեղծագործական մոտեցումը, տնօրինչականությունը, մարտավարության մեթոդների ազատ ընտրությունը, մրցակցությունը: Փաստաբանը կաշկանդված կլինի իր գործողությունները իրավունքի չարաշահում որակելու վտանգից: </w:t>
            </w:r>
          </w:p>
          <w:p w14:paraId="6E86782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այդ, դատարանը չի կարող որոշել, թե ինչպես պետք է դատավարության մասնակիցը կամ նրա փաստաբանը օգտվի իր դատավարական իրավունքներից: Մասնավորապես դատարանը չի կարող որոշել, թե տվյալ անձի իրավունքների արդյունավետ պաշտպանության համար ինչ գործողություններ պետք է կատարվեն, ինչ հերթականությամբ, ինչ պարբերականությամբ, որ պահին: Նման իրավական նորմերի սահմանումը զրկում է փաստաբանին իր վստահորդի գործով ազատ ընտրելու փաստաբանական գործունեության մարտավարության մեթոդները և միջոցները և օգտվելու օրենքով չարգելված իրավական պաշտպանության միջոցներից:</w:t>
            </w:r>
          </w:p>
          <w:p w14:paraId="37BBD30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Նման պայմաններում առկա է վտանգ, որ իրավունքի պարբերաբար չարաշահման համար պատասխանատվություն նախատեսելը կստիպի դատավարության մասնակիցներին և նրանց ներկայացուցիչներին իրականացնել սակավ դատավարական գործողություններ, կազմել պասիվ մարտավարություն, պարտվել դատական պրոցեսը, հանուն նրա, որպեսզի իրենց գործողությունները չգնահատվեն որպես իրավունքի պարբերաբար չարաշահում</w:t>
            </w:r>
          </w:p>
          <w:p w14:paraId="3B9B4DD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 Պարբերականության անորոշությունը:</w:t>
            </w:r>
          </w:p>
          <w:p w14:paraId="500627F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Նախագծով սահմանված չէ, թե ինչ հաճախականությամբ է որոշվում «իրավունքների չարաշահման» պարբերաբար լինելը: Կարծում ենք նախագծում պետք է բացահայտել առնվազն քանի անգամ անձը պետք է չարաշահի իր իրավունքները, որպեսզի այն համարվի «պարբերաբար»: Պարզ չէ նաև այն հարցը, թե խոսքը միևնույն իրավունքի չարաշահումը առնվազն որոշակի քանակով կատարելն է համարվելու իրավունքի չարաշահում, թե տարբեր տեսակի իրավունքների նվազագույն քանակով չարաշահումն է համարվում իրավունքի պարբերաբար չարաշահում:</w:t>
            </w:r>
          </w:p>
          <w:p w14:paraId="1737258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Ե. Գործի նյութերին ծանոթանալու իրավունքի սահմանափակման սանկցիայի անթույլատրելիությունը</w:t>
            </w:r>
          </w:p>
          <w:p w14:paraId="39A7E29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1-ին կետի համաձայն՝ գործին մասնակցող անձինք, սույն օրենսգրքի և այլ օրենքների պահանջների պահպանմամբ, իրավունք ունեն ծանոթանալու գործի նյութերին, ստանալու դրանց պատճենները, գործի նյութերից անելու քաղվածքներ, լուսանկարներ, լուսապատճեններ և պատճեններ։</w:t>
            </w:r>
          </w:p>
          <w:p w14:paraId="78ABC0C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վարչական դատավարության օրենսգրքի 18-րդ հոդվածի 1-ին մասի 1-ին կետի համաձայն՝ կողմերն իրավունք ունեն` ծանոթանալու գործի նյութերին, ստանալու դրանց պատճենները, գործի նյութերից անելու քաղվածքներ, լուսանկարներ, լուսապատճեններ և պատճեններ:</w:t>
            </w:r>
          </w:p>
          <w:p w14:paraId="7010301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ՄԻԵԴ դիրքորոշման համաձայն՝ մրցակցային դատավարության իրավունքը պետք է դրսևորվի բավարար պայմաններում. կողմը պետք է հնարավորություն ունենա ծանոթանալ դատարանին ներկայացված ապացույցին, ինչպես նաև հնարավորություն ունենա ներկայացնելու դրա թույլատրելիության և վերաբերելիության վերաբերյալ մեկնաբանություններ պատշաճ ձևով և պատշաճ ժամանակահատվածում՝ անհրաժեշտության դեպքում ստանալով լրացուցիչ ժամանակ (Krčmář-ն ընդ¬դեմ Չեխիայի Հանրապետության, 2000, § 42, Immeubles Groupe Kosser-ն ընդդեմ Ֆրանսիայի, 2002, § 26, Yvon-ն ընդդեմ Ֆրանսիայի, 2003, § 39)։</w:t>
            </w:r>
          </w:p>
          <w:p w14:paraId="3810F3F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Նշված իրավական դիրքորոշումների համատեքստում, գործի նյութերին ծանոթանալը, դրանց պատճեններ ստանալը, քաղվածքներ, լուսանկարներ, լուսապատճեններ և պատճեններ անելը մրցակցային դատավարության պայմաններում առանցքային նշանակություն ունեն, քանի որ միայն գործի նյութերին ծանոթ լինելու պայմաններում դատավարության մասնակիցը կարող է իր իրավունքները պատշաճ պաշտպանել։</w:t>
            </w:r>
          </w:p>
          <w:p w14:paraId="7D6CF57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Նախագծի հեղինակները չեն հիմնավորել, թե տվյալ իրավունքից օգտվելն ինչպես է ավելորդ ծանրաբեռնում դատավարության սուբյեկտներին, այդ թվում՝ դատարանին և աշխատակազմին։ </w:t>
            </w:r>
          </w:p>
          <w:p w14:paraId="5811DE2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Եթե գործի նյութերին ծանոթանալու իրավունքի սահմանափակումը հիմնավորվում է նրանով, որ դատարանի կազմը լրացուցիչ աշխատանք է կատարում, որպեսզի պատճենահանի փաստաթղթերը  կամ դատավարության մասնակցի կողմից գործի նյութերին ծանոթանալու ամբողջ ընթացքում ներկա գտնվի, ապա դատարանի համար համապատասխան աշխատակազմ ապահովելը պետության (դատարանի) պարտականությունն է։ Դատավարության մասնակիցը չունի և չի կարող ունենալ դատա-րանի աշխատակազմին «ավելորդ չծանրաբեռնելու» խնդիր կամ հոգս։ Դատավարության մասնակիցը կրում է դատական ծախսեր, որոնց դիմաց իրավունք ունի ստանալ այն անհրաժեշտ նյութերը, որոնք անհրաժեշտ են իր իրավունքների պատշաճ պաշտպանությունը կազմակերպելու համար։ Ավելին, դատավարության մասնակիցը պետք է իրավունք ունենա ծանոթանալու գործի նյութերին՝ այնքան ժա-մանակահատվածով և այնքան անգամ, որքան որ անհրաժեշտ է համարում։</w:t>
            </w:r>
          </w:p>
          <w:p w14:paraId="408444D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հակակոռուպցիոն դատարանը գործերից մեկով ավելի վաղ նշանակված դատական նիստի հիմքով ներկայացված՝ դատական նիստը հետաձգելու փաստաբանի միջնորդությունը մերժել է՝ պատճառաբանելով, որ «փաստաբանը թող վերցնի այնքան գործ, որքան որ թույլ է տալիս իր ծանրաբեռնվածությունը»։</w:t>
            </w:r>
          </w:p>
          <w:p w14:paraId="2D51378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Նման պայմաններում պետությունը պարտավոր է դատարաններին ապահովել այնքան դատավորներով կամ այլ աշխատակիցներով, կամ պարտավոր է յուրաքանչյուր դատավորին մակագրել այնքան գործ, որքան որ դատավորը կարող է հասցնել քննել՝ անձի արդար դատաքննության իրավունքը և դատավարական իրավունքների իրականացումն ապահովելով, այլ ոչ թե սահմանափակելով։</w:t>
            </w:r>
          </w:p>
          <w:p w14:paraId="1FCB3C7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Ավելին, եթե գործի նյութերին ծանոթանալու իրավունքի սահմանափակումը հիմնավորվում է նրանով, որ դատավարության մասնակիցն անբարեխիղճ վարքագծի արդյունքում չի ծանոթացել գործի նյութերին և միջնորդում է այդ հիմքով հետաձգել դատական նիստը մեկից ավելի անգամ, ապա տվյալ դեպքում դատարանն իրավունք ունի դատական նիստի հետաձգման հիմքը հարգելի չհամարել և շարունակել այն։</w:t>
            </w:r>
          </w:p>
          <w:p w14:paraId="52DA4FB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այդ, հարկ է նշել, որ դատավարության մասնակիցը կարող է ցանկացած պահին ծանոթանալ գործի նյութերին, քանի որ գործի նյութերի ծավալը յուրաքանչյուր դատավարական գործողությունից հետո փոփոխվում է, իսկ մասնակիցը կարող է պատշաճ ծանուցման, որպես փաստաբան նոր ներգրավված լինելու կամ այլ խնդիրներ առաջանալու հետևանքով տեղեկացված չլինի տվյալ գործով վերջին փոփոխություններից, կայացված դատական ակտերից, ներկայացված դատավարական փաստաթղթերից, ապացույցներից և այլն: Հատկապես, երբ խոսքը վերաբերվում է գրավոր կարգով քննվող գործերին, երբ առանց դատական նիստ նշանակվելու կայացվում են որոշումներ, որոնք հաճախ չեն ուղարկվում հասցեատերերին կամ պատշաճ ծանուցման խնդիրներ են առաջանում և այդ որոշումները չեն հասնում իրենց հասցեատերերին:</w:t>
            </w:r>
          </w:p>
          <w:p w14:paraId="1C3197D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Միաժամանակ հարկ է նկատի ունենալ, որ գործնականում լինում են դեպքեր, երբ փաստաբանը գործի նյութերին պարբերաբար է ծանոթանում ոչ իր մեղքով, քանի որ դատավորի աշխատակազմի աշխատակիցը գործի նյութերը ամբողջությամբ չի ներկայացնում և հետագայում փաստաբանը ստիպված է լինում լրացուցիչ անգամ ծանոթանալ գործի նյութերին: </w:t>
            </w:r>
          </w:p>
          <w:p w14:paraId="359BFEC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Զ. Բացարկ հայտնելու իրավունքի սահմանափակման սանկցիայի անթույլատրելիությունը</w:t>
            </w:r>
          </w:p>
          <w:p w14:paraId="3C8B18E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2-րդ կետի համաձայն՝ գործին մասնակցող անձինք, սույն օրենսգրքի և այլ օրենքների պահանջների պահպան¬մամբ, իրավունք ունեն հայտնելու բացարկ։</w:t>
            </w:r>
          </w:p>
          <w:p w14:paraId="3F47174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ՄԻԵԴ դիրքորոշմամբ՝ որպեսզի հասարակությունը դատարանների նկատմամբ ունենա անհրաժեշտ վստահություն, պետք է հաշվի առնվեն ներքին կազմակերպական խնդիրներին առնչվող հար¬ցերը։ Անկողմնակալությունն ապահովող ներքին ընթացակարգերի առկայությունը, մասնավորապես՝ ինքնաբացարկը կարգավորող կանոնները (տե՛ս դատավորների անկողմնակալությունը վիճարկելու մասին հատուկ դրույթները Micallef-ն ընդդեմ Մալթայի [ՄՊ], 2009, §§ 99-100)։</w:t>
            </w:r>
          </w:p>
          <w:p w14:paraId="25540171" w14:textId="4312D48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Նման կանոնները վկայում են, որ օրենսդիրը ձգտում է ազատվել դատավորի կամ դատարանի անկողմնակալության առնչությամբ բոլոր հիմնավոր կասկածներից և փորձում է ապահովել անկողմնակալությունը՝ վերացնելով այդ առթիվ առաջացող մտահոգությունների պատճառները։ Փաստացի կանխակալության ու կողմնակալության ցանկացած արտաքին դրսևորման բացառումը նպաստում են վստահության ձևավորմանը, որը դատարանները պետք է վայելեն ժողովրդական հասարակությունում (Mežnarić-ն ընդդեմ Խորվաթիայի, 2005, § 27 և A.K.-ն ընդդեմ Լիխտենշտայնի, 2015։</w:t>
            </w:r>
          </w:p>
          <w:p w14:paraId="22C803F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օրենսդիր և գործադիր իշխանության ներկայացուցիչները, ինչպես նաև՝ ՀՀ Բարձրագույն դատական խորհրդի պաշտոնատար անձինք ներկայումս պարբերաբար հրապարակումներ են կատարում դատարանների նկատմամբ վստահությունը բարձրացնելու և ՀՀ ժողովրդավարացման անհրաժեշտության, ինչպես նաև այդ ուղղությամբ կատարվող քայլերի մասին։</w:t>
            </w:r>
          </w:p>
          <w:p w14:paraId="6E4C481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 հակադրություն վերոնշյալի՝ շրջանառվում է Նախագիծը, որով սահմանափակվում է բացարկ հայտնելու անձի իրավունքը, ինչն ընդհանրապես չի բխում դատարանների նկատմամբ վստահությունը բարձրացնելու ռազմավարությունից։</w:t>
            </w:r>
          </w:p>
          <w:p w14:paraId="7F76406A" w14:textId="27A6E130"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Որպես Նախագծի հիմնավորում՝ ներկայացվում է իրավունքի չարաշահումը կանխելու նպատակը, մինչդեռ ՀՀ քաղաքացիական դատավարության օրենսգրքով արդեն իսկ նախատեսված են նմանատիպ իրավիճակների համար անհրաժեշտ կարգավորումներ։</w:t>
            </w:r>
          </w:p>
          <w:p w14:paraId="76922D3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Մասնավորապես, ՀՀ քաղաքացիական դատավարության օրենսգրքի 152-րդ հոդվածի 6-րդ մասի համաձայն՝ նույն հիմքով միջնորդություն կրկին ներկայացնելն արգելվում է, բացառությամբ սույն օրենսգրքի 170-րդ հոդվածի 7-րդ մասով նախատեսված դեպքի: Նախկինում մերժված միջնորդությունը նույն փաստական հիմքով ներկայացվելու դեպքում չի քննարկվում, որի մասին միջնորդությունը ներկայացրած անձը տեղեկացվում է ոչ ուշ, քան հաջորդ օրը։</w:t>
            </w:r>
          </w:p>
          <w:p w14:paraId="60DCDFC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Այսպիսով, եթե անձը բացարկ է հայտնում նույն փաստական հիմքով, որն արդեն իսկ ներկայացվել էր նախկինում, դատարանը, ղեկավարվելով վերոնշյալ իրավական նորմով, չի քննարկում ներկայացված միջնորդությունը։</w:t>
            </w:r>
          </w:p>
          <w:p w14:paraId="1480F46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Ավելին, ՀՀ քաղաքացիական դատավարության օրենսգրքի 29-րդ հոդվածի 5-րդ մասը սահմանում է, որ նույն հիմքով հայտնված բացարկը ենթակա չէ քննության, եթե չի ներկայացվել բացարկի հիմքը հիմնավորող նոր ապացույց:</w:t>
            </w:r>
          </w:p>
          <w:p w14:paraId="322D3F4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 Է. Ապացույցներ ներկայացնելու իրավունքի սահմանափակման սանկցիայի անթույլատրելիությունը</w:t>
            </w:r>
          </w:p>
          <w:p w14:paraId="0CE2610A" w14:textId="7EB45FF5"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3-րդ կետի համաձայն՝ գործին մասնակցող անձինք, սույն օրենսգրքի և այլ օրենքների պահանջների պահպանմամբ, իրավունք ունեն ներկայացնելու ապացույցներ և մասնակցելու դրանց հետազոտմանը։</w:t>
            </w:r>
          </w:p>
          <w:p w14:paraId="63B17DF8" w14:textId="68D2346F"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63-րդ հոդվածի 2-րդ և 3-րդ մասերի համաձայն՝ գործին մասնակցող անձը պարտավոր է մինչև ապացուցման պարտականությունը բաշխելու մասին որոշմամբ սահմանված ժամկետի ավարտն առաջին ատյանի դատարանի և գործին մասնակցող մյուս անձանց առջև բացահայտել ու հնարավորության դեպքում տրամադրել տվյալ պահին իրեն հայտնի այն ապացույցները, որոնց վրա նա հղում է կատարում որպես իր պահանջների և առարկությունների ապացուցման հիմք:</w:t>
            </w:r>
          </w:p>
          <w:p w14:paraId="2B3A7BE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Առաջին ատյանի դատարանն ապացուցման պարտականությունը բաշխելու մասին որոշմամբ սահմանված ժամկետի ավարտից հետո գործին մասնակցող անձի ներկայացրած լրացուցիչ ապացույցն ընդունում է, իսկ ապացույց ձեռք բերելուն ուղղված միջնորդությունը բավարարում է, եթե դրանք ներկայացնողը հիմնավորում է դատարանի սահմանած ժամկետում տվյալ ապացույցը կամ միջնորդությունը ներկայացնելու անհնարինությունը՝ իրենից անկախ պատճառներով։</w:t>
            </w:r>
          </w:p>
          <w:p w14:paraId="7DB0C4A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 իրավական նորմերն արդեն իսկ դատարանին իրավունք են վերապահում չընդունել օրենքով սահմանված ժամկետների խախտմամբ ներկայացված ապացույցները, իսկ սահմանված ժամկետում ներկայացված, սակայն անթույլատրելի կամ ոչ վերաբերելի ապացույցները դատարանը կարող է չհետազոտել և դրանց վերաբերյալ գնահատականը տալ իր եզրափակիչ դատական ակտով, ուստի «շատ» ապացույցներ ներկայացնելը որևէ եղանակով չի կարող իրավունքի չարաշահման հանգեցնել։</w:t>
            </w:r>
          </w:p>
          <w:p w14:paraId="017441A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օրենսգրքով սահմանված մրցակցության սկզբունքի հիմնաքարը փաստեր վկայակոչելն ու ապացույցներ ներկայացնելն է, ուստի նշված իրավունքների որևէ սահմանափակում չի կարող իրավաչափ համարվել։</w:t>
            </w:r>
          </w:p>
          <w:p w14:paraId="6407BCE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Միաժամանակ անհասկանալի է, թե ապացույցն ներկայացնելն ինչպես կարող է սահմանափակվել քանակապես կամ ժամանակային առումով։</w:t>
            </w:r>
          </w:p>
          <w:p w14:paraId="17E6887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Յուրաքանչյուր գործով դատավարության մասնակիցները, ղեկավարվելով մրցակցության և տնօրինչականության սկզբունքներով, իրենց հայեցողությամբ են ընտրում իրենց իրավունքների պաշտպանության եղանակը, իրենց վրա դրված ապացուցման պարտականությունը պատշաճ կատարված համարելու համար անհրաժեշտ ապացույցների տեսակները և ծավալները, որոնք, կախված կոնկրետ գործի փաստական հանգամանքներից, կարող են շատ տարբեր բնույթի լինել։</w:t>
            </w:r>
          </w:p>
          <w:p w14:paraId="020F0CE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Առաջարկվող կարգավորման բովանդակությունից անհասկանալի է նաև, թե դատարանն ինչպե՞ս և ի՞նչ չափանիշով է որոշելու, թե ո՞ր պահից սկսած է կամ թվով ո՞րերրորդ ապացույցը ներկայացնելիս է դատավարության մասնակիցը թույլ տալիս իրավունքի չարաշահում։ Ընդհանրապես անմեկնելի է, թե ապացույց ներկայացնելն ինչպե՞ս կարող է հանգեցնել իրավունքի չարաշահման։</w:t>
            </w:r>
          </w:p>
          <w:p w14:paraId="166F16E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Ը. Դատավարության մասնակիցներին հարցեր տալու իրավունքի սահմանափակման սանկցիայի անթույլատրելիությունը</w:t>
            </w:r>
          </w:p>
          <w:p w14:paraId="3ECE174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5-րդ կետի համաձայն՝ գործին մասնակցող անձինք, սույն օրենսգրքի և այլ օրենքների պահանջների պահպանմամբ, իրավունք ունեն հարցեր տալու դատավարության մասնակիցներին։</w:t>
            </w:r>
          </w:p>
          <w:p w14:paraId="035FBF3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167-րդ հոդվածը սահմանում է նախնական դատական նիստում լուծման ենթակա հարցերի շրջանակը, որոնց թվում է նաև հայցի հիմքն ու առարկան պարզելը։</w:t>
            </w:r>
          </w:p>
          <w:p w14:paraId="0B381C5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Դատավարության մասնակցի կողմից դատավարության մյուս մասնակիցներին հարցեր տալու նպատակը հենց հայցի հիմքն ու առարկան պարզելն է, ինչը էական նշանակություն ունի գործի ողջ հետագա ընթացքի համար։ Հարցեր տալու նպատակը նաև դատական ճշմարտությունը բացահայտելն է, և եթե կողմը ցանկանում է դատական ճշմարտության բացահայտմանն ուղղված քայլ կատարել, ապա դատարանը պարտավոր է կողմերի համար ապահովել հավասար պայմաններ` միա-ժամանակ բացառելով անձի իրավունքների և օրինական շահերի խախտումները կամ անհիմն սահմանափակումները:</w:t>
            </w:r>
          </w:p>
          <w:p w14:paraId="02A5052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Ավելին, հայցի հիմքն ու առարկան հարցերի միջոցով վերջնականապես պարզելուց հետո միայն դատավարության մասնակիցը կարող է սպառիչ և ամբողջական ներկայացնել իր առարկությունները։</w:t>
            </w:r>
          </w:p>
          <w:p w14:paraId="0FC2D20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Վերոնշյալից զատ, առաջարկվող իրավակարգավորումը խիստ խնդրահարույց է, սուբյեկտիվ գնահատման ենթակա և անորոշ։ Մասնավորապես՝ պարզ չէ, թե ի՞նչ չափանիշներով է գնահատվում հարցերի քանակը, ի՞նչ ծավալով հայցի վերաբերյալ քանի՞ հարց տալն է համարվում իրավունքի չարաշահում, կամ այն դեպքերում, երբ դատարանին ըստ էության պարզ է հայցի հիմքն ու առարկան, սակայն դատարանի համար պարզունակ թվացող հարցն իրապես անհասկանալի է դատավարության մասնակցի համար, արդյո՞ք դատարանի գնահատմամբ «պարզունակ» հարցեր ներկայացնելը հանդիսանում է իրավունքի չարաշահում, թե ոչ։</w:t>
            </w:r>
          </w:p>
          <w:p w14:paraId="400026D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Թ. Միջնորդություններ ներկայացնելու իրավունքի սահմանափակման սանկցիայի անթույլատրելիությունը</w:t>
            </w:r>
          </w:p>
          <w:p w14:paraId="60DFF8B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5-րդ կետը սահմանում է գործին մասնակցող անձի կողմից միջնորդություն ներկայացնելու իրավունքը։</w:t>
            </w:r>
          </w:p>
          <w:p w14:paraId="0B54D40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152-րդ հոդվածի 6-րդ մասի համաձայն՝ նույն հիմքով միջնորդություն կրկին ներկայացնելն արգելվում է, բացառությամբ սույն օրենսգրքի 170-րդ հոդվածի 7-րդ մասով նախատեսված դեպքի: Նախկինում մերժված միջնորդությունը նույն փաստական հիմքով ներկայացվելու դեպքում չի քննարկվում, որի մասին միջնորդությունը ներկայացրած անձը տեղեկացվում է ոչ ուշ, քան հաջորդ օրը։</w:t>
            </w:r>
          </w:p>
          <w:p w14:paraId="5055F03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 հոդվածի 8-րդ մասի համաձայն՝ գործին մասնակցող անձի միջնորդությունը կարող է մերժվել, եթե այն ներկայացվել է միջնորդություն ներկայացնելու իրավունքի չարաշահմամբ՝ ակնհայտորեն նպատակ հետապնդելով խափանելու դատական նիստը, ձգձգելու գործի դատական քննությունը:</w:t>
            </w:r>
          </w:p>
          <w:p w14:paraId="0BEC931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Այսպիսով, եթե անձը ներկայացնում է միջնորդություն այն նույն փաստական հիմքով, որն արդեն իսկ նախկինում ներկայացվել և մերժվել էր, ապա դատարանը, ղեկավարվելով վերոնշյալ իրավական նորմերով, կարող է չքննարկել կամ մերժել այն։ Նույնը վերաբերում է այն դեպքերին, եթե միջնորդությունը ներկայացվել է իրավունքի չարաշահմամբ՝ ակնհայտորեն նպատակ հետապնդելով խափանելու դատական նիստը, ձգձգելու գործի դատական քննությունը:</w:t>
            </w:r>
          </w:p>
          <w:p w14:paraId="0DD3CCE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Այսինքն, գործող իրավակարգավորումներով դատարանն արդեն իսկ հնավորություն ունի բացառելու միջնորդություն ներկայացնելու իրավունքի չարաշահումը, հետևաբար Նախագծերով առաջարկվող կարգավորումը հիմնազուրկ է։ Որպես Նախագծերի ընդունման հիմնավորում՝ վկայակոչվում է իրավունքի չարաշահումը կանխելը, մինչդեռ դատարանը, նման սանկցիա կիրառելով ակնհայտորեն սահմանափակում է անձի դատավարական իրավունքն այն պայմաններում, երբ իրավունքի չարաշահումը կանխարգելելու համապատասխան գործիքակազմ արդեն իսկ ունի գործող իրավակարգավորումների շրջանակներում։</w:t>
            </w:r>
          </w:p>
          <w:p w14:paraId="11684A7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Այլ խոսքերով՝ տարբերվող պահանջներով և փաստական հիմքերով բազմաթիվ միջնորդություններ ներկայացնելն ինքնին չի կարող դիտարկվել որպես իրավունքի չարաշահում, քանի որ միջնորդություն ներկայացնելը դատավարական իրավունքի իրացման միջոց է, իսկ նույն հիմքով ներկայացված միջնորդությունները չքննելու իրավական հնարավորությունն արդեն ընձեռնված է դատարանին՝ գործող իրավակարգավորումների շրջանակներում։</w:t>
            </w:r>
          </w:p>
          <w:p w14:paraId="68FE09A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Վերոնշյալից բացի՝ առաջարկվող կարգավորումը հնարավորություն է տալիս դատարանին, առանց ներկայացված միջնորդությունը լսելու և (կամ) ուսումնասիրելու, կիրառել սանկցիա՝ սահմանափակելով միջնորդություն ներկայացնելու անձի իրավունքը և քննության առարկա չդարձնելով ներկայացվելիք միջնորդությունը՝ անկախ դրա իրավաչափությունից։</w:t>
            </w:r>
          </w:p>
          <w:p w14:paraId="74C4411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այդ, պարզ չէ եթե մեկ անգամ նույն հիմքով և առարկայով միջնորդությունը մերժվել է անհիմն լինելու պատճառաբանությամբ, հետագայում այդ միջնորդությամբ նշված հիմքերի ի հայտ գալու դեպքում, այն ևս պետք է մերժվի:</w:t>
            </w:r>
          </w:p>
          <w:p w14:paraId="2803481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Նախագծով նաև չի հստակեցվում այն, որ միջնորդություն ներկայացնելու իրավունքի սահմանափակման սանկցիան կիրառվում է միայն այն դեպքում, երբ դատավարության մասնակիցը բազմակի անգամ ներկայացնում է ամբողջապես նույն միջնորդությունը։</w:t>
            </w:r>
          </w:p>
          <w:p w14:paraId="20F1375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Ավելին, Նախագծով որպես դատական սանկցիա նախատեսվում է ընդհանուր առմամբ միջնորդություն ներկայացնելու իրավունքի սահմանափակումը, այլ ոչ թե՝ կոնկրետ որոշակի տեսակի միջնորդություն ներկայացնելու իրավունքի սահմանափակումը։ </w:t>
            </w:r>
          </w:p>
          <w:p w14:paraId="60E55CD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Այսինքն, եթե օրինակ գործի քննության ընթացքում անձը մի քանի անգամ ներկայացնի գործի վարույթը կասեցնելու վերաբերյալ միջնորդություն, և դատարանը դա դիտարկի որպես իրավունքի չարաշահում, ապա ըստ Նախագծի՝ դատարանը նման իրավիճակում կարող է սահմանափակել անձի՝ ընդհանուր առմամբ միջնորդություններ ներկայացնելու իրավունքը (օրինակ՝ նաև փորձաքննություն նշանակելու մասին միջնորդություն ներկայացնելու իրավունքը)։ Մինչդեռ առավել տրամաբանական կլինի, որ դատարանը նման իրավիճակներում կարողանա սահմանափակել անձի՝ միայն կոնկրետ տեսակի միջնորդություն ներկայացնելու իրավունքը։</w:t>
            </w:r>
          </w:p>
          <w:p w14:paraId="5A27D2E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Ժ. Դիրքորոշում ներկայացնելու իրավունքի սահմանափակման սանկցիայի անթույլատրելիությունը</w:t>
            </w:r>
          </w:p>
          <w:p w14:paraId="44D32BE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քաղաքացիական դատավարության օրենսգրքի 32-րդ հոդվածի 1-ին մասի 6-րդ և 7-րդ կետերի համաձայն՝ գործին մասնակցող անձինք, սույն օրենսգրքի և այլ օրենքների պահանջների պահպանմամբ, իրավունք ունեն`</w:t>
            </w:r>
          </w:p>
          <w:p w14:paraId="744929E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6) դատական նիստի ընթացքում ծագող բոլոր հարցերի վերաբերյալ ներկայացնելու իրենց փաստարկները և դիրքորոշումը.</w:t>
            </w:r>
          </w:p>
          <w:p w14:paraId="35D9074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7) գործի քննության ընթացքում դիրքորոշում հայտնելու գործին մասնակցող այլ անձանց միջնորդությունների և փաստարկների վերաբերյալ։</w:t>
            </w:r>
          </w:p>
          <w:p w14:paraId="61F883D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ՄԻԵԴ-ն արձանագրել է, որ վարույթի կողմերն իրավունք ունեն ներկայացնելու դիտարկումներ, որոնք կարող են առնչվել իրենց գործին։ Այս իրավունքը կարող է համարվել արդյունավետ, միայն եթե այդ դիտարկումները փաստացի «լսված են», այն է՝ պատշաճ կերպով հաշվի են առնված դատարանի կողմից (Donadze-ն ընդդեմ Վրաստանի, 2006, § 35)։ </w:t>
            </w:r>
          </w:p>
          <w:p w14:paraId="15E765B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Այլ կերպ ասած՝ դատարանը պարտավոր է իրականացնել կողմերի ներկայացրած նյութերի, փաստարկների և ապացույցների պատշաճ քննություն (Göç-ն ընդդեմ Թուրքիայի [ՄՊ], 2002, § 57։ Perez-ն ընդդեմ Ֆրանսիայի [ՄՊ], 2004, § 80։ Kraska-ն ընդդեմ Շվեյցարիայի, 1993, § 30։ Van de Hurk-ն ընդդեմ Նիդերլանդների, 1994, § 59)։</w:t>
            </w:r>
          </w:p>
          <w:p w14:paraId="6934F7D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ՄԻԵԴ-ը նշել է, որ «կողմերի հավասարությունը» նշանակում է, որ դատավարության յուրաքանչյուր կողմին պետք է ընձեռվի պատշաճ հնարավորություն ներկայացնելու իր գործը, ներառյալ` ապացույցները, այնպիսի պայմաններում, որոնք նրա համար մյուս կողմի համեմատությամբ չեն ստեղծի անբարենպաստ վիճակ (տե՛ս, Դոմբո Բեհիրն ընդդեմ Նիդեռլանդների գործով ՄԻԵԴ-ի 17.10.1993 թվականի վճիռը, § 30-35):</w:t>
            </w:r>
          </w:p>
          <w:p w14:paraId="3013CF7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Դիրքորոշում ներկայացնելու դատավարական գործողության նպատակը փաստեր վկայակոչելն է, որի հաշվառմամբ դատարանը որոշելու է գործի լուծման համար էական նշանակություն ունեցող փաստերի շրջանակը, այնուհետև կայացնելու է ապացուցման պարտականությունը բաշխելու վերաբերյալ որոշում։</w:t>
            </w:r>
          </w:p>
          <w:p w14:paraId="030AC71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Այլ խոսքով՝ դիրքորոշում ներկայացնելը իրավաբանական փաստեր վկայակոչելու կամ ներկայացնելու ձև է, որը դատավարության մասնակիցը կարող է իրացնել միայն մյուս կողմին հարցադրումներ ներկայացնելուց և դրանց պատասխաններն ստանալուց հետո՝ մինչև ապացուցման բեռի բաշխումը։</w:t>
            </w:r>
          </w:p>
          <w:p w14:paraId="4F84CCC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Դատավարության մասնակցի կողմից փաստեր և դիրքորոշումներ ներկայացնելը ևս ուղղված է դատական ճշմարտության բացահայտմանը։</w:t>
            </w:r>
          </w:p>
          <w:p w14:paraId="34B06E5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Ավելին, փաստեր վկայակոչելը և դիրքորոշում ներկայացնելը կողմի առանցքային դատավարական իրավունքներից է, ուստի անձը որևէ եղանակով չպետք է զրկվի իր այդ իրավունքից, որի սահմանափակումը անմիջականորեն հանգեցնելու է թե՛ իրավահավասարության և թե՛ մրցակցության հիմնարար սկզբունքների խախտման։</w:t>
            </w:r>
          </w:p>
          <w:p w14:paraId="6F8703F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Օրինակ, թիվ ԵԴ/59950/02/22 քաղաքացիական գործը տևում է շուրջ 2 տարի և գտնվում է դեռևս նախապատրաստական փուլում, քանի որ նախնական դատական նիստի ընթացքում ծագող յուրաքանչյուր հարցի վերաբերյալ հայցվորները և պատասխանողը ներկայացնում են բավականին ծավալուն գրավոր դիրքորոշումներ։ Ավելին, վերջիններս դատական նիստի ընթացքում ամբողջությամբ բանավոր ներկայացնում են իրենց դիրքորոշումն ու գրավոր ապացույցները։ Արդյո՞ք սա նշանակում է, որ տվյալ գործով դատարանի կողմից պետք է սահմանափակվի հայցվորների և պատասխանողի՝ դիրքորոշումներ ներկայացնելու իրավունքը։ Վստահ ենք, որ ոչ։</w:t>
            </w:r>
          </w:p>
          <w:p w14:paraId="29AFB8D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Ուշագրավ է նաև այն հանգամանքը, որ «Ապօրինի ծագում ունեցող գույքի բռնագանձման մասին» օրենքի վերաբերյալ Վենետիկի հանձնաժողովը, Սահմանադրական դատարանին տված իր խորհրդատվական կարծիքում նշել է նաև, որ պատասխանողի բոլոր փաստարկները պետք է մանրակրկիտ եղանակով քննության առնվեն դատարանի կողմից։</w:t>
            </w:r>
          </w:p>
          <w:p w14:paraId="55535DE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Նախագծով առաջարկվող իրավակարգավորումն ընդունվելու դեպքում դատարանը պատասխանողի բոլոր փաստարկները մանրակրկիտ եղանակով քննության առնելու հնարավորություն պարզապես չի ունենա, քանի որ դատավարության համապատասխան փուլում հնարավորություն կունենա պատասխանողին զրկել իր փաստարկները և դիրքորոշումը բանավոր (ընդ որում, որևէ իրավական ակտով նախատեսված չէ, որ դատավարության մասնակցի դիրքորոշումը պարտադիր կերպով պետք է ներկայացվի գրավոր) ներկայացնելու հնարավորությունից։</w:t>
            </w:r>
          </w:p>
          <w:p w14:paraId="7A47726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ԺԱ. Իրավունքի բուն իրացումը հնարավոր չէ ապահովել</w:t>
            </w:r>
          </w:p>
          <w:p w14:paraId="21FC34A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Նախագծի քննարկվելիք իրավակարգավորմամբ նշված է, որ դատավարական սանկցիայի կիրառումը չպետք է բացառի համապատասխան իրավունքի բուն իրացումը: Համապատասխան իրավունքի բուն իրացմանն ուղղված գործողությունն իրավաչափ գործողություն է, իսկ այն ապահովվելու դեպքում անձը չի կարող սանկցիայի ենթարկվել: Եթե անձի գործողության համար դատավորը դատական սանկցիա է կիրառում, ապա ինչպես պետք է բուն իրացումը ապահովվի, եթե սանկցիա կիրառած դատավորն արդեն իսկ նախատրմադրվածություն է ունենալու, որ նշված իրավունքի իրականացումը ոչ իրավաչափ նպատակ է հետապնոդում՝ իրավունքի չարաշահում է և առկա է վտանգ, որ այդ իրավունքի իրացումը անորոշ թվով անձանց վնաս կպատճառի, և այդ վտանգը կանխելու համար դատավորը կկայացնի, մի այնպիսի որոշում, որով կմերժվի համապատասխան դատավարական իրավունքը, որպեսզի անհնարին դառնա անորոշ անձանց համար ենթադրյալ վնասի առաջացումը: </w:t>
            </w:r>
          </w:p>
          <w:p w14:paraId="637BD74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Հետևաբար նաև անհնարին կդառնա իրավունքի բուն իրացումը:</w:t>
            </w:r>
          </w:p>
          <w:p w14:paraId="20FEDA5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ԺԲ. Սանկցիան որոշակի չէ</w:t>
            </w:r>
          </w:p>
          <w:p w14:paraId="6C0B3F1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Հաշվի առնելով որոշակիության սկզբունքը հարկ է արձանագրել, որ պատիժը սահմանող նորմերը նույնպես պետք է լինեն որոշակի և այդ նորմի հասցեատիրոջ համար պետք է հասկանալի լինի սանկցիայի բովանդակությունը: Տվյալ դեպքում բացարձակապես պարզ չէ Նախագծի քննարկվելիք իրավակարգավորմամբ օգտագործվող «ժամանակային կամ քանակական պայմանների սահմանում» հասկացությունը: Սանկցիան պետք է լինի կոնկրետ և հստակ նշվեն, թե որո՞նք են «քանակական պայմանները» և որո՞նք են «ժամանակային պայմանները» և որո՞նք են քանակական ու ժամանակային պայմանների նվազագույն և առավելագույն շեմերը: Պարզ չէ, թե արդյոք x իրավունքը ենթադրաբար չարաշահելու դեպքում պետք է սահմանափակվի x իրավունքը, թե կարող են սահմանափակվել նաև այլ իրավունքներ: Ավելին, բացառված չէ դատարանի կողմից բոլոր իրավունքները սահմանափակելը, որպիսի պայմաններում ընդհանրապես անհասկանալի է, թե դատավարության մասնակիցն ամբողջ պրոցեսում ինչ է անելու: Բացի այդ, նախագծով չի բացառվում նաև ենթադրյալ մեկ իրավունք չարաշահելու համար մի քանի սանկցիա կիրառելու մասին որոշում կայացնելու հնարավորությունը: </w:t>
            </w:r>
          </w:p>
          <w:p w14:paraId="0680C02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Ողջ վերոգրյալով պայմանավորված առաջարկում ենք կա՛մ առաջարկվող իրավակարգավորումը հանել Նախագծից, կա՛մ Նախագծում սահմանել չարաշահման կոնկրետ դրսևորումները, ինչպես նաև Նախագծի հիմնավորմամբ ներկայացնել այդպիսիք իրավախախտում համարելու հիմնավորումը, անհրաժեշտությունը, նպատակահարմարությունը, ինչպես նաև այն կատարելու համար նախատեսվող  սանկցիայի պիտանիությունը, արդյունավետությունը, հետապնդվող նպատակների իրավաչափությունը:</w:t>
            </w:r>
          </w:p>
          <w:p w14:paraId="145988B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 դիտարկումները վերաբերվում են նաև Նախագիծ 2-ի 3-րդ հոդվածով ՎԴՕ-ում լրացվող 101.6-րդ հոդվածին:</w:t>
            </w:r>
          </w:p>
        </w:tc>
        <w:tc>
          <w:tcPr>
            <w:tcW w:w="7022" w:type="dxa"/>
            <w:gridSpan w:val="6"/>
          </w:tcPr>
          <w:p w14:paraId="49DFA74E" w14:textId="77777777" w:rsidR="005C15EC" w:rsidRPr="00F2718E" w:rsidRDefault="005C15EC" w:rsidP="00A961C5">
            <w:pPr>
              <w:keepNext/>
              <w:keepLines/>
              <w:spacing w:line="360" w:lineRule="auto"/>
              <w:jc w:val="center"/>
              <w:outlineLvl w:val="0"/>
              <w:rPr>
                <w:rFonts w:ascii="GHEA Grapalat" w:hAnsi="GHEA Grapalat"/>
                <w:b/>
                <w:lang w:val="hy-AM"/>
              </w:rPr>
            </w:pPr>
            <w:r w:rsidRPr="00F2718E">
              <w:rPr>
                <w:rFonts w:ascii="GHEA Grapalat" w:hAnsi="GHEA Grapalat"/>
                <w:b/>
                <w:lang w:val="hy-AM"/>
              </w:rPr>
              <w:t>Չի ընդունվել:</w:t>
            </w:r>
          </w:p>
          <w:p w14:paraId="242243B7" w14:textId="77777777" w:rsidR="005C15EC" w:rsidRPr="00F2718E" w:rsidRDefault="005C15EC" w:rsidP="00A961C5">
            <w:pPr>
              <w:spacing w:line="360" w:lineRule="auto"/>
              <w:jc w:val="both"/>
              <w:rPr>
                <w:rFonts w:ascii="GHEA Grapalat" w:hAnsi="GHEA Grapalat"/>
                <w:lang w:val="hy-AM"/>
              </w:rPr>
            </w:pPr>
            <w:r w:rsidRPr="00F2718E">
              <w:rPr>
                <w:rFonts w:ascii="GHEA Grapalat" w:hAnsi="GHEA Grapalat"/>
                <w:lang w:val="hy-AM"/>
              </w:rPr>
              <w:t>Անդրադառնալով քրեական դատավարության օրենսգրքում առկա իրավունքի իրականացման սահմանափակում սանկցիայի տեսակին՝ ՀՀ սահմանադրական դատարանը 12.10.2021 թվականի թիվ ՍԴՈ-1613 որոշմամբ արձանագրել է հետևյալը՝</w:t>
            </w:r>
          </w:p>
          <w:p w14:paraId="518C77EE" w14:textId="77777777" w:rsidR="005C15EC" w:rsidRPr="00F2718E" w:rsidRDefault="005C15EC" w:rsidP="00A961C5">
            <w:pPr>
              <w:spacing w:line="360" w:lineRule="auto"/>
              <w:jc w:val="both"/>
              <w:rPr>
                <w:rFonts w:ascii="GHEA Grapalat" w:hAnsi="GHEA Grapalat"/>
                <w:lang w:val="hy-AM"/>
              </w:rPr>
            </w:pPr>
            <w:r w:rsidRPr="00F2718E">
              <w:rPr>
                <w:rFonts w:ascii="GHEA Grapalat" w:hAnsi="GHEA Grapalat"/>
                <w:lang w:val="hy-AM"/>
              </w:rPr>
              <w:t>«Օրենքով նախատեսվում է որպես դատավարական սանկցիա կիրառել որոշակի դատավարական իրավունքների իրականացման սահմանափակումը, ըստ որի որոշակի դատավարական իրավունքների իրականացման սահմանափակումն անձի կողմից իր դատավարական իրավունքների պարբերաբար չարաշահման դեպքում դատարանի որոշմամբ դրանց իրականացման պայմանների սահմանումն է (Օրենքի 2 և 3-րդ հոդվածներ): Այս կարգավորումը դիտարկելով համաչափության սահմանադրական սկզբունքի պահանջների համապատասխանության տեսանկյունից՝ Սահմանադրական դատարանը հայտնում է ներքոշարադրյալը. Սահմանադրական դատարանն իր բազմաթիվ որոշումներում անդրադարձել է Սահմանադրության 78-րդ հոդվածով ամրագրված համաչափության սահմանադրական սկզբունքին,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 Սահմանադրական դատարանի այս առնչությամբ տարբեր ժամանակներում արտահայտված իրավական դիրքորոշումները մանրամասն վերլուծության են ենթարկվել ՍԴՈ-1546 որոշման մեջ, որտեղ Սահմանադրական դատարանն արձանագրել է. - «… Սահմանադրական դատարանի գնահատմամբ համաչափության սկզբունքը Սահմանադրության 1-ին հոդվածում ամրագրված իրավական պետության հիմնարար սկզբունքի բաղադրիչներից մեկն է: 2015 թվականի փոփոխություններով (գործող) Սահմանադրության մեջ այն ամրագրվել է ամբողջ ծավալով` հստակորեն (expressis verbis)»: - «Համաչափության սկզբունքի էությունը մարդու և քաղաքացու հիմնական իրավունքների և ազատությունների սահմանափակումների սահմանափակումն է մասնավոր և հանրային շահերի միջև ողջամիտ հավասարակշռության ապահովման միջոցով, և հիմնական իրավունքների և ազատությունների սահմանափակումներին ներկայացվող սահմանադրական պահանջների շարքում այն ունի առանձնահատուկ կարևորություն»: «Համաչափության սկզբունքի առաջին տարրը հիմնական իրավունքի սահմանափակման նպատակի լեգիտիմությունն է, այն է` Սահմանադրությամբ նախատեսված լինելը: Դա նշանակում է, որ օրենսդիրը, իրականացնելով հիմնական իրավունքի սահմանափակման իր լիազորությունը, պետք է հիմնվի Սահմանադրությամբ նախատեսված նպատակների վրա: Բոլոր այն դեպքերում, երբ այդ նպատակներն ուղղակիորեն ամրագրված են սահմանափակվող հիմնական իրավունքին կամ ազատությանը վերաբերող սահմանադրական դրույթներում, ինչպես օրինակ՝ մասնավոր կյանքի անձեռնմխելիության հիմնական իրավունքի դեպքում, օրենսդիրն իրավասու է միայն դրանք կոնկրետացնել օրենքներում, մնացյալ դեպքերում օրենսդիրն ինքն է բացահայտում սահմանափակման` օրենքով սահմանված նպատակի սահմանադրական բովանդակությունը` հիմնվելով Սահմանադրության վերաբերելի նորմերի մեկնաբանության վրա»:</w:t>
            </w:r>
          </w:p>
          <w:p w14:paraId="14E1C4FF" w14:textId="77777777" w:rsidR="005C15EC" w:rsidRPr="00F2718E" w:rsidRDefault="005C15EC" w:rsidP="00A961C5">
            <w:pPr>
              <w:spacing w:line="360" w:lineRule="auto"/>
              <w:jc w:val="both"/>
              <w:rPr>
                <w:rFonts w:ascii="GHEA Grapalat" w:hAnsi="GHEA Grapalat"/>
                <w:lang w:val="hy-AM"/>
              </w:rPr>
            </w:pPr>
            <w:r w:rsidRPr="00F2718E">
              <w:rPr>
                <w:rFonts w:ascii="GHEA Grapalat" w:hAnsi="GHEA Grapalat"/>
                <w:lang w:val="hy-AM"/>
              </w:rPr>
              <w:t xml:space="preserve">Այս լույսի ներքո գնահատելով Օրենքի 2 և 3-րդ հոդվածով ՀՀ քրեական դատավարության օրենսգրքում </w:t>
            </w:r>
            <w:r w:rsidRPr="00F2718E">
              <w:rPr>
                <w:rFonts w:ascii="GHEA Grapalat" w:hAnsi="GHEA Grapalat"/>
                <w:b/>
                <w:lang w:val="hy-AM"/>
              </w:rPr>
              <w:t xml:space="preserve">«որոշակի դատավարական իրավունքների իրականացման սահմանափակում» դատական սանկցիայի ներդրմամբ հետապնդվող նպատակը, Սահմանադրական դատարանը փաստում է, որ Օրենքով հետապնդվում է իրավաչափ նպատակ, այն է՝ ապահովել դատական նիստի բնականոն ընթացքը, որով իսկ նպաստավոր պայմաններ են ստեղծվում վարույթի մասնակիցների՝ Սահմանադրությամբ երաշխավորված արդար դատաքննության իրավունքը, մասնավորապես՝ դրա բաղադրատարր՝ ողջամիտ ժամկետում գործի քննության իրավունքն ապահովելու համար: </w:t>
            </w:r>
            <w:r w:rsidRPr="00F2718E">
              <w:rPr>
                <w:rFonts w:ascii="GHEA Grapalat" w:hAnsi="GHEA Grapalat"/>
                <w:lang w:val="hy-AM"/>
              </w:rPr>
              <w:t>Օրենսդիրը նախանշված նպատակին հասնելու համար ընտրել է պիտանի միջոց՝ որոշակի դատավարական իրավունքների իրականացման սահմանափակում (այդ իրավունքների իրականացման ժամանակային կամ քանակական պայմանների սահմանման ձևով), որով հնարավոր է հասնել հետապնդվող նպատակին և ապահովել դատական նիստի բնականոն ընթացքը (այդպիսով իսկ՝ վարույթի մասնակիցների արդար դատաքննության իրավունքը, մասնավորապես՝ դրա բաղադրատարր՝ ողջամիտ ժամկետում գործի քննության իրավունքը):</w:t>
            </w:r>
          </w:p>
          <w:p w14:paraId="344F34D1" w14:textId="77777777" w:rsidR="005C15EC" w:rsidRPr="00F2718E" w:rsidRDefault="005C15EC" w:rsidP="00A961C5">
            <w:pPr>
              <w:spacing w:line="360" w:lineRule="auto"/>
              <w:jc w:val="both"/>
              <w:rPr>
                <w:rFonts w:ascii="GHEA Grapalat" w:hAnsi="GHEA Grapalat"/>
                <w:b/>
                <w:lang w:val="hy-AM"/>
              </w:rPr>
            </w:pPr>
            <w:r w:rsidRPr="00F2718E">
              <w:rPr>
                <w:rFonts w:ascii="GHEA Grapalat" w:hAnsi="GHEA Grapalat"/>
                <w:lang w:val="hy-AM"/>
              </w:rPr>
              <w:t xml:space="preserve">ՀՀ քրեական դատավարության օրենսգրքում առկա մի շարք դրույթներ, թեև վարույթի մասնակիցների (մասնավոր մասնակիցների) կողմից իրենց իրավունքների չարաշահմամբ դատավարությունն անհարկի ձգձգումներից կանխելու երաշխիք են (և հետևաբար կարող են դիտարկվել նաև դատական նիստի բնականոն ընթացքն ապահովելու միջոցներ), այնուամենայնիվ, Սահմանադրական դատարանը գտնում է, որ առկա միջոցները բավարար չեն նախանշված նպատակին նույն արդյունավետությամբ հասնելու համար: Գործող ՀՀ քրեական դատավարության օրենսգրքում կարգավորումներով առկա չեն սահմանափակումներ քրեական գործին կցելու և հետազոտելու համար նյութեր ներկայացնելու, ելույթներ ունենալու և մի շարք այլ հարցերի առումներով, որոնք կարող են վարույթի բնականոն ընթացքի վրա էական ազդեցություն ունենալ՝ վերջինիս անհարկի, չհիմնավորված ձգձգումների առումով: Հետևաբար, օրենսդրի կողմից ընտրված միջոցը՝ Օրենքով ներդրվող դատական սանկցիան, պետք է գնահատել իբրև անհրաժեշտ միջոց ընտրված նպատակին հասնելու համար, եթե ՀՀ քրեական դատավարության օրենսգրքում առկա մյուս՝ վերը մեջբերված առավել մեղմ միջոցները չունենան նախանշված նպատակին հասնելու համար անհրաժեշտ արդյունավետությունը: Սահմանադրական դատարանը գտնում է նաև, որ օրենսդրի կողմից ընտրված միջոցը համարժեք է սահմանափակվող իրավունքին: Մասնավորապես՝ Օրենքով ներդրվող սանկցիայով ոչ թե անձը զրկվում է իր՝ Օրենքի 3-րդ հոդվածի ՀՀ քրեական դատավարության օրենսգրքում լրացվող 314.4-րդ հոդվածի 2-րդ մասով նախատեսված իրավունքներից ընդհանրապես, այլ՝ Օրենքով նախատեսվում է ՀՀ քրեական դատավարության օրենսգրքում լրացվող 314.4-րդ հոդվածի 2-րդ մասով նախատեսված իրավունքների որոշակի ժամանակային կամ քանակական սահմանափակման հնարավորություն: </w:t>
            </w:r>
            <w:r w:rsidRPr="00F2718E">
              <w:rPr>
                <w:rFonts w:ascii="GHEA Grapalat" w:hAnsi="GHEA Grapalat"/>
                <w:b/>
                <w:lang w:val="hy-AM"/>
              </w:rPr>
              <w:t>Հետևաբար, այդ սահմանափակումներից «դուրս» անձը կարող է իրացնել իր իրավունքը:</w:t>
            </w:r>
            <w:r w:rsidRPr="00F2718E">
              <w:rPr>
                <w:rFonts w:ascii="GHEA Grapalat" w:hAnsi="GHEA Grapalat"/>
                <w:lang w:val="hy-AM"/>
              </w:rPr>
              <w:t xml:space="preserve"> </w:t>
            </w:r>
            <w:r w:rsidRPr="00F2718E">
              <w:rPr>
                <w:rFonts w:ascii="GHEA Grapalat" w:hAnsi="GHEA Grapalat"/>
                <w:b/>
                <w:lang w:val="hy-AM"/>
              </w:rPr>
              <w:t>Վերոգրյալի հիման վրա Սահմանադրական դատարանը հայտնում է, որ անձի կողմից իր դատավարական իրավունքների չարաշահման դեպքում որոշակի դատավարական իրավունքների իրականացման սահմանափակումը՝ որպես դատավարական սանկցիա կիրառելը, համապատասխանում է համաչափության սահմանադրաիրավական սկզբունքի պահանջներին:</w:t>
            </w:r>
          </w:p>
          <w:p w14:paraId="5DAA0905" w14:textId="77777777" w:rsidR="005C15EC" w:rsidRPr="00F2718E" w:rsidRDefault="005C15EC" w:rsidP="00A961C5">
            <w:pPr>
              <w:spacing w:line="360" w:lineRule="auto"/>
              <w:jc w:val="both"/>
              <w:rPr>
                <w:rFonts w:ascii="GHEA Grapalat" w:hAnsi="GHEA Grapalat"/>
                <w:b/>
                <w:lang w:val="hy-AM"/>
              </w:rPr>
            </w:pPr>
            <w:r w:rsidRPr="00F2718E">
              <w:rPr>
                <w:rFonts w:ascii="GHEA Grapalat" w:hAnsi="GHEA Grapalat"/>
                <w:lang w:val="hy-AM"/>
              </w:rPr>
              <w:t xml:space="preserve">Դիտարկելով Օրենքի 2 և 3-րդ հոդվածներով նախատեսված կարգավորումները՝ իրավական որոշակիության սահմանադրական սկզբունքի տեսանկյունից, հայտնում է հետևյալը. ելնելով այն հանգամանքից, որ Օրենքով նախատեսվող՝ «որոշակի դատավարական իրավունքների իրականացման սահմանափակում» դատական սանկցիան կարող է անձի նկատամբ կիրառվել, (1) երբ անձն իր դատավարական իրավունքները պարբերաբար չարաշահում է, (2) դատարանի որոշմամբ, ապա ելնելով նաև «Հայաստանի Հանրապետության դատական օրենսգիրք» սահմանադրական օրենքի 49-րդ հոդվածի 2-րդ մասով, ՀՀ քրեական դատավարության օրենսգրքի 314.1-րդ հոդվածի 2-րդ մասով նախատեսված այն դրույթներից, ըստ որոնց, դատավորն անհրաժեշտության դեպքում հասկանալի ձևով նախազգուշացնում է դատական սանկցիա կիրառելու դատարանի իրավասության մասին, ինչպես նաև պարզաբանում դատական սանկցիա կիրառելու հիմքերը և հետևանքները, ապա, Սահմանադրական դատարանը գտնում է, որ գործող օրենսդրությամբ առկա են նաև այն երաշխիքները, որոնք ապահովում են դատական սանկցիայի՝ քննարկվող դեպքում «որոշակի դատավարական իրավունքների իրականացման սահմանափակում» դատական սանկցիայի կիրառման կանխատեսելիությունն իրավունքի չարաշահում թույլ տվող անձի համար: Ինչ վերաբերում է դիմողի այն դիտարկմանը, թե լրացումներով «...հստակեցված չեն չափորոշիչները, որոնք պետք է կիրառվեն՝ որոշելու, թե որն է իրավունքի չարաշահումը», ապա Սահմանադրական դատարանն արձանագրում է, որ </w:t>
            </w:r>
            <w:r w:rsidRPr="00F2718E">
              <w:rPr>
                <w:rFonts w:ascii="GHEA Grapalat" w:hAnsi="GHEA Grapalat"/>
                <w:b/>
                <w:lang w:val="hy-AM"/>
              </w:rPr>
              <w:t>գործող օրենսդրությամբ դատավարական իրավունքների չարաշահում ներկայումս էլ (անգամ առանց Օրենքով նախատեսվող լրացումների) դիտարկվում է իբրև դատական սանկցիա կիրառելու հիմք («Հայաստանի Հանրապետության դատական օրենսգիրք» սահմանադրական օրենքի 47-րդ հոդվածի 2-րդ մասի 1-ին կետ), իսկ դատարանները նշված հիմքի առկայությունը գնահատելիս, ելնում են ինչպես արդեն իսկ դատական պրակտիկայով ձևավորված, այնպես էլ իրավունքի դոկտրինում տեղ գտած «իրավունքի չարաշահման» հասկացության հատկանիշներից:</w:t>
            </w:r>
            <w:r w:rsidRPr="00F2718E">
              <w:rPr>
                <w:rFonts w:ascii="GHEA Grapalat" w:hAnsi="GHEA Grapalat"/>
                <w:lang w:val="hy-AM"/>
              </w:rPr>
              <w:t xml:space="preserve"> Ավելին, Սահմանադրական դատարանը սույն թվականի փետրվարի 12-ի ՍԴՈ-1576 որոշմամբ բացահայտել է հենց դիմողի կողմից բարձրացվող այն «չափորոշիչները» որոնց առկայությամբ արարքը կարող է գնահատվել որպես իրավունքի չարաշահում: Մասնավորապես, նշված որոշմամբ հիմք ընդունելով իրավունքի տեսության մեջ առկա մոտեցումներն արձանագրել է. «Իրավունքի տեսության մեջ իրավունքի չարաշահումն արձանագրվում է, երբ առկա է, որպես կանոն, հետևյալ պայմանների համակցությունը. 1. անձը պետք է ունենա համապատասխան իրավունքը, 2. իրավունքի չարաշահումը տեղի է ունենում սուբյեկտիվ իրավունքի իրացման ընթացքում, անձն առերևույթ գործում է իրավական կարգադրագրերին համապատասխան, 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4. իրավունքի չարաշահումը կամային գործընթաց է, այսինքն՝ անձը գիտակցում է, որ ինքն իր սուբյեկտիվ իրավունքը չարաշահում է, հետևաբար՝ պետք է կանխա տեսի, որ կարող է վնաս պատճառել պետության, հանրության կամ այլ անձանց օրինական շահերին: Այդ առումով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կամ տվյալ դեպքում` ամուսնության իրավունքի նպատակին և ոգուն հակառակ, ինչի արդյունքում վնաս է հասցվում այլ անձին, պետությանը, հասարակությանը»: </w:t>
            </w:r>
            <w:r w:rsidRPr="00F2718E">
              <w:rPr>
                <w:rFonts w:ascii="GHEA Grapalat" w:hAnsi="GHEA Grapalat"/>
                <w:b/>
                <w:lang w:val="hy-AM"/>
              </w:rPr>
              <w:t>Նման պայմաններում Սահմանադրական դատարանը գտնում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Սահմանադրական դատարանը հայտնում է, որ սույն որոշման 4.5-րդ կետում արված եզրահանգումներն ամբողջությամբ վերաբերելի են նաև դիմողի կողմից բարձրացվող «պարբերաբար» եզրույթի որոշակիության առնչությամբ:»:</w:t>
            </w:r>
          </w:p>
          <w:p w14:paraId="5F28EF83" w14:textId="77777777" w:rsidR="00F31649" w:rsidRPr="00F2718E" w:rsidRDefault="00F31649" w:rsidP="00A961C5">
            <w:pPr>
              <w:spacing w:line="360" w:lineRule="auto"/>
              <w:jc w:val="both"/>
              <w:rPr>
                <w:rFonts w:ascii="GHEA Grapalat" w:hAnsi="GHEA Grapalat"/>
                <w:lang w:val="hy-AM"/>
              </w:rPr>
            </w:pPr>
            <w:r w:rsidRPr="00F2718E">
              <w:rPr>
                <w:rFonts w:ascii="GHEA Grapalat" w:hAnsi="GHEA Grapalat"/>
                <w:lang w:val="hy-AM"/>
              </w:rPr>
              <w:t>Այսպիսով, Սահմանադրական դատարանն արդեն իսկ արձանագրել է, որ նույնանման կարգավորումներ պարունակող ՀՀ քրեական դատավարության օրենսգրքում օգտագործով «իրավունքի չարաշահում», «պարբերաբար» եզրույթները իրավական որոշակիության տեսանկյունից խնդրահարույց չեն:</w:t>
            </w:r>
          </w:p>
          <w:p w14:paraId="0C88782F" w14:textId="6616E063" w:rsidR="002D4647" w:rsidRPr="00F2718E" w:rsidRDefault="002D4647" w:rsidP="00A961C5">
            <w:pPr>
              <w:spacing w:line="360" w:lineRule="auto"/>
              <w:jc w:val="both"/>
              <w:rPr>
                <w:rFonts w:ascii="GHEA Grapalat" w:hAnsi="GHEA Grapalat" w:cs="Arial"/>
                <w:bCs/>
                <w:iCs/>
                <w:noProof/>
                <w:spacing w:val="-4"/>
                <w:lang w:val="hy-AM" w:eastAsia="en-US"/>
              </w:rPr>
            </w:pPr>
            <w:r w:rsidRPr="00F2718E">
              <w:rPr>
                <w:rFonts w:ascii="GHEA Grapalat" w:hAnsi="GHEA Grapalat"/>
                <w:shd w:val="clear" w:color="auto" w:fill="FFFFFF"/>
                <w:lang w:val="hy-AM"/>
              </w:rPr>
              <w:t xml:space="preserve">Ինչ վերաբերում է սահմանափակման ենթակա իրավունքների կարևորությանը, ապա պետք է փաստել, որ իրավունքի իրականացման սահմանափակում սանկցիայի տեսակի կիրառման նպատակը եղել է դատավարության բնականոն ընթացքն, արդյունավետ և ողջամիտ ժամկետներում գործերի քննության ապահովումը: Ընդ որում, </w:t>
            </w:r>
            <w:r w:rsidR="00975E6D" w:rsidRPr="00F2718E">
              <w:rPr>
                <w:rFonts w:ascii="GHEA Grapalat" w:hAnsi="GHEA Grapalat" w:cs="Arial"/>
                <w:bCs/>
                <w:iCs/>
                <w:noProof/>
                <w:spacing w:val="-4"/>
                <w:lang w:val="hy-AM" w:eastAsia="en-US"/>
              </w:rPr>
              <w:t>սպառիչ ցանկի տեսքով նախատեսված իրավունքները</w:t>
            </w:r>
            <w:r w:rsidRPr="00F2718E">
              <w:rPr>
                <w:rFonts w:ascii="GHEA Grapalat" w:hAnsi="GHEA Grapalat" w:cs="Arial"/>
                <w:bCs/>
                <w:iCs/>
                <w:noProof/>
                <w:spacing w:val="-4"/>
                <w:lang w:val="hy-AM" w:eastAsia="en-US"/>
              </w:rPr>
              <w:t xml:space="preserve"> բացարձակ և սահմանափակման ոչ ենթակա իրավունքներ չեն: </w:t>
            </w:r>
            <w:r w:rsidR="00975E6D" w:rsidRPr="00F2718E">
              <w:rPr>
                <w:rFonts w:ascii="GHEA Grapalat" w:hAnsi="GHEA Grapalat" w:cs="Arial"/>
                <w:bCs/>
                <w:iCs/>
                <w:noProof/>
                <w:spacing w:val="-4"/>
                <w:lang w:val="hy-AM" w:eastAsia="en-US"/>
              </w:rPr>
              <w:t>Դրանք</w:t>
            </w:r>
            <w:r w:rsidRPr="00F2718E">
              <w:rPr>
                <w:rFonts w:ascii="GHEA Grapalat" w:hAnsi="GHEA Grapalat" w:cs="Arial"/>
                <w:bCs/>
                <w:iCs/>
                <w:noProof/>
                <w:spacing w:val="-4"/>
                <w:lang w:val="hy-AM" w:eastAsia="en-US"/>
              </w:rPr>
              <w:t xml:space="preserve"> թեև դատավարական կարևորագույն իրավունքներ են, սակայն դրանցից անբարեխղճորեն օգտվելը կարող է հանգեցնել իրավական ներգործության միջոցների կիրառման: </w:t>
            </w:r>
          </w:p>
          <w:p w14:paraId="3F5B73B6" w14:textId="77777777" w:rsidR="00196759" w:rsidRPr="00F2718E" w:rsidRDefault="000C6A1D" w:rsidP="00A961C5">
            <w:pPr>
              <w:spacing w:line="360" w:lineRule="auto"/>
              <w:jc w:val="both"/>
              <w:rPr>
                <w:rFonts w:ascii="GHEA Grapalat" w:hAnsi="GHEA Grapalat"/>
                <w:b/>
                <w:lang w:val="hy-AM"/>
              </w:rPr>
            </w:pPr>
            <w:r w:rsidRPr="00F2718E">
              <w:rPr>
                <w:rFonts w:ascii="GHEA Grapalat" w:hAnsi="GHEA Grapalat"/>
                <w:b/>
                <w:lang w:val="hy-AM"/>
              </w:rPr>
              <w:t>Ա. Իրավունքի չարաշահումը որպես իրավական վարքագիծ</w:t>
            </w:r>
          </w:p>
          <w:p w14:paraId="7C32F089" w14:textId="15DC4BFA" w:rsidR="00975E6D" w:rsidRPr="00F2718E" w:rsidRDefault="00FC6BF8" w:rsidP="00A961C5">
            <w:pPr>
              <w:spacing w:line="360" w:lineRule="auto"/>
              <w:jc w:val="both"/>
              <w:rPr>
                <w:rFonts w:ascii="GHEA Grapalat" w:hAnsi="GHEA Grapalat"/>
                <w:shd w:val="clear" w:color="auto" w:fill="FFFFFF"/>
                <w:lang w:val="hy-AM"/>
              </w:rPr>
            </w:pPr>
            <w:r w:rsidRPr="00F2718E">
              <w:rPr>
                <w:rFonts w:ascii="GHEA Grapalat" w:hAnsi="GHEA Grapalat"/>
                <w:shd w:val="clear" w:color="auto" w:fill="FFFFFF"/>
                <w:lang w:val="hy-AM"/>
              </w:rPr>
              <w:t xml:space="preserve">«Հայաստանի Հանրապետության դատական օրենսգիրք» սահմանադրական օրենքի (այսուհետ՝ Դատական օրենսգիրք) 47-րդ հոդվածի 1-ին մասի համաձայն՝ դատական սանկցիան կիրառվում է դատական իշխանության հեղինակությունը պաշտպանելու, ինչպես նաև դատական նիստի բնականոն ընթացքն ապահովելու նպատակով: Նույն հոդվածի 2-րդ մասի համաձայն` դատարանը դատական սանկցիա կարող է կիրառել, երբ անձը՝ 1) </w:t>
            </w:r>
            <w:r w:rsidRPr="00F2718E">
              <w:rPr>
                <w:rFonts w:ascii="GHEA Grapalat" w:hAnsi="GHEA Grapalat"/>
                <w:b/>
                <w:shd w:val="clear" w:color="auto" w:fill="FFFFFF"/>
                <w:lang w:val="hy-AM"/>
              </w:rPr>
              <w:t>չարաշահում է իր դատավարական իրավունքները կամ չարամտորեն չի կատարում իր դատավարական պարտականությունները</w:t>
            </w:r>
            <w:r w:rsidRPr="00F2718E">
              <w:rPr>
                <w:rFonts w:ascii="GHEA Grapalat" w:hAnsi="GHEA Grapalat"/>
                <w:shd w:val="clear" w:color="auto" w:fill="FFFFFF"/>
                <w:lang w:val="hy-AM"/>
              </w:rPr>
              <w:t>. (…):</w:t>
            </w:r>
          </w:p>
          <w:p w14:paraId="6DE72266" w14:textId="77777777" w:rsidR="00196759" w:rsidRPr="00F2718E" w:rsidRDefault="00FC6BF8" w:rsidP="00A961C5">
            <w:pPr>
              <w:spacing w:line="360" w:lineRule="auto"/>
              <w:jc w:val="both"/>
              <w:rPr>
                <w:rFonts w:ascii="GHEA Grapalat" w:hAnsi="GHEA Grapalat"/>
                <w:shd w:val="clear" w:color="auto" w:fill="FFFFFF"/>
                <w:lang w:val="hy-AM"/>
              </w:rPr>
            </w:pPr>
            <w:r w:rsidRPr="00F2718E">
              <w:rPr>
                <w:rFonts w:ascii="GHEA Grapalat" w:hAnsi="GHEA Grapalat"/>
                <w:shd w:val="clear" w:color="auto" w:fill="FFFFFF"/>
                <w:lang w:val="hy-AM"/>
              </w:rPr>
              <w:t xml:space="preserve">Իրավունքի չարաշահումը Դատական օրենսգրքով արդեն իսկ նախատեսված է որպես դատական սանկցիայի կիրառման հիմք, այսինքն՝ Նախագծերով ոչ թե նախատեսվել է իրավունքի չարաշահումը՝ որպես դատական սանկցիայի կիրառման նոր հիմք, այլ մասնավորեցվել են իրավունքի չարաշահման հնարավոր հետևանքները: </w:t>
            </w:r>
          </w:p>
          <w:p w14:paraId="1062F76E" w14:textId="3E10F782" w:rsidR="00F31649" w:rsidRPr="00F2718E" w:rsidRDefault="00FC6BF8" w:rsidP="00A961C5">
            <w:pPr>
              <w:spacing w:line="360" w:lineRule="auto"/>
              <w:jc w:val="both"/>
              <w:rPr>
                <w:rFonts w:ascii="GHEA Grapalat" w:hAnsi="GHEA Grapalat"/>
                <w:shd w:val="clear" w:color="auto" w:fill="FFFFFF"/>
                <w:lang w:val="hy-AM"/>
              </w:rPr>
            </w:pPr>
            <w:r w:rsidRPr="00F2718E">
              <w:rPr>
                <w:rFonts w:ascii="GHEA Grapalat" w:hAnsi="GHEA Grapalat"/>
                <w:shd w:val="clear" w:color="auto" w:fill="FFFFFF"/>
                <w:lang w:val="hy-AM"/>
              </w:rPr>
              <w:t>Ինչպես Դատական օրենսգիրքը, այնպես էլ դատավարական մյուս օրենսգրքերն իրավունքի չարաշահման երևույթը կապում են դատավարական իրավունքներից ոչ բարեխղճորեն օգտվելու կամ դատավարական պարտականությունները չարամտորեն չկատարելու հետ: Ընդ որում, ինչպես Սահմանադրական դատարանը, այնպես էլ Վճռաբեկ դատարանը սահմանել են վարքագիծը որպես իրավունքի չարաշահում բնորոշելու համար անհրաժեշտ պայմանների համակցությունը: Այնուամենայնիվ, իրավունքի չարաշահման դրսևորման հնարավոր բոլոր եղանակներն ու ձևերը օրենսդրական կարգավորման ենթարկելու անհնարինության, դատավարական օրենսգրքերում նշված եզրույթի կիրառման և միաժամանակ դատական պրակտիկայում այդ եզրույթի մեկնաբանության առկայության պայմաններում «իրավունքի չարաշահում» եզրույթի հասկացությունն օրենսդրությամբ սահմանելու անհրաժեշտությունը, կարծում ենք, բացակայում է:</w:t>
            </w:r>
            <w:r w:rsidRPr="00F2718E">
              <w:rPr>
                <w:rFonts w:ascii="GHEA Grapalat" w:hAnsi="GHEA Grapalat"/>
                <w:lang w:val="hy-AM"/>
              </w:rPr>
              <w:t xml:space="preserve"> Սահմանադրական դատարանը 12.10.2021 թվականի թիվ ՍԴՈ-1613 որոշմամբ նշել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մասնավորապես նշելով, որ ինչ վերաբերում է դիմողի այն դիտարկմանը, թե լրացումներով «...հստակեցված չեն չափորոշիչները, որոնք պետք է կիրառվեն՝ որոշելու, թե որն է իրավունքի չարաշահումը», ապա Սահմանադրական դատարանն արձանագրում է, որ գործող օրենսդրությամբ դատավարական իրավունքների չարաշահում ներկայումս էլ (անգամ առանց Օրենքով նախատեսվող լրացումների) դիտարկվում է իբրև դատական սանկցիա կիրառելու հիմք («Հայաստանի Հանրապետության դատական օրենսգիրք» սահմանադրական օրենքի 47-րդ հոդվածի 2-րդ մասի 1-ին կետ), իսկ դատարանները նշված հիմքի առկայությունը գնահատելիս, ելնում են ինչպես արդեն իսկ դատական պրակտիկայով ձևավորված, այնպես էլ իրավունքի դոկտրինում տեղ գտած «իրավունքի չարաշահման» հասկացության հատկանիշներից: Ավելին, Սահմանադրական դատարանը սույն թվականի փետրվարի 12-ի ՍԴՈ-1576 որոշմամբ բացահայտել է հենց դիմողի կողմից բարձրացվող այն «չափորոշիչները» որոնց առկայությամբ արարքը կարող է գնահատվել որպես իրավունքի չարաշահում: Մասնավորապես, նշված որոշմամբ հիմք ընդունելով իրավունքի տեսության մեջ առկա մոտեցումներն արձանագրել է. «Իրավունքի տեսության մեջ իրավունքի չարաշահումն արձանագրվում է, երբ առկա է, որպես կանոն, հետևյալ պայմանների համակցությունը. 1. անձը պետք է ունենա համապատասխան իրավունքը, 2. իրավունքի չարաշահումը տեղի է ունենում սուբյեկտիվ իրավունքի իրացման ընթացքում, անձն առերևույթ գործում է իրավական կարգադրագրերին համապատասխան, 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4. իրավունքի չարաշահումը կամային գործընթաց է, այսինքն՝ անձը գիտակցում է, որ ինքն իր սուբյեկտիվ իրավունքը չարաշահում է, հետևաբար՝ պետք է կանխա տեսի, որ կարող է վնաս պատճառել պետության, հանրության կամ այլ անձանց օրինական շահերին: Այդ առումով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կամ տվյալ դեպքում` ամուսնության իրավունքի նպատակին և ոգուն հակառակ, ինչի արդյունքում վնաս է հասցվում այլ անձին, պետությանը, հասարակությանը»: Նման պայմաններում Սահմանադրական դատարանը գտնում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 Սահմանադրական դատարանը հայտնում է, որ սույն որոշման 4.5-րդ կետում արված եզրահանգումներն ամբողջությամբ վերաբերելի են նաև դիմողի կողմից բարձրացվող «պարբերաբար» եզրույթի որոշակիության առնչությամբ:»:</w:t>
            </w:r>
          </w:p>
          <w:p w14:paraId="3FBADFFC" w14:textId="77777777" w:rsidR="00FC6BF8" w:rsidRPr="00F2718E" w:rsidRDefault="00FC6BF8" w:rsidP="00A961C5">
            <w:pPr>
              <w:spacing w:line="360" w:lineRule="auto"/>
              <w:jc w:val="both"/>
              <w:rPr>
                <w:rFonts w:ascii="GHEA Grapalat" w:hAnsi="GHEA Grapalat"/>
                <w:b/>
                <w:lang w:val="hy-AM"/>
              </w:rPr>
            </w:pPr>
            <w:r w:rsidRPr="00F2718E">
              <w:rPr>
                <w:rFonts w:ascii="GHEA Grapalat" w:hAnsi="GHEA Grapalat"/>
                <w:b/>
                <w:lang w:val="hy-AM"/>
              </w:rPr>
              <w:t>Բ. Պատասխանատվություն հիմք հանդիսացող գործողությունը և այդ հիմքը սահմանող նորմը զուրկ է որոշակիությունից</w:t>
            </w:r>
          </w:p>
          <w:p w14:paraId="48DC6384" w14:textId="77777777" w:rsidR="00FC6BF8" w:rsidRPr="00F2718E" w:rsidRDefault="00FC6BF8" w:rsidP="00A961C5">
            <w:pPr>
              <w:spacing w:line="360" w:lineRule="auto"/>
              <w:jc w:val="both"/>
              <w:rPr>
                <w:rFonts w:ascii="GHEA Grapalat" w:hAnsi="GHEA Grapalat"/>
                <w:b/>
                <w:lang w:val="hy-AM"/>
              </w:rPr>
            </w:pPr>
            <w:r w:rsidRPr="00F2718E">
              <w:rPr>
                <w:rFonts w:ascii="GHEA Grapalat" w:hAnsi="GHEA Grapalat"/>
                <w:lang w:val="hy-AM"/>
              </w:rPr>
              <w:t xml:space="preserve">Սահմանադրական դատարանը սույն թվականի փետրվարի 12-ի ՍԴՈ-1576 որոշմամբ բացահայտել է հենց դիմողի կողմից բարձրացվող այն «չափորոշիչները» որոնց առկայությամբ արարքը կարող է գնահատվել որպես իրավունքի չարաշահում: Մասնավորապես, նշված որոշմամբ հիմք ընդունելով իրավունքի տեսության մեջ առկա մոտեցումներն արձանագրել է. «Իրավունքի տեսության մեջ իրավունքի չարաշահումն արձանագրվում է, երբ առկա է, որպես կանոն, հետևյալ պայմանների համակցությունը. 1. անձը պետք է ունենա համապատասխան իրավունքը, 2. իրավունքի չարաշահումը տեղի է ունենում սուբյեկտիվ իրավունքի իրացման ընթացքում, անձն առերևույթ գործում է իրավական կարգադրագրերին համապատասխան, 3. անձի` առերևույթ իրավաչափ գործողություններն հանգեցնում են պետության, հանրության կամ այլ անձանց օրինական շահերի խախտմանը, իսկ անձն ձգտում է հասնել իր համար ցանկալի արդյունքին կամ նպատակին, 4. իրավունքի չարաշահումը կամային գործընթաց է, այսինքն՝ անձը գիտակցում է, որ ինքն իր սուբյեկտիվ իրավունքը չարաշահում է, հետևաբար՝ պետք է կանխա տեսի, որ կարող է վնաս պատճառել պետության, հանրության կամ այլ անձանց օրինական շահերին: Այդ առումով իրավունքի չարաշահման առանձնահատկությունն այն է, երբ իրավունքի սուբյեկտն իր գործունեության ընթացքում գործում է իրավական կարգադրագրերին համապատասխան, կատարում է օրենքով իր վրա դրված ֆորմալ պարտականությունները, սակայն խեղաթյուրում է իրավունքի նշանակությունը՝ գործելով տվյալ իրավանորմի նպատակային նշանակությանը կամ տվյալ դեպքում` ամուսնության իրավունքի նպատակին և ոգուն հակառակ, ինչի արդյունքում վնաս է հասցվում այլ անձին, պետությանը, հասարակությանը»: </w:t>
            </w:r>
            <w:r w:rsidRPr="00F2718E">
              <w:rPr>
                <w:rFonts w:ascii="GHEA Grapalat" w:hAnsi="GHEA Grapalat"/>
                <w:b/>
                <w:lang w:val="hy-AM"/>
              </w:rPr>
              <w:t>Նման պայմաններում Սահմանադրական դատարանը գտնում է, որ Օրենքում «իրավունքի չարաշահում» հասկացության և հատկանիշների բացահայտված չլինելն ինքին չի կարող գնահատվել իբրև խնդրահարույց իրավական որոշակիության տեսանկյունից:</w:t>
            </w:r>
          </w:p>
          <w:p w14:paraId="74D367AC" w14:textId="77777777" w:rsidR="00FC6BF8" w:rsidRPr="00F2718E" w:rsidRDefault="00FC6BF8" w:rsidP="00A961C5">
            <w:pPr>
              <w:spacing w:line="360" w:lineRule="auto"/>
              <w:jc w:val="both"/>
              <w:rPr>
                <w:rFonts w:ascii="GHEA Grapalat" w:hAnsi="GHEA Grapalat"/>
                <w:b/>
                <w:lang w:val="hy-AM"/>
              </w:rPr>
            </w:pPr>
            <w:r w:rsidRPr="00F2718E">
              <w:rPr>
                <w:rFonts w:ascii="GHEA Grapalat" w:hAnsi="GHEA Grapalat"/>
                <w:b/>
                <w:lang w:val="hy-AM"/>
              </w:rPr>
              <w:t>Պետք է փաստել, որ իրավունքի չարաշահում եզրույթն ինքնին խնդրահարույց չէ որոշակիության տեսանկյունից, այն ինչպես դատավարական, այնպես էլ նյութական օրենսդրությանը հայտնի ինստիտուտ է: Ինչ վերաբերում է «պարբերաբար» եզրույթին, ապա թեև Սահմանադրական դատարանը ևս վերոնշյալ որոշմամբ արձանագրել է, որ այդ եզրույթը որոշակիության տեսանկյունից խնդրահարույց չէ, հարկ ենք համարում ընդգծել, որ «պարբերաբար» եզրույթը վերաբերում է բոլոր այն դեպքերին, երբ վարքագիծն ունի շարունակական բնույթ, չի սահմանափակվում մեկանգամյա գործողությամբ:</w:t>
            </w:r>
          </w:p>
          <w:p w14:paraId="6FF8F433" w14:textId="77777777" w:rsidR="00FC6BF8" w:rsidRPr="00F2718E" w:rsidRDefault="00FC6BF8" w:rsidP="00A961C5">
            <w:pPr>
              <w:spacing w:line="360" w:lineRule="auto"/>
              <w:jc w:val="both"/>
              <w:rPr>
                <w:rFonts w:ascii="GHEA Grapalat" w:hAnsi="GHEA Grapalat"/>
                <w:b/>
                <w:lang w:val="hy-AM"/>
              </w:rPr>
            </w:pPr>
            <w:r w:rsidRPr="00F2718E">
              <w:rPr>
                <w:rFonts w:ascii="GHEA Grapalat" w:hAnsi="GHEA Grapalat"/>
                <w:b/>
                <w:lang w:val="hy-AM"/>
              </w:rPr>
              <w:t>Գ. Փաստաբանական գործունեության ազատությանը չհիմնավորված միջամտությունը</w:t>
            </w:r>
          </w:p>
          <w:p w14:paraId="4A991D92" w14:textId="77777777" w:rsidR="00FC6BF8" w:rsidRPr="00F2718E" w:rsidRDefault="00FC6BF8" w:rsidP="00A961C5">
            <w:pPr>
              <w:spacing w:line="360" w:lineRule="auto"/>
              <w:jc w:val="both"/>
              <w:rPr>
                <w:rFonts w:ascii="GHEA Grapalat" w:hAnsi="GHEA Grapalat"/>
                <w:lang w:val="hy-AM"/>
              </w:rPr>
            </w:pPr>
            <w:r w:rsidRPr="00F2718E">
              <w:rPr>
                <w:rFonts w:ascii="GHEA Grapalat" w:hAnsi="GHEA Grapalat"/>
                <w:lang w:val="hy-AM"/>
              </w:rPr>
              <w:t>Փաստաբանը հանդիսանում է դատավարական իրավահարաբերությունների պրոֆեսիոնալ մասնակից</w:t>
            </w:r>
            <w:r w:rsidR="00AD70D3" w:rsidRPr="00F2718E">
              <w:rPr>
                <w:rFonts w:ascii="GHEA Grapalat" w:hAnsi="GHEA Grapalat"/>
                <w:lang w:val="hy-AM"/>
              </w:rPr>
              <w:t xml:space="preserve">: Փաստաբանի գործունեության հիմքը բարեխղճությունն է և թեև փաստաբանն օրենքով չարգելված գործողություններ կատարելու հնարավորություն ունի, սակայն իրավունքի չարաշահում հանիսացող վարքագիծը </w:t>
            </w:r>
            <w:r w:rsidR="004B70BE" w:rsidRPr="00F2718E">
              <w:rPr>
                <w:rFonts w:ascii="GHEA Grapalat" w:hAnsi="GHEA Grapalat"/>
                <w:lang w:val="hy-AM"/>
              </w:rPr>
              <w:t>չի կարող համապատասխան լինել  փաստաբանի վարքագծի անկյունաքար հանդիսացող բարեխղճության հետ:</w:t>
            </w:r>
          </w:p>
          <w:p w14:paraId="0819A23C" w14:textId="649F7AB3" w:rsidR="004B70BE" w:rsidRPr="00F2718E" w:rsidRDefault="004B70BE" w:rsidP="00A961C5">
            <w:pPr>
              <w:spacing w:line="360" w:lineRule="auto"/>
              <w:rPr>
                <w:rFonts w:ascii="GHEA Grapalat" w:hAnsi="GHEA Grapalat"/>
                <w:b/>
                <w:lang w:val="hy-AM"/>
              </w:rPr>
            </w:pPr>
            <w:r w:rsidRPr="00F2718E">
              <w:rPr>
                <w:rFonts w:ascii="GHEA Grapalat" w:hAnsi="GHEA Grapalat"/>
                <w:b/>
                <w:lang w:val="hy-AM"/>
              </w:rPr>
              <w:t xml:space="preserve">Դ. </w:t>
            </w:r>
            <w:r w:rsidR="00A961C5" w:rsidRPr="00F2718E">
              <w:rPr>
                <w:rFonts w:ascii="GHEA Grapalat" w:hAnsi="GHEA Grapalat"/>
                <w:b/>
                <w:lang w:val="hy-AM"/>
              </w:rPr>
              <w:t>Պարբերականության անորոշությունը</w:t>
            </w:r>
          </w:p>
          <w:p w14:paraId="4F603FB1" w14:textId="49C50E85" w:rsidR="004B70BE" w:rsidRPr="00F2718E" w:rsidRDefault="004B70BE" w:rsidP="00A961C5">
            <w:pPr>
              <w:spacing w:line="360" w:lineRule="auto"/>
              <w:jc w:val="both"/>
              <w:rPr>
                <w:rFonts w:ascii="GHEA Grapalat" w:hAnsi="GHEA Grapalat"/>
                <w:lang w:val="hy-AM"/>
              </w:rPr>
            </w:pPr>
            <w:r w:rsidRPr="00F2718E">
              <w:rPr>
                <w:rFonts w:ascii="GHEA Grapalat" w:hAnsi="GHEA Grapalat"/>
                <w:lang w:val="hy-AM"/>
              </w:rPr>
              <w:t>Ինչպես արդեն իսկ նշվել է թեև Սահմանադրական դատարանը ևս արձանագրել է, որ «պարբերաբար» եզրույթը որոշակիության տեսանկյունից խնդրահարույց չէ, հարկ ենք համարում ընդգծել, որ «պարբերաբար» եզրույթը վերաբերում է բոլոր այն դեպքերին, երբ վարքագիծն ունի շարունակական բնույթ, չի սահմանափակվում մեկանգամյա գործողությամբ:</w:t>
            </w:r>
          </w:p>
          <w:p w14:paraId="1A511735" w14:textId="77777777"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Ե. Գործի նյութերին ծանոթանալու իրավունքի սահմանափակման սանկցիայի անթույլատրելիությունը</w:t>
            </w:r>
          </w:p>
          <w:p w14:paraId="240FD534" w14:textId="77777777" w:rsidR="004B70BE" w:rsidRPr="00F2718E" w:rsidRDefault="004B70BE" w:rsidP="00A961C5">
            <w:pPr>
              <w:spacing w:line="360" w:lineRule="auto"/>
              <w:jc w:val="both"/>
              <w:rPr>
                <w:rFonts w:ascii="GHEA Grapalat" w:hAnsi="GHEA Grapalat"/>
                <w:lang w:val="hy-AM"/>
              </w:rPr>
            </w:pPr>
            <w:r w:rsidRPr="00F2718E">
              <w:rPr>
                <w:rFonts w:ascii="GHEA Grapalat" w:hAnsi="GHEA Grapalat"/>
                <w:lang w:val="hy-AM"/>
              </w:rPr>
              <w:t>Ընդունելով, որ գործի նյութերին ծանոթանալը կարևորագույն դատավարական իրավունք է՝ միաժամանակ պետք է փաստել, որ գործի նյութերին ծանոթանալու իրավունքի սահմանափակման նպատակը ոչ թե դատարանների աշխատակազմերի ծանրաբեռնվածության թեթևացումն է, այլ այդ հիմքով և պատճառաբանությամբ և դիտավորությամբ գործի քննության ձգձգումը: Ընդունելով, որ աշխատակազմերն ունեն գործի նյութերին ծանոթանալու կողմի իրավունքն ապահովելու պարտականություն՝ պետք է փաստել, որ նախ, չենք կարող համաձայնվել այն դիրքորոշման հետ, որ աշխատակազմերը կարող են մաս-մաս ներկայացնել գործը՝ ծանոթանալու նպատակով, քանի որ ըստ դատարանների գործավարության կանոնների՝ գործը ծանոթանալու նպատակով ներկայացվում է ամբողջությամբ: Բացի այդ, միշտ պետք է Նախագծի կարգավորումները քննարկելիս հաշվի առնել, որ իրավաչափ վարքագծի վրա այն չի տարածվում, չի կարող կիրառվել իրավունքի իրականացման սահմանափակում սանկցիան, եթե գրոծի նյութերին ծանոթանալն օբյեկտիվորեն անհրաժեշտ է, պայմանավորված չէ ոչ բարեխիղճ վարքագծով:</w:t>
            </w:r>
          </w:p>
          <w:p w14:paraId="0E72E943" w14:textId="77777777"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Զ. Բացարկ հայտնելու իրավունքի սահմանափակման սանկցիայի անթույլատրելիությունը</w:t>
            </w:r>
          </w:p>
          <w:p w14:paraId="6184E4F6" w14:textId="0AD84F71"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 xml:space="preserve">Է. </w:t>
            </w:r>
            <w:r w:rsidRPr="00F2718E">
              <w:rPr>
                <w:rFonts w:ascii="GHEA Grapalat" w:hAnsi="GHEA Grapalat"/>
                <w:b/>
                <w:bCs/>
                <w:iCs/>
                <w:lang w:val="hy-AM"/>
              </w:rPr>
              <w:t>Ապացույցներ ներկայացնել</w:t>
            </w:r>
            <w:r w:rsidRPr="00F2718E">
              <w:rPr>
                <w:rFonts w:ascii="GHEA Grapalat" w:hAnsi="GHEA Grapalat"/>
                <w:b/>
                <w:lang w:val="hy-AM"/>
              </w:rPr>
              <w:t>ու իրավունքի սահմանափակման սանկցիայի անթույլատրելիությունը</w:t>
            </w:r>
            <w:r w:rsidR="00C057E9" w:rsidRPr="00F2718E">
              <w:rPr>
                <w:rFonts w:ascii="GHEA Grapalat" w:hAnsi="GHEA Grapalat"/>
                <w:b/>
                <w:lang w:val="hy-AM"/>
              </w:rPr>
              <w:t>,</w:t>
            </w:r>
          </w:p>
          <w:p w14:paraId="4250AD39" w14:textId="276C49FD"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 xml:space="preserve">Ը. </w:t>
            </w:r>
            <w:r w:rsidRPr="00F2718E">
              <w:rPr>
                <w:rFonts w:ascii="GHEA Grapalat" w:hAnsi="GHEA Grapalat"/>
                <w:b/>
                <w:bCs/>
                <w:iCs/>
                <w:lang w:val="hy-AM"/>
              </w:rPr>
              <w:t>Դատավարության մասնակիցներին հարցեր տալու</w:t>
            </w:r>
            <w:r w:rsidRPr="00F2718E">
              <w:rPr>
                <w:rFonts w:ascii="GHEA Grapalat" w:hAnsi="GHEA Grapalat"/>
                <w:b/>
                <w:bCs/>
                <w:i/>
                <w:iCs/>
                <w:lang w:val="hy-AM"/>
              </w:rPr>
              <w:t xml:space="preserve"> </w:t>
            </w:r>
            <w:r w:rsidRPr="00F2718E">
              <w:rPr>
                <w:rFonts w:ascii="GHEA Grapalat" w:hAnsi="GHEA Grapalat"/>
                <w:b/>
                <w:lang w:val="hy-AM"/>
              </w:rPr>
              <w:t>իրավունքի սահմանափակման սանկցիայի անթույլատրելիությունը</w:t>
            </w:r>
            <w:r w:rsidR="00C057E9" w:rsidRPr="00F2718E">
              <w:rPr>
                <w:rFonts w:ascii="GHEA Grapalat" w:hAnsi="GHEA Grapalat"/>
                <w:b/>
                <w:lang w:val="hy-AM"/>
              </w:rPr>
              <w:t>,</w:t>
            </w:r>
          </w:p>
          <w:p w14:paraId="0A46A498" w14:textId="6A56466A" w:rsidR="00C057E9" w:rsidRPr="00F2718E" w:rsidRDefault="00C057E9" w:rsidP="00A961C5">
            <w:pPr>
              <w:spacing w:line="360" w:lineRule="auto"/>
              <w:jc w:val="both"/>
              <w:rPr>
                <w:rFonts w:ascii="GHEA Grapalat" w:hAnsi="GHEA Grapalat"/>
                <w:b/>
                <w:lang w:val="hy-AM"/>
              </w:rPr>
            </w:pPr>
            <w:r w:rsidRPr="00F2718E">
              <w:rPr>
                <w:rFonts w:ascii="GHEA Grapalat" w:hAnsi="GHEA Grapalat"/>
                <w:b/>
                <w:lang w:val="hy-AM"/>
              </w:rPr>
              <w:t xml:space="preserve">Ժ. </w:t>
            </w:r>
            <w:r w:rsidRPr="00F2718E">
              <w:rPr>
                <w:rFonts w:ascii="GHEA Grapalat" w:hAnsi="GHEA Grapalat"/>
                <w:b/>
                <w:bCs/>
                <w:iCs/>
                <w:lang w:val="hy-AM"/>
              </w:rPr>
              <w:t xml:space="preserve">Դիրքորոշում ներկայացնելու </w:t>
            </w:r>
            <w:r w:rsidRPr="00F2718E">
              <w:rPr>
                <w:rFonts w:ascii="GHEA Grapalat" w:hAnsi="GHEA Grapalat"/>
                <w:b/>
                <w:lang w:val="hy-AM"/>
              </w:rPr>
              <w:t>իրավունքի սահմանափակման սանկցիայի անթույլատրելիությունը</w:t>
            </w:r>
          </w:p>
          <w:p w14:paraId="60F0AA9B" w14:textId="3F0043EE" w:rsidR="004B70BE" w:rsidRPr="00F2718E" w:rsidRDefault="00C057E9" w:rsidP="00A961C5">
            <w:pPr>
              <w:spacing w:line="360" w:lineRule="auto"/>
              <w:jc w:val="both"/>
              <w:rPr>
                <w:rFonts w:ascii="GHEA Grapalat" w:hAnsi="GHEA Grapalat"/>
                <w:b/>
                <w:lang w:val="hy-AM"/>
              </w:rPr>
            </w:pPr>
            <w:r w:rsidRPr="00F2718E">
              <w:rPr>
                <w:rFonts w:ascii="GHEA Grapalat" w:hAnsi="GHEA Grapalat"/>
                <w:lang w:val="hy-AM"/>
              </w:rPr>
              <w:t>Սահմանափակման ենթակա սանկցիայի տեսակներն ընտրելիս առաջնային ոչ թե հաշվի են առնվել իրավունքի կարևորության մակարդակը, այլ դատավարության ընթացքում չարաշահվող իրավունքների շրջանակը: Իրավունքի իրականացման սահմանափակում սանկցիայի շրջանակներում սահմանափակման ենթակա բոլոր իրավունքները կարևորագույն և առանցքային իրավունքներ են, իսկ դրանց սահմանափակումները պայմանավորված են հակաիրավական վարքագծով և քանի դեռ վարքագիծն իրավաչափ է և հետապնդում է նման նպատակներ, ապա սահմանափակման այս տեսակը չի կարող կիրառվել:</w:t>
            </w:r>
          </w:p>
          <w:p w14:paraId="1436F253" w14:textId="705DFE46"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Թ. Միջնորդություններ ներկայացնելու իրավունքի սահմանափակման սանկցիայի անթույլատրելիությունը</w:t>
            </w:r>
          </w:p>
          <w:p w14:paraId="6C352659" w14:textId="6F384760" w:rsidR="00B70468" w:rsidRPr="00F2718E" w:rsidRDefault="00B70468" w:rsidP="00A961C5">
            <w:pPr>
              <w:spacing w:line="360" w:lineRule="auto"/>
              <w:jc w:val="both"/>
              <w:rPr>
                <w:rFonts w:ascii="GHEA Grapalat" w:hAnsi="GHEA Grapalat"/>
                <w:lang w:val="hy-AM"/>
              </w:rPr>
            </w:pPr>
            <w:r w:rsidRPr="00F2718E">
              <w:rPr>
                <w:rFonts w:ascii="GHEA Grapalat" w:hAnsi="GHEA Grapalat"/>
                <w:lang w:val="hy-AM"/>
              </w:rPr>
              <w:t xml:space="preserve">Անդրադառնալով այլ իրավունքի չարաշահման պայմաններում այլ իրավունքի սահմանափակման կիրառման և մեկ իրավունքի չարաշահման դեպքում մեկից ավելի իրավունքների սահմանափակումների կիրառման հնարավորությյանը՝ հարկ է փաստել, որ առաջարկվող՝ «որոշակի իրավունքների սույն օրենսգրքով սահմանված պարբերաբար չարաշահման դեպքում համապատասխան որոշմամբ </w:t>
            </w:r>
            <w:r w:rsidRPr="00F2718E">
              <w:rPr>
                <w:rFonts w:ascii="GHEA Grapalat" w:hAnsi="GHEA Grapalat"/>
                <w:b/>
                <w:lang w:val="hy-AM"/>
              </w:rPr>
              <w:t>դրանց իրականացման</w:t>
            </w:r>
            <w:r w:rsidRPr="00F2718E">
              <w:rPr>
                <w:rFonts w:ascii="GHEA Grapalat" w:hAnsi="GHEA Grapalat"/>
                <w:lang w:val="hy-AM"/>
              </w:rPr>
              <w:t xml:space="preserve"> համար ժամանակային կամ քանակական պայմանների սահմանումն է:» եզրույթը թույլ է տալիս փաստել, որ խոսքը համանման իրավունքի սահմանափակման մասին է: Այսպես՝ երբ օգտագործվում է «դրանց իրականացման» եզրույթը՝ «դրանց» դերանունը կապելով իրավունքների շրջանակի հետ, ապա ակնհայտ է, որ խոսքն այն իրավունքի սահմանափակման մասին է, որը չարաշահվում է, ինչը ենթադրում է, որ կարող են քանակական կամ ժամանակային պայմաններ սահմանվել միայն այն իրավունքների մասով, որոնք չարաշահվել են: Ինչ վերաբերում է մի քանի սահմանափակումների միաժամանյա կիրառմանը, ապա ոչ մի բացառություն կամ սահմանափակում չի նախատեսվել այն դեպքերի համար, երբ միաժամանակ չարաշահվում է մի քանի իրավունք: Հետևաբար, ցանկում նախատեսված մեկից ավելի իրավունքների միաժամանկյա չարաշահման դեպքում դատարանները զրկված չեն առանձին յուրաքանչյուր իրավունքի մասով սահմանափակում կիրառելու հնարավորությունից:</w:t>
            </w:r>
          </w:p>
          <w:p w14:paraId="43811CCC" w14:textId="77777777" w:rsidR="004B70BE" w:rsidRPr="00F2718E" w:rsidRDefault="004B70BE" w:rsidP="00A961C5">
            <w:pPr>
              <w:spacing w:line="360" w:lineRule="auto"/>
              <w:rPr>
                <w:rFonts w:ascii="GHEA Grapalat" w:hAnsi="GHEA Grapalat"/>
                <w:b/>
                <w:lang w:val="hy-AM"/>
              </w:rPr>
            </w:pPr>
            <w:r w:rsidRPr="00F2718E">
              <w:rPr>
                <w:rFonts w:ascii="GHEA Grapalat" w:hAnsi="GHEA Grapalat"/>
                <w:b/>
                <w:lang w:val="hy-AM"/>
              </w:rPr>
              <w:t>ԺԱ. Իրավունքի բուն իրացումը հնարավոր չէ ապահովել</w:t>
            </w:r>
          </w:p>
          <w:p w14:paraId="799438BB" w14:textId="63BB6036" w:rsidR="004B70BE" w:rsidRPr="00F2718E" w:rsidRDefault="00B70468" w:rsidP="00A961C5">
            <w:pPr>
              <w:spacing w:line="360" w:lineRule="auto"/>
              <w:jc w:val="both"/>
              <w:rPr>
                <w:rFonts w:ascii="GHEA Grapalat" w:hAnsi="GHEA Grapalat"/>
                <w:lang w:val="hy-AM"/>
              </w:rPr>
            </w:pPr>
            <w:r w:rsidRPr="00F2718E">
              <w:rPr>
                <w:rFonts w:ascii="GHEA Grapalat" w:hAnsi="GHEA Grapalat"/>
                <w:lang w:val="hy-AM"/>
              </w:rPr>
              <w:t>Դատավարական սանկցիայի կիրառմամբ իրավունքի բուն իրացումն ապահովելու կարգավորումը նախատեսվել է որպես երաշխիքային դրույթ: Դրա իմաստն այն է, որ եթե սահմանափակման արդյունքում անձը կարող է զրկվել իրավունքի իրականացման հնարավորությունից և չհասնել այդ իրավունքի իրացման արդյունքում ակնկալվող օրինական արդյունքին, ապա սանկցիայի այս տեսակը կիրառելի չլինի:</w:t>
            </w:r>
          </w:p>
          <w:p w14:paraId="3A53195D" w14:textId="0BBFB4D6" w:rsidR="004B70BE" w:rsidRPr="00F2718E" w:rsidRDefault="004B70BE" w:rsidP="00A961C5">
            <w:pPr>
              <w:spacing w:line="360" w:lineRule="auto"/>
              <w:jc w:val="both"/>
              <w:rPr>
                <w:rFonts w:ascii="GHEA Grapalat" w:hAnsi="GHEA Grapalat"/>
                <w:b/>
                <w:lang w:val="hy-AM"/>
              </w:rPr>
            </w:pPr>
            <w:r w:rsidRPr="00F2718E">
              <w:rPr>
                <w:rFonts w:ascii="GHEA Grapalat" w:hAnsi="GHEA Grapalat"/>
                <w:b/>
                <w:lang w:val="hy-AM"/>
              </w:rPr>
              <w:t>ԺԲ. Սանկցիան որոշակի չէ</w:t>
            </w:r>
          </w:p>
          <w:p w14:paraId="6A775280" w14:textId="6DFB3149" w:rsidR="00B70468" w:rsidRPr="00F2718E" w:rsidRDefault="00B70468" w:rsidP="00A961C5">
            <w:pPr>
              <w:spacing w:line="360" w:lineRule="auto"/>
              <w:jc w:val="both"/>
              <w:rPr>
                <w:rFonts w:ascii="GHEA Grapalat" w:hAnsi="GHEA Grapalat"/>
                <w:lang w:val="hy-AM"/>
              </w:rPr>
            </w:pPr>
            <w:r w:rsidRPr="00F2718E">
              <w:rPr>
                <w:rFonts w:ascii="GHEA Grapalat" w:hAnsi="GHEA Grapalat"/>
                <w:lang w:val="hy-AM"/>
              </w:rPr>
              <w:t>Անդրադառնալով «քանակական» և «ժամանակային» պայմաններ եզրույթների անորոշությանը՝ պետք է փաստել, որ «քանակական» պայմանը վերաբերում է սպառիչ ցանկի տեսքով սահմանված իրավունքների որոշակի քանակով սահմանափակմանը, «ժամանակայինը»՝ որոշակի ժամկետով սահմանափակմանը:</w:t>
            </w:r>
          </w:p>
        </w:tc>
      </w:tr>
      <w:tr w:rsidR="001C63AC" w:rsidRPr="00F2718E" w14:paraId="1F09AD91" w14:textId="77777777" w:rsidTr="00F260E8">
        <w:trPr>
          <w:gridAfter w:val="1"/>
          <w:wAfter w:w="6" w:type="dxa"/>
        </w:trPr>
        <w:tc>
          <w:tcPr>
            <w:tcW w:w="7879" w:type="dxa"/>
          </w:tcPr>
          <w:p w14:paraId="19C6447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8.</w:t>
            </w:r>
            <w:r w:rsidRPr="00F2718E">
              <w:rPr>
                <w:rFonts w:ascii="GHEA Grapalat" w:hAnsi="GHEA Grapalat"/>
                <w:lang w:val="hy-AM"/>
              </w:rPr>
              <w:tab/>
              <w:t xml:space="preserve">Նախագծի 5-րդ հոդվածի համաձայն՝ Օրենսգրքի 155-րդ հոդվածում՝ </w:t>
            </w:r>
          </w:p>
          <w:p w14:paraId="663E297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2-րդ մասի առաջին նախադասությունը շարադրել հետևյալ խմբագրությամբ.</w:t>
            </w:r>
          </w:p>
          <w:p w14:paraId="79CA24C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«Դատական տուգանք կիրառելու մասին դատարանի որոշումն ուժի մեջ է մտնում կայացման պահից, և դրա հիման վրա կազմված կատարողական թերթը ուղարկվում է հարկադիր կատարման, եթե սույն օրենսգրքի 155.2-րդ հոդվածով սահմանված ժամկետում դատական տուգանքի չափը նվազեցնելու կամ այն վերացնելու միջնորդություն չի ներկայացվում և դատական տուգանք կիրառելու մասին որոշումն ուժի մեջ մտնելու օրվանից մեկ ամսվա ընթացքում կամովին չի կատարվում:».</w:t>
            </w:r>
          </w:p>
          <w:p w14:paraId="5AF0EE7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 3-րդ մասը ուժը կորցրած ճանաչել:</w:t>
            </w:r>
          </w:p>
          <w:p w14:paraId="67F9D3F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155-րդ հոդվածի 3-րդ մասի համաձայն՝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Բողոքարկումը կասեցնում է դատարանի որոշման կատարումը:</w:t>
            </w:r>
          </w:p>
          <w:p w14:paraId="7645075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վերը նշված կարգավորումների ուժով վերացվում է դատական տուգանք կիրառելու որոշումը բողոքարկվելու դեպքում դրա կատարման կասեցումը:</w:t>
            </w:r>
          </w:p>
          <w:p w14:paraId="51385ED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Նշված մոտեցումն անընդունելի է այն առումով, որ դատական տուգանքի կիրառմամբ տեղի է ունենում միջամտություն մարդու սեփականության իրավունքին, և մինչև եռաստիճան դատական համակարգում չստուգվի կայացված ակտի իրավաչափությունը անձը չպետք է գումար վճարի: Դատական պրակտիկայում քիչ չեն դեպքերը, երբ ՀՀ վերաքննիչ քաղաքացիական դատարանը վերացրել է դատական սանկցիայի մասին, որոշումը: Եթե դատական տուգանքի որոշման բողոքարկման հիմքով դատական տուգանքի որոշումը չկասեցվի, ապա տուգանքը վճարելուց հետո հայցը բավարարելու դեպքում անձը պետք է դիմի ՀՀ դատական դեպարտամենտ վճարված դատական տուգանքի գումարն իրեն վերադարձնելու պահանջով: </w:t>
            </w:r>
          </w:p>
          <w:p w14:paraId="7A9A3E4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Հատկանշական է այն, որ անգամ գործադիր իշխանության մարմինների կողմից ընդունված վարչական ակտերը, որոնցով միջամտություն է կատարվում անձի սեփականության իրավունքին մինչև չստուգվեն վերադաս վարչական մարմնի կամ դատարանի կողմից և չդառնան անբողոքարկելի չեն կարող կատարվել:</w:t>
            </w:r>
          </w:p>
          <w:p w14:paraId="0A543F8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Ստացվում է, որ Նախագծով սահմանվում է մի այնպիսի անարդյունավետ կառուցակարգ, որի շրջանակներում դեռևս անբողոքարկելի չդարձած և իրավաչափությունը չստուգված դատական ակտով ոչ իրավաչափորեն միջամտություն է կատարվում անձի սեփականության իրավունքին, քանի որ անձը պարտավոր է վճարել տուգանքը, առանց սպասելու տուգանքի հիմք հանդիսացող որոշման իրավաչափությունը ստուգելը:</w:t>
            </w:r>
          </w:p>
          <w:p w14:paraId="5D14E85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Արդյունքում Նախագծում նշված ընթացակարգով ոչ միայն ոչ իրավաչափ միջամտություն է կատարվում անձի սեփականության իրավունքնին, այլ նաև դատական տուգանքի որոշումը վերացվելուց հետո անձը ստիպված է լինում նաև դիմել ՀՀ դատական դեպարտամենտին նախապես վճարված դատական տուգանքի գումարը հետ վերադարձնելու համար:</w:t>
            </w:r>
          </w:p>
          <w:p w14:paraId="06223F7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Թեև Նախագծի հիմնավորման մեջ գրված է, որ հաշվի առնելով, որ դատական տուգանք կիրառելու մասին որոշման բողոքարկումը հանգեցնում է դրա կատարման կասեցման, որպիսի կարգավորումը չի ապահովում դատական տուգանք սանկցիայի տեսակի նպատակների իրագործումը, միաժամանակ հիմք ընդունելով այն, որ վերադաս դատարաններն ունեն դատական ակտերի կատարումը կասեցնելու լիազորություն՝ առաջարկվել է հանել այն կարգավորումը, համաձայն որի՝ դատական տուգանք կիրառելու մասին որոշման բողոքարկումը հանգեցնում է այդ որոշման կատարման կասեցման:</w:t>
            </w:r>
          </w:p>
          <w:p w14:paraId="6AE9038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Այնուամենայնիվ կարծում ենք, որ դատական տուգանք կիրառելու մասին որոշման չկասեցնելը կամ կատարելը չի կարող ապահովել «դատական տուգանք» սանկցիայի նպատակները, քանի որ այն այսպես, թե այնպես բողոքարկվելու է և միջնորդություն է ներկայացվելու դրա կատարումը կասեցնելու համար: Կարծում ենք «դատական տուգանք» սանկցիայի նպատակներին առավել արդյունավետորեն կարելի է հասնել դատական տուգանքի որոշման բողոքարկման և բողոքի քննության սեղմ ժամկետներ սահմանելով, այլ ոչ թե բողոքարկման դեպքում դատարանի որոշումը չկասեցնելով:</w:t>
            </w:r>
          </w:p>
          <w:p w14:paraId="083A443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Ուստի առաջարկում ենք Նախագծի նշված դրույթը հանել Նախագծից:</w:t>
            </w:r>
          </w:p>
          <w:p w14:paraId="3E56CAF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Նույնը վերաբերվում է նաև «ՀՀ վարչական դատավարության օրենսգրքում լրացումներ և փոփոխություններ կատարելու մասին» ՀՀ օրենքի նախագծով (այսուհետ՝ Նախագիծ 2) 3-րդ հոդվածով 2013 թվականի դեկտեմբերի 5-ի Հայաստանի Հանրապետության վարչական դատավարության օրենսգրքի (այսուհետ՝ ՎԴՕ) 101.2-րդ հոդվածի 2-րդ և 3-րդ մասերի փոփոխությանը:</w:t>
            </w:r>
          </w:p>
        </w:tc>
        <w:tc>
          <w:tcPr>
            <w:tcW w:w="7022" w:type="dxa"/>
            <w:gridSpan w:val="6"/>
          </w:tcPr>
          <w:p w14:paraId="047A13DB" w14:textId="77777777" w:rsidR="001C63AC" w:rsidRPr="00F2718E" w:rsidRDefault="008C1F24"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47107F0F" w14:textId="77777777" w:rsidR="008C1F24" w:rsidRPr="00F2718E" w:rsidRDefault="008C1F24"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Դատական տուգանք սանկցիան՝ որպես գործի քննության ընթացքում կողմերի վարքագծի իրավաչափությունն ապահովող երաշխիք, պետք է ունենա անմիջական, չձգձգվող կատարում: Հակառակ դեպքում բողոքարկման երկարատև ընթացակարգը հաճախ կարող է տուգանքի կիրառումը դարձնել այլևս առարկայազուրկ՝ չապահովելով այն նպատակը, որը կարող էր իրագործվել տուգանքի կիրառելիության դեպքում: Պակաս կարևոր չէ այն հանգամանքը, որ վերադաս դատական ատյանները (քաղաքացիական դատավարությունում՝ վերաքննիչ և Վճռաբեկ դատարանները, վարչական դատավարությունում՝ Վճռաբեկ դատարանը) ունեն դատական ակտերի կատարումը կասեցնելու լիազորություն և դատական տուգանքի վերաբերյալ որոշումների բողոքարկման դեպքում համապատասխան միջնորդության հիմքով կարող են կասեցնել այդ ակտերի կատարումը: Ընդ որում, բողոքարկման՝ դատական ակտերի անվերապահ կասեցման հանգեցնելու կարգավորումը նույնիսկ կիրառելի չէ օրինական ուժի մեջ մտած վճիռների կամ օրինակ սնանկության գործերով կայացվող միջանկյալ դատական ակտերի դեպքում, քանի որ դրա հակակշիռն ապահովված է վերադաս դատական ատյանների՝ դատական ակտի կատարումը կասեցնելու լիազորությամբ: Ավելին՝ օրինակ ՀՀ քրեական դատավարության օրենսգրքով ևս առկա չէ դատական տուգանքի բողոքարկման դեպքում որոշման կատարման կասեցման վերաբերյալ կարգավորում:</w:t>
            </w:r>
          </w:p>
          <w:p w14:paraId="18FC70D0" w14:textId="0759848D" w:rsidR="008C1F24" w:rsidRPr="00F2718E" w:rsidRDefault="008C1F24" w:rsidP="00A961C5">
            <w:pPr>
              <w:spacing w:line="360" w:lineRule="auto"/>
              <w:contextualSpacing/>
              <w:jc w:val="both"/>
              <w:rPr>
                <w:rFonts w:ascii="GHEA Grapalat" w:hAnsi="GHEA Grapalat"/>
              </w:rPr>
            </w:pPr>
            <w:r w:rsidRPr="00F2718E">
              <w:rPr>
                <w:rFonts w:ascii="GHEA Grapalat" w:hAnsi="GHEA Grapalat"/>
                <w:shd w:val="clear" w:color="auto" w:fill="FFFFFF"/>
                <w:lang w:val="hy-AM"/>
              </w:rPr>
              <w:t xml:space="preserve">Նախագծի հիմնավորումներում ևս նշվել է, որ </w:t>
            </w:r>
            <w:r w:rsidR="00D303AF" w:rsidRPr="00F2718E">
              <w:rPr>
                <w:rFonts w:ascii="GHEA Grapalat" w:hAnsi="GHEA Grapalat"/>
                <w:lang w:val="hy-AM"/>
              </w:rPr>
              <w:t>հ</w:t>
            </w:r>
            <w:r w:rsidRPr="00F2718E">
              <w:rPr>
                <w:rFonts w:ascii="GHEA Grapalat" w:hAnsi="GHEA Grapalat"/>
              </w:rPr>
              <w:t>աշվի առնելով, որ դատական տուգանք կիրառելու մասին որոշման բողոքարկումը հանգեցնում է դրա կատարման կասեցման, որպիսի կարգավորումը չի ապահովում դատական տուգանք սանկցիայի տեսակի նպատակների իրագործումը, միաժամանակ հիմք ընդունելով այն, որ վերադաս դատարաններն ունեն դատական ակտերի կատարումը կասեցնելու լիազորություն՝ առաջարկվել է հանել այն կարգավորումը, համաձայն որի՝ դատական տուգանք կիրառելու մասին որոշման բողոքարկումը հանգեցնում է այդ որոշման կատարման կասեցման: Որպես հակակշիռ՝ Նախագծերով առաջարկվել է սահմանել, որ եթե վերաքննիչ կամ Վճռաբեկ դատարանը վերացնում է դատական տուգանքի չափը նվազեցնելու կամ վերացնելու միջնորդությունը մերժելու մասին որոշումը և վերացնում կամ նվազեցնում է դատական տուգանքը, ապա տվյալ դատական ակտով լուծում է նախապես վճարված տուգանքի կամ դրա ավել մասի վերադարձի հարցը:</w:t>
            </w:r>
          </w:p>
          <w:p w14:paraId="2C0FC355" w14:textId="36CA7A69" w:rsidR="008008E8" w:rsidRPr="00F2718E" w:rsidRDefault="008008E8" w:rsidP="00A961C5">
            <w:pPr>
              <w:spacing w:line="360" w:lineRule="auto"/>
              <w:contextualSpacing/>
              <w:jc w:val="both"/>
              <w:rPr>
                <w:rFonts w:ascii="GHEA Grapalat" w:hAnsi="GHEA Grapalat"/>
                <w:lang w:val="hy-AM"/>
              </w:rPr>
            </w:pPr>
            <w:r w:rsidRPr="00F2718E">
              <w:rPr>
                <w:rFonts w:ascii="GHEA Grapalat" w:hAnsi="GHEA Grapalat"/>
                <w:lang w:val="hy-AM"/>
              </w:rPr>
              <w:t>ՀՀ Սահմանադրության 60-րդ հոդվածի 3-րդ մասի համաձայն՝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10C6EB0F" w14:textId="76D49CA5" w:rsidR="008008E8" w:rsidRPr="00F2718E" w:rsidRDefault="008008E8" w:rsidP="00A961C5">
            <w:pPr>
              <w:spacing w:line="360" w:lineRule="auto"/>
              <w:contextualSpacing/>
              <w:jc w:val="both"/>
              <w:rPr>
                <w:rFonts w:ascii="GHEA Grapalat" w:hAnsi="GHEA Grapalat"/>
                <w:lang w:val="hy-AM"/>
              </w:rPr>
            </w:pPr>
            <w:r w:rsidRPr="00F2718E">
              <w:rPr>
                <w:rFonts w:ascii="GHEA Grapalat" w:hAnsi="GHEA Grapalat"/>
                <w:lang w:val="hy-AM"/>
              </w:rPr>
              <w:t>Ընդունելով, որ նշված կարգավորումները կարող են հանգեցնել սեփականության իրավունքի սահմանափակումների՝ միաժամանակ պետք է փաստել, որ այդ սահմանափակումները կրում են ժամանակավոր բնույթ, կախված են գործի ելքից</w:t>
            </w:r>
            <w:r w:rsidR="0007612A" w:rsidRPr="00F2718E">
              <w:rPr>
                <w:rFonts w:ascii="GHEA Grapalat" w:hAnsi="GHEA Grapalat"/>
                <w:lang w:val="hy-AM"/>
              </w:rPr>
              <w:t xml:space="preserve"> և անհրաժեշտ են հետապնդվող նպատակին, այն է՝ </w:t>
            </w:r>
            <w:r w:rsidR="00196759" w:rsidRPr="00F2718E">
              <w:rPr>
                <w:rFonts w:ascii="GHEA Grapalat" w:hAnsi="GHEA Grapalat"/>
                <w:lang w:val="hy-AM"/>
              </w:rPr>
              <w:t xml:space="preserve">դատավարության մասնակիցների </w:t>
            </w:r>
            <w:r w:rsidR="0007612A" w:rsidRPr="00F2718E">
              <w:rPr>
                <w:rFonts w:ascii="GHEA Grapalat" w:hAnsi="GHEA Grapalat"/>
                <w:lang w:val="hy-AM"/>
              </w:rPr>
              <w:t>պատշաճ վարքագիծ ապահովելու համար:</w:t>
            </w:r>
          </w:p>
          <w:p w14:paraId="41806530" w14:textId="558A5C07" w:rsidR="00460B33" w:rsidRPr="00F2718E" w:rsidRDefault="00460B33" w:rsidP="00A961C5">
            <w:pPr>
              <w:spacing w:line="360" w:lineRule="auto"/>
              <w:contextualSpacing/>
              <w:jc w:val="both"/>
              <w:rPr>
                <w:rFonts w:ascii="GHEA Grapalat" w:hAnsi="GHEA Grapalat"/>
                <w:lang w:val="hy-AM"/>
              </w:rPr>
            </w:pPr>
            <w:r w:rsidRPr="00F2718E">
              <w:rPr>
                <w:rFonts w:ascii="GHEA Grapalat" w:hAnsi="GHEA Grapalat"/>
                <w:lang w:val="hy-AM"/>
              </w:rPr>
              <w:t>Ինչ վերաբերում է այն փաստարկին, որ դեռևս անբողոքարկելի չդարձած և իրավաչափությունը չստուգված դատական ակտով ոչ իրավաչափորեն միջամտություն է կատարվում անձի սեփականության իրավունքին, ապա պետք է հստակ ընդգծել, որ դատական ակտերը կայացման պահից իրավաչափ են և իրավաչափության ստուգման՝ վերաքննության վարույթը չէ, որ հաստատում է դրանց իրավաչափությունը: Հակառակը, դատական ակտը համարվում է իրավաչափ, քանի դեռ վերադաս դատական ատյանի կողմից հակառակը չի հաստատվել, ուստի «դատական ակտի իրավաչափությունը ստուգված չլինելը» չի կարող հանդիսանալ խոչընդոտ՝ դատական ակտին կատարելիության հատկանիշով շնորհելու համար:</w:t>
            </w:r>
          </w:p>
          <w:p w14:paraId="22B5444B" w14:textId="7664ED9C" w:rsidR="008C1F24" w:rsidRPr="00F2718E" w:rsidRDefault="008C1F24" w:rsidP="00A961C5">
            <w:pPr>
              <w:keepNext/>
              <w:keepLines/>
              <w:spacing w:line="360" w:lineRule="auto"/>
              <w:jc w:val="both"/>
              <w:outlineLvl w:val="0"/>
              <w:rPr>
                <w:rFonts w:ascii="GHEA Grapalat" w:hAnsi="GHEA Grapalat"/>
                <w:shd w:val="clear" w:color="auto" w:fill="FFFFFF"/>
                <w:lang w:val="hy-AM"/>
              </w:rPr>
            </w:pPr>
          </w:p>
        </w:tc>
      </w:tr>
      <w:tr w:rsidR="001C63AC" w:rsidRPr="00F2718E" w14:paraId="3456DBAE" w14:textId="77777777" w:rsidTr="00F260E8">
        <w:trPr>
          <w:gridAfter w:val="1"/>
          <w:wAfter w:w="6" w:type="dxa"/>
        </w:trPr>
        <w:tc>
          <w:tcPr>
            <w:tcW w:w="7879" w:type="dxa"/>
          </w:tcPr>
          <w:p w14:paraId="51544F9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9.</w:t>
            </w:r>
            <w:r w:rsidRPr="00F2718E">
              <w:rPr>
                <w:rFonts w:ascii="GHEA Grapalat" w:hAnsi="GHEA Grapalat"/>
                <w:lang w:val="hy-AM"/>
              </w:rPr>
              <w:tab/>
              <w:t>Նախագծի 6-րդ հոդվածով Օրենսգրքում լրացվող «Դատական տուգանքի չափը նվազեցնելը կամ այն վերացնելը» վերտառությամբ 155.2-րդ հոդվածի 5-րդ մասի համաձայն՝ Դատական տուգանքի չափը նվազեցնելու կամ այն վերացնելու միջնորդությունը մերժելու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w:t>
            </w:r>
          </w:p>
          <w:p w14:paraId="2A7F463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Միաժամանակ Նախագծի 5-րդ հոդվածի 2-րդ կետով Օրենսգրքի 155-րդ հոդվածի 3-րդ մասն ուժը կորցված է ճանաչվում:</w:t>
            </w:r>
          </w:p>
          <w:p w14:paraId="6FB5F32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Օրենսգրքի 155-րդ հոդվածի 3-րդ մասի 1-ին նախադասության համաձայն՝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w:t>
            </w:r>
          </w:p>
          <w:p w14:paraId="323D7E4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Ավելին, Նախագծի 7-րդ հոդվածի իմաստով՝ Օրենսգրքի 360-րդ հոդվածի 1-ին մասի 4-րդ կետը շարադրվում է հետևյալ խմբագրությամբ.  </w:t>
            </w:r>
          </w:p>
          <w:p w14:paraId="7C22274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«4) այն անձինք, որոնց նկատմամբ առաջին ատյանի դատարանի կողմից կիրառվել է դատական տուգանք՝ դատական տուգանքի չափը նվազեցնելու կամ վերացնելու միջնորդությունը մերժելու մասին որոշման մասով:»:</w:t>
            </w:r>
          </w:p>
          <w:p w14:paraId="454AE06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Օրենսգրքի 360-րդ հոդվածի 1-ին մասի 4-րդ կետի համաձայն՝ առաջին ատյանի դատարանի վճիռների և սույն օրենսգրքի 361-րդ հոդվածի 1-ին մասով սահմանված որոշումների դեմ վերաքննիչ բողոք բերելու իրավունք ունեն` այն անձինք, որոնց նկատմամբ առաջին ատյանի դատարանի կողմից կիրառվել է դատական տուգանք՝ դատական տուգանք կիրառելու մասին որոշման մասով:</w:t>
            </w:r>
          </w:p>
          <w:p w14:paraId="648FE66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8-րդ հոդվածի իմաստով՝ Օրենսգրքի 361-րդ հոդվածի 1-ին մասի 8-րդ կետը շարադրվում է հետևյալ խմբագրությամբ.</w:t>
            </w:r>
          </w:p>
          <w:p w14:paraId="7F86B11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Վերաքննության կարգով բողոքարկման են ենթակա առաջին ատյանի դատարանի հետևյալ որոշումները` դատական տուգանքի չափը նվազեցնելու կամ վերացնելու միջնորդությունը մերժելու մասին որոշումը.»:</w:t>
            </w:r>
          </w:p>
          <w:p w14:paraId="6D45B27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Օրենսգրքի 361-րդ հոդվածի 1-ին մասի 8-րդ կետի համաձայն՝ վերաքննության կարգով բողոքարկման են ենթակա առաջին ատյանի դատարանի հետևյալ որոշումները`  դատական տուգանք կիրառելու մասին որոշումը.</w:t>
            </w:r>
          </w:p>
          <w:p w14:paraId="25DCBF6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Վերը նշված իրավական նորմերից համակարգային մեկնաբանությունից պարզ է դառնում, որ գործող ՀՀ օրենսդրությամբ դատական տուգանք նշանակելու մասին որոշումը կարող է անմիջականորեն բողոքարկվել համապատասխանաբար վերաքննիչ կամ վճռաբեկ դատարան: Նախագծով առաջարկվում է նշված նորմն ուժը կորցրած ճանաչել, ինչի հետևանքով այլևս հնարավոր չի լինի դատական տուգանք կիրառելու մասին որոշումը անմիջականորեն բողոքարկել: Փոխարենը առաջարկվում է դատավարության այն մասնակիցներին, ում նկատմամբ դատական տուգանք է կիրառվել, դիմել տուգանքը կիրառած դատարան, միջնորդելով վերացնել դատական տուգանքը կամ նվազեցնել դրա չափը: Եթե դատարանը կմերժի միջնորդությունը, նոր արդեն տվյալ դատավարության մասնակիցը միջնորդությունը մերժելու մասին որոշումը կարող է բողոքարկել: </w:t>
            </w:r>
          </w:p>
          <w:p w14:paraId="20A868A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Որպես հիմնավորում Նախագծի հիմնավորմամբ նշված է հետևյալը.</w:t>
            </w:r>
          </w:p>
          <w:p w14:paraId="77C2AC8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Օրենսգրքերի ներկայիս կարգավորումների համատեքստում ստացվում է, որ դատարանի կողմից կիրառված տուգանքը ենթակա է անմիջական բողոքարկման համապատասխանաբար վերաքննիչ կամ Վճռաբեկ դատարան: Նման իրավիճակում տուգանքի բողոքարկման և դրա վերացման հնարավորությունը պայմանավորված է միայն դատական սխալի առկայությամբ՝ չներառելով այն դեպքերը, երբ անձն օրինակ ընդունում է իր մեղավորությունը և հայցում դատարանի ներողամտությունը, ինչպես սանկցիայի մյուս տեսակների դեպքում է կամ երբ առկա են այնպիսի հանգամանքներ, որոնք սանկցիա կիրառած դատարանի առջև չեն բացահայտվել դատավարության մասնակցի կամքից և դատարանի գործողություններից անկախ հանգամանքներում: (…):</w:t>
            </w:r>
          </w:p>
          <w:p w14:paraId="026167D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բողոքարկման ենթակա պետք է լինի ոչ թե դատական տուգանք կիրառելու մասին որոշումը, այլ դատական տուգանքի չափը նվազեցնելու կամ այն վերացնելու միջնորդության քննության արդյունքում կայացված որոշումն, այսինքն՝ ըստ էության նշված որոշումների համար նախատեսվում է բողոքարկման այլ ընթացակարգ՝ վերադաս դատական ատյան դատական տուգանքի բողոքարկումը պայմանավորելով նախ այդ դատական տուգանքը կիրառած դատարանին համապատասխան միջնորդություն ներկայացված լինելու հետ (…):</w:t>
            </w:r>
          </w:p>
          <w:p w14:paraId="6DD8C6B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Եթե Նախագիծը մշակած մարմնի նպատակն է դատական սխալի առկայության դեպքից բացի ներառել նաև մեղավորություն ընդունելու և դատարանի ներողամտությունը հայցելու դեպքը, ինչպես նաև այն դեպքը, երբ առկա են այնպիսի հանգամանքներ, որոնք սանկցիա կիրառած դատարանի առջև չեն բացահայտվել դատավարության մասնակցի կամքից և դատարանի գործողություններից անկախ հանգամանքներում, ապա տեղին չէ դատական սխալի առկայության դեպքը կարգավորող բողոքարկման ինստիտուտը սահմանող նորմի ուժը կորցրած ճանաչելը:</w:t>
            </w:r>
          </w:p>
          <w:p w14:paraId="304C5C1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Նման մոտեցումը բացառում է դատական սխալի հիմքով բողոքարկման հնարավորությունը: Մինչդեռ գործնականում հնարավոր է, որ դատական տուգանք կիրառելու մասին դատարանի որոշումն ունենա դատական սխալ: Իսկ դատավարության մասնակիցը գրավոր միջնորդություն ներկայացնելիս, իր միջնորդությունում պետք է գրի, որ դատարանը սխալ է թույլ տվել: Ակնհայտ է, որ Դատարանը չի ընդունի այն, որ սխալ է գործել և կմերժի միջնորդությունը և տվյալ դատավարության մասնակիցը ստիպված պետք է բողոքարկի դատարանի որոշումը կորցնելով ժամանակ տուգանքը կիրառած դատարան դիմելու և այդ դատարանում գործը քննվելու ընթացակարգի վրա: Ընդ որում հարկ է նկատի ունենալ, դատարանի կողմից թույլ տրված դատական սխալները նշելու ոճով շարադրանք ներհատուկ է վերաքննիչ և վճռաբեկ բողոքներին, այլ ոչ թե միջնորդությանը:</w:t>
            </w:r>
          </w:p>
          <w:p w14:paraId="7C7671D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Նախագծի քննարկվելիք իրավակարգավորմամբ առաջարկվում է դատական սանկցիա կիրառելու որոշման դեմ անմիջականորեն բողոք տանելու իրավունքը վերացնել և այն փոխարինել կիրառված դատական սանկցիան վերացնելու միջնորդություն ներկայացնելու իրավունքով: ՀՀ քաղաքացիական և վարչական դատավարության օրենսգրքերում համանման կարգավորումներ են առկա նաև հայցի ապահովումը վերացնելու միջնորդության վերաբերյալ: Հայցի ապահովման միջոց կիրառելու մասին որոշումը վերաքննության կարգով անմիջականորեն բողոքարկման ենթակա չէ: Պատասխանողը կամ երրորդ անձը կարող են կա՛մ ներկայացնել հայցի ապահովման միջոցը վերացնելու մասին միջնորդություն, կա՛մ ներկայացնել հակընդդեմ ապահովում պահանջելու մասին միջնորդություն: Հայցի ապահովումը վերացնելու մասին միջնորդությունն իր էությամբ չի փոխարինում վերաքննիչ բողոքին: Այս առումով ՀՀ վճռաբեկ դատարանը թիվ ՎԴ/10849/05/21 վարչական գործով 2023 թվականի մարտի 7-ի նախադեպային որոշմամբ նշել է հետևյալը.</w:t>
            </w:r>
          </w:p>
          <w:p w14:paraId="66FB275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վճռաբեկ դատարանը գտել է, որ յուրաքանչյուր դեպքում հայցի ապահովման միջոցը վերացնելու միջնորդություն ներկայացնելիս դատավարության մասնակցից պահանջվում է ներկայացնել</w:t>
            </w:r>
            <w:r w:rsidRPr="00F2718E">
              <w:rPr>
                <w:rFonts w:ascii="Cambria Math" w:hAnsi="Cambria Math" w:cs="Cambria Math"/>
                <w:lang w:val="hy-AM"/>
              </w:rPr>
              <w:t>․</w:t>
            </w:r>
          </w:p>
          <w:p w14:paraId="4C22133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-կամ հայցի ապահովման միջոց կիրառելու որոշումից հետո ի հայտ եկած նոր փաստ և/կամ ապացույց, փաստական դրության փոփոխություն՝ հիմնավորելով, որ վերջիններիս առկայության պայմաններում վերանում է կիրառված հայցի ապահովման միջոցը պահպանելու անհրաժեշտությունը,</w:t>
            </w:r>
          </w:p>
          <w:p w14:paraId="52473B0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-կամ այնպիսի փաստ և/կամ ապացույց, որը դատարանի տրամադրության տակ չի եղել հայցի ապահովման միջոց կիրառելու որոշում կայացնելիս՝ հիմնավորելով, որ այդ փաստին և/կամ ապացույցին տիրապետելու պայմաններում դատարանի կողմից հայցի ապահովման միջոց կիրառելու վերաբերյալ միջնորդությունը չէր բավարարվի։</w:t>
            </w:r>
          </w:p>
          <w:p w14:paraId="11B081E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Վերոհիշյալի համատեքստում ՀՀ վճռաբեկ դատարանն ընդգծել է, որ հայցի ապահովման միջոցը վերացնելու միջնորդությամբ ներկայացված փաստարկները չեն կարող գտնվել հայցի ապահովման միջոց կիրառելու որոշման հիմնավորվածությունն ու իրավաչափությունը վիճարկելու տրամաբանության մեջ։ Այլ կերպ՝ հայցի ապահովման միջոցը վերացնելու իրավունքի իրացումը չպետք է վերածվի հայցի ապահովում կիրառելու մասին որոշման քողարկված բողոքարկման, որպիսի իրավական հնարավորություն օրենսդիրը չի սահմանել: Ըստ այդմ՝ հայցի ապահովման միջոցը վերացնելու միջնորդության քննարկման շրջանակներում չի կարող գնահատման առարկա դառնալ հայցի ապահովման միջոց կիրառելու որոշման հիմնավորվածությունն ու իրավաչափությունը։</w:t>
            </w:r>
          </w:p>
          <w:p w14:paraId="3B73D57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Թեև վերը նշված ՀՀ վճռաբեկ դատարանի որոշումը վերաբերվում է հայցի ապահովման միջոցը վերացնելուն, սակայն Նախագծով առաջարկվում է համանման ընթացակարգ, այն է՝ դատական սանկցիա կիրառելու մասին որոշման դեմ վերաքննիչ բողոք ներկայացնելու հնարավորությունը վերացվում է, սակայն հնարավոր է դառնում ներկայացնել կիրառված դատական սանկցիան վերացնելու մասին միջնորդություն: Հարկ է նկատի ունենալ, որ դատական տուգանքը վերացնելու միջնորդության մեջ չի կարող նշվել այնպիսի փաստարկ, որը վերաբերվում է դատական տուգանք կիրառելու մասին որոշման իրավաչափության կամ դատական սխալի վերաբերյալ:</w:t>
            </w:r>
          </w:p>
          <w:p w14:paraId="65D0A3D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Անդրադառնալով Նախագծի այն հիմնավորմանը, որ նշված կառուցակարգն ամրագրված է նաև ՌԴ քաղաքացիական օրենսգրքի 106-րդ հոդվածում, ապա հարկ է նշել, որ նման կարգավորումը ՌԴ իրավակիրառ պրակտիկայի տեսանկյունից խիստ խնդրահարույց է, քանի որ հենց նույն ՌԴ վարչական դատավարության օրենսգրքում և ՌԴ արբիտրաժային դատավարության օրենսգրքում սահմանված են բոլորովին այլ դրույթներ: Մասնավորապես՝</w:t>
            </w:r>
          </w:p>
          <w:p w14:paraId="102B8EF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ՌԴ վարչական դատավարության օրենսգրքի 123-րդ հոդվածի 3-րդ մասի համաձայն՝ դատական տուգանք կիրառելու մասին որոշման դեմ կարող է մասնավոր բողոք ներկայացվել այն անձի կողմից, ում նկատմամբ կիրառվել է դատական տուգանքը, տվյալ որոշման պատճենը ստանալու օրվանից մեկ ամսվա ընթացքում: </w:t>
            </w:r>
          </w:p>
          <w:p w14:paraId="72182AE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ՌԴ արբիտրաժային դատավարության օրենսգրքի 120-րդ հոդվածի 6-րդ մասի համաձայն՝ դատական տուգանք կիրառելու մասին արբիտրաժային դատարանի որոշումը կարող է բողոքարկվել այն անձի կողմից, ում նկատմամբ կիրառվել է դատական տուգանքը, որոշման պատճենը ստանալու օրվանից տասնօրյա ժամկետում:  </w:t>
            </w:r>
          </w:p>
          <w:p w14:paraId="2432372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Ստացվում է, որ ՌԴ վարչական դատավարությունում, ինչպես նաև տնտեսական և ձեռնարկատիրական վեճեր քննող պետական դատարանի (ՌԴ արբիտրաժային դատարանների  համակարգ) կողմից իրականացվող արբիտրաժային դատավարությունում դատական տուգանքի մասին որոշումը ենթակա է բողոքարկման: Հարցեր են ծագում, թե ինչո՞ւ ձեռնարկատիրական չհանդիսացող քաղաքացիական գործեր քննող դատարանի կողմից դատական տուգանք կիրառելու որոշումը բողոքարկման ենթակա չէ, իսկ ձեռնարկատիրական հանդիսացող քաղաքացիաիրավական բնույթի գործերով արբիտրաժային դատարանի նույն որոշումը բողոքարկման ենթակա է: Եվ ինչո՞ւ է Նախագիծը մշակողը ընդօրինակում ՌԴ քաղաքացիական դատավարության օրենսգրքի խնդրահարույց նորմը, սակայն չի ընդօրինակում նույն ՌԴ վարչական դատավարության և արբիտրաժային դատվաարության օրենսգրքերի համապատասխան իրավական նորմերը:</w:t>
            </w:r>
          </w:p>
          <w:p w14:paraId="357ADA90"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Հարկ է նաև նշել, որ դատական տուգանքը կիրառելու մասին որոշումը բողոքարկելու հնարավորությունը վերացումը ակնհայտորեն հակասում է Եվրոպայի խորհրդի Նախարարների կոմիտեի 07.02.1995 թվականի թիվ R(95)5 հանձնարարականի 1-ին հոդվածի (a) կետին և ոչ իրավաչափ դատական ակտերի կայացման ռիսկ է պարունակում` այդ թվում այն դեպքերում, երբ նույն դատավորն իրար հակասող երկու դատական ակտ կայացնի: Առաջարկվող կարգավորման խնդրահարույց լինելու մասին է վկայում այն, որ այս պահին գործող կարգավորումների պայմաններում բազմաթիվ են դատական տուգանք կիրառելիս թույլ տրված սխալները :  </w:t>
            </w:r>
          </w:p>
          <w:p w14:paraId="451FA8C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Հետևաբար առաջարկում ենք Նախագծի 5-րդ հոդվածի 2-րդ կետը հանել Նախագծի տեքստից, թողնելով դատավարության մասնակցին ընտրության հնարավորություն՝ կա՛մ բողոքարկել դատական սանկցիայի մասին որոշումը, կա՛մ դիմել դատարան դատական տուգանքը վերացնելու կամ տուգանքի չափը նվազեցնելու միջնորդությամբ և այն դատարանի կողմից մերժելու դեպքում բողոքարկել մերժման որոշումը: Ընտրության հնարավորությունը պայմանավորված կլինի այն հանգամանքով, թե առկա է արդյոք դատական սխալ, թե ոչ:</w:t>
            </w:r>
          </w:p>
          <w:p w14:paraId="6A9A5AF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Նույնը վերաբերվում է նաև Նախագիծ 2-ի 2-րդ հոդվածի 2-րդ կետով ՎԴՕ 101.2-րդ հոդվածի 3-րդ մասի 1-ին նախադասությունն ուժը կորցրած ճանաչելուն:</w:t>
            </w:r>
          </w:p>
        </w:tc>
        <w:tc>
          <w:tcPr>
            <w:tcW w:w="7022" w:type="dxa"/>
            <w:gridSpan w:val="6"/>
          </w:tcPr>
          <w:p w14:paraId="1C34E64D"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3473D198" w14:textId="77777777"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Նախագծերից հանվել են</w:t>
            </w:r>
            <w:r w:rsidRPr="00F2718E">
              <w:rPr>
                <w:rFonts w:ascii="GHEA Grapalat" w:hAnsi="GHEA Grapalat"/>
                <w:shd w:val="clear" w:color="auto" w:fill="FFFFFF"/>
                <w:lang w:val="hy-AM"/>
              </w:rPr>
              <w:t xml:space="preserve"> առաջարկվող </w:t>
            </w:r>
            <w:r>
              <w:rPr>
                <w:rFonts w:ascii="GHEA Grapalat" w:hAnsi="GHEA Grapalat"/>
                <w:lang w:val="hy-AM"/>
              </w:rPr>
              <w:t>101</w:t>
            </w:r>
            <w:r w:rsidRPr="00F2718E">
              <w:rPr>
                <w:rFonts w:ascii="GHEA Grapalat" w:hAnsi="GHEA Grapalat"/>
                <w:lang w:val="hy-AM"/>
              </w:rPr>
              <w:t>.</w:t>
            </w:r>
            <w:r>
              <w:rPr>
                <w:rFonts w:ascii="GHEA Grapalat" w:hAnsi="GHEA Grapalat"/>
                <w:lang w:val="hy-AM"/>
              </w:rPr>
              <w:t>4</w:t>
            </w:r>
            <w:r w:rsidRPr="00F2718E">
              <w:rPr>
                <w:rFonts w:ascii="GHEA Grapalat" w:hAnsi="GHEA Grapalat"/>
                <w:lang w:val="hy-AM"/>
              </w:rPr>
              <w:t>-</w:t>
            </w:r>
            <w:r>
              <w:rPr>
                <w:rFonts w:ascii="GHEA Grapalat" w:hAnsi="GHEA Grapalat"/>
                <w:lang w:val="hy-AM"/>
              </w:rPr>
              <w:t xml:space="preserve">րդ և </w:t>
            </w:r>
            <w:r>
              <w:rPr>
                <w:rFonts w:ascii="GHEA Grapalat" w:hAnsi="GHEA Grapalat"/>
                <w:lang w:val="en-US"/>
              </w:rPr>
              <w:t>155.2-</w:t>
            </w:r>
            <w:r>
              <w:rPr>
                <w:rFonts w:ascii="GHEA Grapalat" w:hAnsi="GHEA Grapalat"/>
                <w:lang w:val="hy-AM"/>
              </w:rPr>
              <w:t>րդ</w:t>
            </w:r>
            <w:r w:rsidRPr="00F2718E">
              <w:rPr>
                <w:rFonts w:ascii="GHEA Grapalat" w:hAnsi="GHEA Grapalat"/>
                <w:lang w:val="hy-AM"/>
              </w:rPr>
              <w:t xml:space="preserve"> </w:t>
            </w:r>
            <w:r>
              <w:rPr>
                <w:rFonts w:ascii="GHEA Grapalat" w:hAnsi="GHEA Grapalat"/>
                <w:lang w:val="hy-AM"/>
              </w:rPr>
              <w:t>հոդվածները:</w:t>
            </w:r>
          </w:p>
          <w:p w14:paraId="387FA170" w14:textId="4C34AF46" w:rsidR="00635019" w:rsidRPr="00F2718E" w:rsidRDefault="00635019" w:rsidP="00A961C5">
            <w:pPr>
              <w:pStyle w:val="ListParagraph"/>
              <w:tabs>
                <w:tab w:val="left" w:pos="851"/>
              </w:tabs>
              <w:spacing w:line="360" w:lineRule="auto"/>
              <w:ind w:left="0"/>
              <w:jc w:val="both"/>
              <w:rPr>
                <w:rFonts w:ascii="GHEA Grapalat" w:hAnsi="GHEA Grapalat"/>
                <w:sz w:val="24"/>
                <w:szCs w:val="24"/>
                <w:lang w:val="hy-AM"/>
              </w:rPr>
            </w:pPr>
          </w:p>
          <w:p w14:paraId="3EA0A7EC" w14:textId="77777777" w:rsidR="001C63AC" w:rsidRPr="00F2718E" w:rsidRDefault="001C63AC" w:rsidP="00A961C5">
            <w:pPr>
              <w:keepNext/>
              <w:keepLines/>
              <w:spacing w:line="360" w:lineRule="auto"/>
              <w:ind w:firstLine="720"/>
              <w:jc w:val="center"/>
              <w:outlineLvl w:val="0"/>
              <w:rPr>
                <w:rFonts w:ascii="GHEA Grapalat" w:hAnsi="GHEA Grapalat"/>
                <w:b/>
                <w:shd w:val="clear" w:color="auto" w:fill="FFFFFF"/>
                <w:lang w:val="hy-AM"/>
              </w:rPr>
            </w:pPr>
          </w:p>
        </w:tc>
      </w:tr>
      <w:tr w:rsidR="001C63AC" w:rsidRPr="00F2718E" w14:paraId="757F7CDA" w14:textId="77777777" w:rsidTr="00F260E8">
        <w:trPr>
          <w:gridAfter w:val="1"/>
          <w:wAfter w:w="6" w:type="dxa"/>
        </w:trPr>
        <w:tc>
          <w:tcPr>
            <w:tcW w:w="7879" w:type="dxa"/>
          </w:tcPr>
          <w:p w14:paraId="03367EF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10.</w:t>
            </w:r>
            <w:r w:rsidRPr="00F2718E">
              <w:rPr>
                <w:rFonts w:ascii="GHEA Grapalat" w:hAnsi="GHEA Grapalat"/>
                <w:lang w:val="hy-AM"/>
              </w:rPr>
              <w:tab/>
              <w:t>Նախագծի 6-րդ հոդվածով Օրենսգրքում լրացվող «Եզրափակիչ դատական ակտով կամ հայցադիմումի ընդունումը մերժելու մասին որոշմամբ դատական տուգանք կիրառելու առանձնահատկությունները» վերտառությամբ 155.3-րդ հոդվածի 1-ին մասի համաձայն՝ եթե գործին մասնակցող անձն անբարեխիղճ կերպով անհիմն հայց, վերաքննիչ կամ վճռաբեկ բողոք է ներկայացրել կամ դատավարական այլ վարքագծով չարաշահել է իր իրավունքները և եզրափակիչ դատական ակտով կամ հայցադիմումի ընդունումը մերժելու մասին որոշմամբ հաստատվել է իրավունքի չարաշահման փաստը, ապա դատարանը իրավունքը չարաշահած գործին մասնակցող անձի նկատմամբ կարող է կիրառել դատական տուգանք:</w:t>
            </w:r>
          </w:p>
          <w:p w14:paraId="5CB1EB5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Դատարանը չի կարող հաստատապես որոշել իրավունքի չարաշահման փաստը, քանի դեռ Օրենսգրքով չեն սահմանվել իրավունքի չարաշահման դրսևորման կոնկրետ ձևերը:</w:t>
            </w:r>
          </w:p>
          <w:p w14:paraId="309EADD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այդ, իրավունքի չարաշահումը կարող է հաստատվել, երբ հաստատված է համապատասխան դատավարական վարքագիծ դրսևորող անձի մոտ դատավարության այլ մասնակիցներին վնաս տալու կամ նրա իրավունքը խախտելու նպատակի առկայությունը: Եթե դատավարության այլ մասնակցի իրավունքներն առերևույթ սահմանափակվել են դա, դեռևս չի նշանակում, որ այդ դատավարական վարքագիծը դրսևորվել է տվյալ անձին վնաս հասցնելու նպատակով: Մրցակցային դատավարությունը ենթադրում է, որ մրցակցող կողմերից մեկի իր օգտին գործողությունը անխուսափելիորեն հանգեցնում է հակառակորդ կողմի շահերը սահմանափակելուն կամ առնվազն որոշակի բացասական ազդեցություն է թողնում հակառակորդ կողմի վրա:</w:t>
            </w:r>
          </w:p>
          <w:p w14:paraId="527F1EC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Ինչ վերաբերվում է հայցադիմում, վերաքննիչ բողոք ներկայացնելը որպես իրավունքի չարաշահում դիտարկելու և դրա համար անձին տուգանելու, ապա այս առումով նախ հարկ է նշել, որ դատարան դիմելու իրավունքի պաշտպանության համար անձը չի կարող ենթարկվել պատասխանատվության միայն նրա համար, որ դատարանը գնահատել է այդպիսի դիմում ներկայացնելը իրավունքի չարաշահում: Նույն հաջողությամբ մեկ այլ դատարան կարող էր նույն երևույթը չդիտարկել որպես իրավունքի չարաշահում: Դատարանները միշտ չէ, որ իրավական հարցերի նկատմամբ ունենում են միասնական մոտեցում, և օրենքի միատեսակ կիրառություն, ինչով և բացատրվում է ՀՀ-ում վճռաբեկ դատարանի առկայությունը: Այս առումով հարկ է նաև նկատի ունենալ, որ անկախ գործի ելքից դատարան դիմելը կարող է հետապնդել նաև այնպիսի իրավաչափ նպատակներ, ինչպիսիք են.</w:t>
            </w:r>
          </w:p>
          <w:p w14:paraId="71CC17F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Իմացություն տալ հակառակորդ կողմին, որ դատարան դիմած անձը հասկանում է խնդիրը, խաբված չի լինելու և պայքարելու է իր իրավունքների պաշտպանության համար:</w:t>
            </w:r>
          </w:p>
          <w:p w14:paraId="3DC186D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Հակառակորդ կողմին և այլ անձանց ցույց տալ անհամաձայնությունը վիճարկվող փաստի վերաբերյալ:</w:t>
            </w:r>
          </w:p>
          <w:p w14:paraId="445E29C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Հետագայում ունենալ ապացույց, որ փաստը վիճարկվել է:</w:t>
            </w:r>
          </w:p>
          <w:p w14:paraId="6B75FBC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 xml:space="preserve">Զրկել այլ անձանց, հետագայում իրավունքից հրաժարվելու և վիճելի փաստը չվիճարկելու կամ այն ընդունելու վերաբերյալ փաստարկները վկայակոչելու իրավունքից: </w:t>
            </w:r>
          </w:p>
          <w:p w14:paraId="2847FEF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Դատական գործով ձեռք բերել ապացույց:</w:t>
            </w:r>
          </w:p>
          <w:p w14:paraId="6D0E350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Սպառել բոլոր ատյանները ՀՀ սահմանադրական դատարան կամ Մարդու իրավունքների եվրոպական դատարան դիմելու համար:</w:t>
            </w:r>
          </w:p>
          <w:p w14:paraId="551651A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w:t>
            </w:r>
            <w:r w:rsidRPr="00F2718E">
              <w:rPr>
                <w:rFonts w:ascii="GHEA Grapalat" w:hAnsi="GHEA Grapalat"/>
                <w:lang w:val="hy-AM"/>
              </w:rPr>
              <w:tab/>
              <w:t>Ստեղծել ապացույց խնդիրը Հայաստանի Հանրապետության իրավական համակարգում լուծվելու անհնարինության վերաբերյալ:</w:t>
            </w:r>
          </w:p>
          <w:p w14:paraId="5448096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նշվածից բացի, հարկ ենք համարում արձանագրել, որ Նախագծերը մշակողի կողմից ներկայացվել էր «ՀՀ քաղաքացիական դատավարության օրենսգրքում լրացումներ կատարելու մասին» ՀՀ օրենքի նախագիծը, որի 1-ին հոդվածով Օրենսգրքի 102-րդ հոդված լրացվում էր նոր 13-րդ մասը՝ հետևյալ բովանդակությամբ.</w:t>
            </w:r>
          </w:p>
          <w:p w14:paraId="6A9E818C"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«13. Եթե գործը քննելու ընթացքում հայցն ակնհայտ անհիմն լինելու հիմքով կիրառվել է արագացված դատաքննություն և հայցը մերժվել է, ապա հայցվորը պարտավոր է վճարել լրացուցիչ պետական տուրք՝ հայցադիմումը ներկայացնելու պահին որոշված պետական տուրքի չափով։ Այս դեպքում դատարանը դատական ակտով անդրադառնում լրացուցիչ պետական տուրք գանձելու հարցին։»։</w:t>
            </w:r>
          </w:p>
          <w:p w14:paraId="5DDCC7B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Իսկ Նախագծի 2-րդ հոդվածով առաջարկվում էր Օրենսգրքի 304-րդ հոդվածում լրացնել նոր 2.1-ին մասը՝ հետևյալ բովանդակությամբ.</w:t>
            </w:r>
          </w:p>
          <w:p w14:paraId="79E70BA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«2.1. Սույն օրենսգրքի 303-րդ հոդվածի 1-ին մասի 8-րդ կետով նախատեսված դեպքերում արագացված դատաքննություն կիրառելու մասին որոշման մեջ դատարանը նշում է կատարում եզրափակիչ դատական ակտով լրացուցիչ պետական տուրք գանձելու հնարավորության վերաբերյալ։»։</w:t>
            </w:r>
          </w:p>
          <w:p w14:paraId="2FB7D54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Մինչդեռ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3A7DA7C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Վերը նշված իրավական նորմից ակնհայտ է, որ պետական տուրքը պետական կամ համայնքային բյուջե մուծվող պարտադիր վճար է, որը մուծվում է «Պետական տուրքի մասին» ՀՀ օրենքով սահմանված ծառայությունների համար:</w:t>
            </w:r>
          </w:p>
          <w:p w14:paraId="019A9D32"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Նախագծով առաջարկվում էր ակնհայտ անհիմն հայց ներկայացվելու դեպքում վճարել նաև լրացուցիչ տուրք: Մինչդեռ անթույլատրելի ենք համարում միևնույն պետական ծառայության, այն է՝ հայցապահանջի հիման վրա հարուցված քաղաքացիական (դատական) գործ քննելու համար կրկնակի վճարում կատարելը: Տվյալ դեպքում պետական տուրքը վճարվում է պետական ծառայության դիմաց, անկախ այդ պետական ծառայության մատուցման արդյունքում պարզված հանգամանքներից: </w:t>
            </w:r>
          </w:p>
          <w:p w14:paraId="238D2C1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Այժմ փորձ է կատարվել նույն նորմը վերարտադրել սույն Նախագծում, այն ակնհայտ անհիմն լինելու հիմքով կիրառված արագացված դատաքննության շրջանակներում հայցը մերժվելու դեպքից բացի տարածել նաև այլ դեպքերի վրա:</w:t>
            </w:r>
          </w:p>
          <w:p w14:paraId="79E1D056"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Բացի այդ, հարկ ենք համրում նշել, որ քննարկվելիք լրացումն ընդհանրապես տարակուսելի է, քանի որ անհիմն հայց` հատկապես իրավունքի չարաշահմամբ ներկայացվելու դեպքում առաջին հերթին և հիմնականում տուժում կամ կարող է տուժել մյուս կողմը, ով շատ հաճախ կատարում է ծախսեր` փաստաբանի վարձատրության տեսքով, մինչդեռ շատ հաճախ դատարանները չեն պարտավորեցնում հատուցել այդ  ծախսերի էական մասը` սահմանելով շատ ցածր գումարներ, իսկ փոփոխության արդյունքում ըստ էության ոչ թե լուծվում է տվյալ անձի ծախսերը հատուցելու հարցը, այլև ապահովվում է պետական բյուջեի մուտքերն այն դեպքում, երբ տվյալ անձն արդեն իսկ վճարել է պետական տուրքի գումարներ, ինչն առնվազն խնդրահարույց է:</w:t>
            </w:r>
          </w:p>
          <w:p w14:paraId="6702785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Ինչ վերաբերվում է վերաքննիչ բողոքին կամ վճռաբեկ բողոքին, ապա այս առումով հարկ է նշել, որ քանի դեռ Օրենսգրքով սահմանված չեն «իրավունքի չարաշահման» կոնկրետ դրսևորումները, ինչպես նաև դրանք որպես իրավախախտում դիտարկելու անհրաժեշտության վերաբերյալ հիմնավորումը,  Նախագծի նշված իրավակարգավորումը չի կարող ընդունվել: Քանի որ դատարաններն իրենց հայեցողությամբ կարող են կամայականություն ցուցաբերել և նշված նորմը օգտագործել որպես գործիք փաստաբանների կողմից դատավարական գործողություններ կատարելը զսպելու համար: </w:t>
            </w:r>
          </w:p>
          <w:p w14:paraId="64CFF5BA"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 պարզ օրինակ. փաստաբանը ներկայացնում է վերաքննիչ բողոք մի այնպիսի միջանկյալ դատական ակտի դեմ, որն Օրենսգրքի իմաստով բողոքարկման ենթակա չէ: Առաջին հայացքից նշված գործողությունը իրավունքի չարաշահում է, քանի որ փաստաբանը գիտի, որ Օրենսգրքի իմաստով բողոքարկման ոչ ենթակա որոշման դեմ բողոք ներկայացվելու դեպքում, դատարանն այն վարույթ չի ընդունի, սակայն փաստաբանն այնուամենայնիվ ներկայացնում է նշված բողոքը:</w:t>
            </w:r>
          </w:p>
          <w:p w14:paraId="1912C30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Մինչդեռ եթե փաստաբանը կարծում է, որ օրենսգրքի այն նորմը, համաձայն որի տվյալ դատական ակտը բողոքարկման ենթակա չէ առերևույթ հակասահմանադրական է և ցանկանում է դիմել ՀՀ սահմանադրական դատարան, փաստաբանը պետք է նախ վերաքննիչ բողոք ներկայացնի և ստանա վարույթ ընդունելը մերժելու որոշում: Նման բողոք ներկայացնելն իրավաչափ գործողություն է, քանի որ փաստաբանը չի կարող դիմել ՀՀ սահմանադրական դատարան, քանի դեռ չի սպառել բոլոր ատյանները և վերջնական դատական ակտով այդ նորմը նրա նկատմամբ չի կիրառվել: Տվյալ դեպքում վերաքննիչ բողոք ներկայացնելով փաստաբանը իրավաչափ նպատակ է հետապնդում, իսկ իր կողմից բողոք ներկայացնելը չի կարող համարվել որպես իրավունքի չարաշահում: </w:t>
            </w:r>
          </w:p>
          <w:p w14:paraId="7FD0B0F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Նույնը վերաբերվում է նաև Նախագիծ 2-ի 3-րդ հոդվածով ՎԴՕ-ում լրացվող 101.5-րդ հոդվածին 1-ին մասին:</w:t>
            </w:r>
          </w:p>
        </w:tc>
        <w:tc>
          <w:tcPr>
            <w:tcW w:w="7022" w:type="dxa"/>
            <w:gridSpan w:val="6"/>
          </w:tcPr>
          <w:p w14:paraId="0420FFBF" w14:textId="77777777" w:rsidR="00E3348F" w:rsidRPr="00F2718E" w:rsidRDefault="00E3348F"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00FFEEF9" w14:textId="77777777" w:rsidR="001C63AC" w:rsidRPr="00F2718E" w:rsidRDefault="00E3348F" w:rsidP="00A961C5">
            <w:pPr>
              <w:keepNext/>
              <w:keepLines/>
              <w:spacing w:line="360" w:lineRule="auto"/>
              <w:jc w:val="both"/>
              <w:outlineLvl w:val="0"/>
              <w:rPr>
                <w:rFonts w:ascii="GHEA Grapalat" w:hAnsi="GHEA Grapalat"/>
                <w:b/>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p>
        </w:tc>
      </w:tr>
      <w:tr w:rsidR="001C63AC" w:rsidRPr="00F2718E" w14:paraId="344BCBF7" w14:textId="77777777" w:rsidTr="00F260E8">
        <w:trPr>
          <w:gridAfter w:val="1"/>
          <w:wAfter w:w="6" w:type="dxa"/>
        </w:trPr>
        <w:tc>
          <w:tcPr>
            <w:tcW w:w="7879" w:type="dxa"/>
          </w:tcPr>
          <w:p w14:paraId="36E5B27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11.</w:t>
            </w:r>
            <w:r w:rsidRPr="00F2718E">
              <w:rPr>
                <w:rFonts w:ascii="GHEA Grapalat" w:hAnsi="GHEA Grapalat"/>
                <w:lang w:val="hy-AM"/>
              </w:rPr>
              <w:tab/>
              <w:t>Նախագծի 6-րդ հոդվածով Օրենսգրքում լրացվող «Եզրափակիչ դատական ակտով կամ հայցադիմումի ընդունումը մերժելու մասին որոշմամբ դատական տուգանք կիրառելու առանձնահատկությունները» վերտառությամբ 155.3-րդ հոդվածով առաջարկվում է բոլոր այն դեպքերում, երբ եզրափակիչ դատական ակտով կամ հայցադիմումի ընդունումը մերժելու մասին որոշմամբ հաստատվել է իրավունքի չարաշահման փաստը, համապատասխան հայցադիմումը կամ վերաքննիչ, վճռաբեկ բողոքը ներկայացրած դատավարության մասնակցի նկատմամբ կիրառել դատական տուգանք:</w:t>
            </w:r>
          </w:p>
          <w:p w14:paraId="24FBE9E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Հարկ է նկատի ունենալ, որ ՀՀ Սահմանադրության 61-րդ հոդվածի 1-ին մասի համաձայն՝ յուրաքանչյուր ոք ունի իր իրավունքների և ազատությունների արդյունավետ դատական պաշտպանության իրավունք:</w:t>
            </w:r>
          </w:p>
          <w:p w14:paraId="6F48192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14:paraId="3BF8F04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Սահմանադրական դատարանն իր մի շարք որոշումներով (ՍԴՈ-652, ՍԴՈ-690, ՍԴՈ-719, ՍԴՈ-765, ՍԴՈ-844, ՍԴՈ-873, ՍԴՈ-890, ՍԴՈ-932, ՍԴՈ-942, ՍԴՈ-1037, ՍԴՈ-1052, ՍԴՈ-1115, ՍԴՈ-1127, ՍԴՈ-1190, ՍԴՈ-1192, ՍԴՈ-1196, ՍԴՈ-1197, ՍԴՈ-1220, ՍԴՈ-1222) հանգամանորեն անդրադարձել է արդարադատության մատչելիության, արդար և արդյունավետ դատաքննության իրավունքների երաշխավորման սահմանադրական իրավաչափության խնդիրներին` դրանք դիտարկելով որպես դատական պաշտպանության իրավունքի անհրաժեշտ բաղադրատարրեր՝ հավասարապես ընդգծելով դրանց կարևորությունը դատաընթացակարգային բնագավառներում:</w:t>
            </w:r>
          </w:p>
          <w:p w14:paraId="58261C1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Մասնավորապես, Սահմանադրական դատարանը նշել է, որ</w:t>
            </w:r>
          </w:p>
          <w:p w14:paraId="4911ACA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դատավարական որևէ առանձնահատկություն կամ ընթացակարգ չի կարող խոչընդոտել կամ կանխել դատարան դիմելու իրավունքի արդյունավետ իրացման հնարավորությունը, իմաստազրկել ՀՀ Սահմանադրությամբ երաշխավորված դատական պաշտպանության իրավունքը կամ դրա իրացման արգելք հանդիսանալ,</w:t>
            </w:r>
          </w:p>
          <w:p w14:paraId="461A336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ընթացակարգային որևէ առանձնահատկություն չի կարող մեկնաբանվել որպես ՀՀ Սահմանադրությամբ երաշխավորված դատարանի մատչելիության իրավունքի սահմանափակման հիմնավորում,</w:t>
            </w:r>
          </w:p>
          <w:p w14:paraId="7632C5FD"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դատարանի (արդարադատության) մատչելիությունը կարող է ունենալ որոշակի սահմանափակումներ, որոնք չպետք է խաթարեն այդ իրավունքի բուն էությունը,</w:t>
            </w:r>
          </w:p>
          <w:p w14:paraId="14E2775E"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դատարան դիմելիս անձը չպետք է ծանրաբեռնվի ավելորդ ձևական պահանջներով,</w:t>
            </w:r>
          </w:p>
          <w:p w14:paraId="4F0A1FBF"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դատական ակտի դեմ ներկայացված բողոքի ընդունելիության պայմաններ, բողոքարկման ժամկետ սահմանելիս պետք է գերակայեն դատարանի մատչելիության իրավունքի ապահովման երաշխիքները,</w:t>
            </w:r>
          </w:p>
          <w:p w14:paraId="5270D0F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դատական ակտի պատճառաբանվածությունը, ըստ որի ընդունվում կամ մերժվում է անձի դիմումը, ինչպես նաև դատական ակտի բողոքարկման իրավունքը մատչելիության իրավունքի իրացման երաշխիքներ են,</w:t>
            </w:r>
          </w:p>
          <w:p w14:paraId="4D0E0AE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օրենսդրական կանոնակարգումը չի կարող սոցիալական անհամաչափ ծանրաբեռնվածություն առաջացնել անձանց համար՝ կախված նրանց ֆինանսական հնարավորություններից, արդյունքում չապահովելով դատարանի մատչելիության իրավունքը:</w:t>
            </w:r>
          </w:p>
          <w:p w14:paraId="2EC5BC21"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Այսպիսով, դատարան դիմելը և դատարանում լսված լինելն անձի հիմնարար իրավունքն է, որը չպետք է սահմանափակվի որևէ ոչ ողջամիտ եղանակով, մինչդեռ Նախագծերով առաջարկվող կարգավորումը դատարանի մատչելիության իրավունքի կոպտագույն խախտում է։</w:t>
            </w:r>
          </w:p>
          <w:p w14:paraId="72CF00E5"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Դեռևս 2018թ</w:t>
            </w:r>
            <w:r w:rsidRPr="00F2718E">
              <w:rPr>
                <w:rFonts w:ascii="Cambria Math" w:hAnsi="Cambria Math" w:cs="Cambria Math"/>
                <w:lang w:val="hy-AM"/>
              </w:rPr>
              <w:t>․</w:t>
            </w:r>
            <w:r w:rsidRPr="00F2718E">
              <w:rPr>
                <w:rFonts w:ascii="GHEA Grapalat" w:hAnsi="GHEA Grapalat"/>
                <w:lang w:val="hy-AM"/>
              </w:rPr>
              <w:t xml:space="preserve"> </w:t>
            </w:r>
            <w:r w:rsidRPr="00F2718E">
              <w:rPr>
                <w:rFonts w:ascii="GHEA Grapalat" w:hAnsi="GHEA Grapalat" w:cs="GHEA Grapalat"/>
                <w:lang w:val="hy-AM"/>
              </w:rPr>
              <w:t>ՀՀ</w:t>
            </w:r>
            <w:r w:rsidRPr="00F2718E">
              <w:rPr>
                <w:rFonts w:ascii="GHEA Grapalat" w:hAnsi="GHEA Grapalat"/>
                <w:lang w:val="hy-AM"/>
              </w:rPr>
              <w:t xml:space="preserve"> </w:t>
            </w:r>
            <w:r w:rsidRPr="00F2718E">
              <w:rPr>
                <w:rFonts w:ascii="GHEA Grapalat" w:hAnsi="GHEA Grapalat" w:cs="GHEA Grapalat"/>
                <w:lang w:val="hy-AM"/>
              </w:rPr>
              <w:t>քաղաքացիական</w:t>
            </w:r>
            <w:r w:rsidRPr="00F2718E">
              <w:rPr>
                <w:rFonts w:ascii="GHEA Grapalat" w:hAnsi="GHEA Grapalat"/>
                <w:lang w:val="hy-AM"/>
              </w:rPr>
              <w:t xml:space="preserve"> </w:t>
            </w:r>
            <w:r w:rsidRPr="00F2718E">
              <w:rPr>
                <w:rFonts w:ascii="GHEA Grapalat" w:hAnsi="GHEA Grapalat" w:cs="GHEA Grapalat"/>
                <w:lang w:val="hy-AM"/>
              </w:rPr>
              <w:t>դատավարության</w:t>
            </w:r>
            <w:r w:rsidRPr="00F2718E">
              <w:rPr>
                <w:rFonts w:ascii="GHEA Grapalat" w:hAnsi="GHEA Grapalat"/>
                <w:lang w:val="hy-AM"/>
              </w:rPr>
              <w:t xml:space="preserve"> </w:t>
            </w:r>
            <w:r w:rsidRPr="00F2718E">
              <w:rPr>
                <w:rFonts w:ascii="GHEA Grapalat" w:hAnsi="GHEA Grapalat" w:cs="GHEA Grapalat"/>
                <w:lang w:val="hy-AM"/>
              </w:rPr>
              <w:t>նոր</w:t>
            </w:r>
            <w:r w:rsidRPr="00F2718E">
              <w:rPr>
                <w:rFonts w:ascii="GHEA Grapalat" w:hAnsi="GHEA Grapalat"/>
                <w:lang w:val="hy-AM"/>
              </w:rPr>
              <w:t xml:space="preserve"> </w:t>
            </w:r>
            <w:r w:rsidRPr="00F2718E">
              <w:rPr>
                <w:rFonts w:ascii="GHEA Grapalat" w:hAnsi="GHEA Grapalat" w:cs="GHEA Grapalat"/>
                <w:lang w:val="hy-AM"/>
              </w:rPr>
              <w:t>օրենսգրքի</w:t>
            </w:r>
            <w:r w:rsidRPr="00F2718E">
              <w:rPr>
                <w:rFonts w:ascii="GHEA Grapalat" w:hAnsi="GHEA Grapalat"/>
                <w:lang w:val="hy-AM"/>
              </w:rPr>
              <w:t xml:space="preserve"> </w:t>
            </w:r>
            <w:r w:rsidRPr="00F2718E">
              <w:rPr>
                <w:rFonts w:ascii="GHEA Grapalat" w:hAnsi="GHEA Grapalat" w:cs="GHEA Grapalat"/>
                <w:lang w:val="hy-AM"/>
              </w:rPr>
              <w:t>ընդունմամբ</w:t>
            </w:r>
            <w:r w:rsidRPr="00F2718E">
              <w:rPr>
                <w:rFonts w:ascii="GHEA Grapalat" w:hAnsi="GHEA Grapalat"/>
                <w:lang w:val="hy-AM"/>
              </w:rPr>
              <w:t xml:space="preserve"> </w:t>
            </w:r>
            <w:r w:rsidRPr="00F2718E">
              <w:rPr>
                <w:rFonts w:ascii="GHEA Grapalat" w:hAnsi="GHEA Grapalat" w:cs="GHEA Grapalat"/>
                <w:lang w:val="hy-AM"/>
              </w:rPr>
              <w:t>ՀՀ</w:t>
            </w:r>
            <w:r w:rsidRPr="00F2718E">
              <w:rPr>
                <w:rFonts w:ascii="GHEA Grapalat" w:hAnsi="GHEA Grapalat"/>
                <w:lang w:val="hy-AM"/>
              </w:rPr>
              <w:t>-</w:t>
            </w:r>
            <w:r w:rsidRPr="00F2718E">
              <w:rPr>
                <w:rFonts w:ascii="GHEA Grapalat" w:hAnsi="GHEA Grapalat" w:cs="GHEA Grapalat"/>
                <w:lang w:val="hy-AM"/>
              </w:rPr>
              <w:t>ն</w:t>
            </w:r>
            <w:r w:rsidRPr="00F2718E">
              <w:rPr>
                <w:rFonts w:ascii="GHEA Grapalat" w:hAnsi="GHEA Grapalat"/>
                <w:lang w:val="hy-AM"/>
              </w:rPr>
              <w:t xml:space="preserve"> </w:t>
            </w:r>
            <w:r w:rsidRPr="00F2718E">
              <w:rPr>
                <w:rFonts w:ascii="GHEA Grapalat" w:hAnsi="GHEA Grapalat" w:cs="GHEA Grapalat"/>
                <w:lang w:val="hy-AM"/>
              </w:rPr>
              <w:t>հրաժարվել</w:t>
            </w:r>
            <w:r w:rsidRPr="00F2718E">
              <w:rPr>
                <w:rFonts w:ascii="GHEA Grapalat" w:hAnsi="GHEA Grapalat"/>
                <w:lang w:val="hy-AM"/>
              </w:rPr>
              <w:t xml:space="preserve"> </w:t>
            </w:r>
            <w:r w:rsidRPr="00F2718E">
              <w:rPr>
                <w:rFonts w:ascii="GHEA Grapalat" w:hAnsi="GHEA Grapalat" w:cs="GHEA Grapalat"/>
                <w:lang w:val="hy-AM"/>
              </w:rPr>
              <w:t>է</w:t>
            </w:r>
            <w:r w:rsidRPr="00F2718E">
              <w:rPr>
                <w:rFonts w:ascii="GHEA Grapalat" w:hAnsi="GHEA Grapalat"/>
                <w:lang w:val="hy-AM"/>
              </w:rPr>
              <w:t xml:space="preserve"> 09.04.2018</w:t>
            </w:r>
            <w:r w:rsidRPr="00F2718E">
              <w:rPr>
                <w:rFonts w:ascii="GHEA Grapalat" w:hAnsi="GHEA Grapalat" w:cs="GHEA Grapalat"/>
                <w:lang w:val="hy-AM"/>
              </w:rPr>
              <w:t>թ</w:t>
            </w:r>
            <w:r w:rsidRPr="00F2718E">
              <w:rPr>
                <w:rFonts w:ascii="Cambria Math" w:hAnsi="Cambria Math" w:cs="Cambria Math"/>
                <w:lang w:val="hy-AM"/>
              </w:rPr>
              <w:t>․</w:t>
            </w:r>
            <w:r w:rsidRPr="00F2718E">
              <w:rPr>
                <w:rFonts w:ascii="GHEA Grapalat" w:hAnsi="GHEA Grapalat"/>
                <w:lang w:val="hy-AM"/>
              </w:rPr>
              <w:t xml:space="preserve"> </w:t>
            </w:r>
            <w:r w:rsidRPr="00F2718E">
              <w:rPr>
                <w:rFonts w:ascii="GHEA Grapalat" w:hAnsi="GHEA Grapalat" w:cs="GHEA Grapalat"/>
                <w:lang w:val="hy-AM"/>
              </w:rPr>
              <w:t>ուժը</w:t>
            </w:r>
            <w:r w:rsidRPr="00F2718E">
              <w:rPr>
                <w:rFonts w:ascii="GHEA Grapalat" w:hAnsi="GHEA Grapalat"/>
                <w:lang w:val="hy-AM"/>
              </w:rPr>
              <w:t xml:space="preserve"> </w:t>
            </w:r>
            <w:r w:rsidRPr="00F2718E">
              <w:rPr>
                <w:rFonts w:ascii="GHEA Grapalat" w:hAnsi="GHEA Grapalat" w:cs="GHEA Grapalat"/>
                <w:lang w:val="hy-AM"/>
              </w:rPr>
              <w:t>կորցրած</w:t>
            </w:r>
            <w:r w:rsidRPr="00F2718E">
              <w:rPr>
                <w:rFonts w:ascii="GHEA Grapalat" w:hAnsi="GHEA Grapalat"/>
                <w:lang w:val="hy-AM"/>
              </w:rPr>
              <w:t xml:space="preserve"> </w:t>
            </w:r>
            <w:r w:rsidRPr="00F2718E">
              <w:rPr>
                <w:rFonts w:ascii="GHEA Grapalat" w:hAnsi="GHEA Grapalat" w:cs="GHEA Grapalat"/>
                <w:lang w:val="hy-AM"/>
              </w:rPr>
              <w:t>ՀՀ</w:t>
            </w:r>
            <w:r w:rsidRPr="00F2718E">
              <w:rPr>
                <w:rFonts w:ascii="GHEA Grapalat" w:hAnsi="GHEA Grapalat"/>
                <w:lang w:val="hy-AM"/>
              </w:rPr>
              <w:t xml:space="preserve"> </w:t>
            </w:r>
            <w:r w:rsidRPr="00F2718E">
              <w:rPr>
                <w:rFonts w:ascii="GHEA Grapalat" w:hAnsi="GHEA Grapalat" w:cs="GHEA Grapalat"/>
                <w:lang w:val="hy-AM"/>
              </w:rPr>
              <w:t>քաղաքացիական</w:t>
            </w:r>
            <w:r w:rsidRPr="00F2718E">
              <w:rPr>
                <w:rFonts w:ascii="GHEA Grapalat" w:hAnsi="GHEA Grapalat"/>
                <w:lang w:val="hy-AM"/>
              </w:rPr>
              <w:t xml:space="preserve"> </w:t>
            </w:r>
            <w:r w:rsidRPr="00F2718E">
              <w:rPr>
                <w:rFonts w:ascii="GHEA Grapalat" w:hAnsi="GHEA Grapalat" w:cs="GHEA Grapalat"/>
                <w:lang w:val="hy-AM"/>
              </w:rPr>
              <w:t>դատավարության</w:t>
            </w:r>
            <w:r w:rsidRPr="00F2718E">
              <w:rPr>
                <w:rFonts w:ascii="GHEA Grapalat" w:hAnsi="GHEA Grapalat"/>
                <w:lang w:val="hy-AM"/>
              </w:rPr>
              <w:t xml:space="preserve"> </w:t>
            </w:r>
            <w:r w:rsidRPr="00F2718E">
              <w:rPr>
                <w:rFonts w:ascii="GHEA Grapalat" w:hAnsi="GHEA Grapalat" w:cs="GHEA Grapalat"/>
                <w:lang w:val="hy-AM"/>
              </w:rPr>
              <w:t>օրենսգրքում</w:t>
            </w:r>
            <w:r w:rsidRPr="00F2718E">
              <w:rPr>
                <w:rFonts w:ascii="GHEA Grapalat" w:hAnsi="GHEA Grapalat"/>
                <w:lang w:val="hy-AM"/>
              </w:rPr>
              <w:t xml:space="preserve"> </w:t>
            </w:r>
            <w:r w:rsidRPr="00F2718E">
              <w:rPr>
                <w:rFonts w:ascii="GHEA Grapalat" w:hAnsi="GHEA Grapalat" w:cs="GHEA Grapalat"/>
                <w:lang w:val="hy-AM"/>
              </w:rPr>
              <w:t>ամրագրված</w:t>
            </w:r>
            <w:r w:rsidRPr="00F2718E">
              <w:rPr>
                <w:rFonts w:ascii="GHEA Grapalat" w:hAnsi="GHEA Grapalat"/>
                <w:lang w:val="hy-AM"/>
              </w:rPr>
              <w:t xml:space="preserve"> </w:t>
            </w:r>
            <w:r w:rsidRPr="00F2718E">
              <w:rPr>
                <w:rFonts w:ascii="GHEA Grapalat" w:hAnsi="GHEA Grapalat" w:cs="GHEA Grapalat"/>
                <w:lang w:val="hy-AM"/>
              </w:rPr>
              <w:t>ակնհայտ</w:t>
            </w:r>
            <w:r w:rsidRPr="00F2718E">
              <w:rPr>
                <w:rFonts w:ascii="GHEA Grapalat" w:hAnsi="GHEA Grapalat"/>
                <w:lang w:val="hy-AM"/>
              </w:rPr>
              <w:t xml:space="preserve"> </w:t>
            </w:r>
            <w:r w:rsidRPr="00F2718E">
              <w:rPr>
                <w:rFonts w:ascii="GHEA Grapalat" w:hAnsi="GHEA Grapalat" w:cs="GHEA Grapalat"/>
                <w:lang w:val="hy-AM"/>
              </w:rPr>
              <w:t>անհիմն</w:t>
            </w:r>
            <w:r w:rsidRPr="00F2718E">
              <w:rPr>
                <w:rFonts w:ascii="GHEA Grapalat" w:hAnsi="GHEA Grapalat"/>
                <w:lang w:val="hy-AM"/>
              </w:rPr>
              <w:t xml:space="preserve"> </w:t>
            </w:r>
            <w:r w:rsidRPr="00F2718E">
              <w:rPr>
                <w:rFonts w:ascii="GHEA Grapalat" w:hAnsi="GHEA Grapalat" w:cs="GHEA Grapalat"/>
                <w:lang w:val="hy-AM"/>
              </w:rPr>
              <w:t>հայց</w:t>
            </w:r>
            <w:r w:rsidRPr="00F2718E">
              <w:rPr>
                <w:rFonts w:ascii="GHEA Grapalat" w:hAnsi="GHEA Grapalat"/>
                <w:lang w:val="hy-AM"/>
              </w:rPr>
              <w:t xml:space="preserve"> </w:t>
            </w:r>
            <w:r w:rsidRPr="00F2718E">
              <w:rPr>
                <w:rFonts w:ascii="GHEA Grapalat" w:hAnsi="GHEA Grapalat" w:cs="GHEA Grapalat"/>
                <w:lang w:val="hy-AM"/>
              </w:rPr>
              <w:t>ներկայացրած</w:t>
            </w:r>
            <w:r w:rsidRPr="00F2718E">
              <w:rPr>
                <w:rFonts w:ascii="GHEA Grapalat" w:hAnsi="GHEA Grapalat"/>
                <w:lang w:val="hy-AM"/>
              </w:rPr>
              <w:t xml:space="preserve"> </w:t>
            </w:r>
            <w:r w:rsidRPr="00F2718E">
              <w:rPr>
                <w:rFonts w:ascii="GHEA Grapalat" w:hAnsi="GHEA Grapalat" w:cs="GHEA Grapalat"/>
                <w:lang w:val="hy-AM"/>
              </w:rPr>
              <w:t>անձի</w:t>
            </w:r>
            <w:r w:rsidRPr="00F2718E">
              <w:rPr>
                <w:rFonts w:ascii="GHEA Grapalat" w:hAnsi="GHEA Grapalat"/>
                <w:lang w:val="hy-AM"/>
              </w:rPr>
              <w:t xml:space="preserve"> </w:t>
            </w:r>
            <w:r w:rsidRPr="00F2718E">
              <w:rPr>
                <w:rFonts w:ascii="GHEA Grapalat" w:hAnsi="GHEA Grapalat" w:cs="GHEA Grapalat"/>
                <w:lang w:val="hy-AM"/>
              </w:rPr>
              <w:t>համար</w:t>
            </w:r>
            <w:r w:rsidRPr="00F2718E">
              <w:rPr>
                <w:rFonts w:ascii="GHEA Grapalat" w:hAnsi="GHEA Grapalat"/>
                <w:lang w:val="hy-AM"/>
              </w:rPr>
              <w:t xml:space="preserve"> </w:t>
            </w:r>
            <w:r w:rsidRPr="00F2718E">
              <w:rPr>
                <w:rFonts w:ascii="GHEA Grapalat" w:hAnsi="GHEA Grapalat" w:cs="GHEA Grapalat"/>
                <w:lang w:val="hy-AM"/>
              </w:rPr>
              <w:t>պատասխանատվությո</w:t>
            </w:r>
            <w:r w:rsidRPr="00F2718E">
              <w:rPr>
                <w:rFonts w:ascii="GHEA Grapalat" w:hAnsi="GHEA Grapalat"/>
                <w:lang w:val="hy-AM"/>
              </w:rPr>
              <w:t>ւն սահմանող իրավակարգավորումից, որի համաձայն՝ ակնհայտ անհիմն հայցը դատարանի կողմից մերժվելու դեպքում պատասխանողն իրավունք ունի ընդդեմ հայցվորի հայց հարուցել նույն դատարան` իրեն պատճառած վնասները հատուցելու պահանջով: Նախագծով անհիմն հայց ներկայացնելու համար պատասխա¬նատվություն (տուգանք) սահմանող կարգավորում ներդնելն ըստ էության հետքայլ է ՀՀ գործող օրենսդրության զարգացման տեսանկյունից։</w:t>
            </w:r>
          </w:p>
          <w:p w14:paraId="0A625944"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Ստացվում է, որ անձը հայց, վերաքննիչ և վճռաբեկ բողոք ներկայացնելիս պետք է մտածի ոչ միայն իր իրավունքների իրացման, այլև՝ կիրառվելիք սանկցիաների (տուգանքների) մասին։</w:t>
            </w:r>
          </w:p>
          <w:p w14:paraId="7A0733C8"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Մինչդեռ օրենսդրական կարգավորումները չպետք է հանգեցնեն նրան, որ անձը ստիպված լինի դատարան դիմելիս ավելորդ ձևական պահանջներով ծանրաբեռնվել (տվյալ դեպքում՝ ավելորդ զգուշավորություն ցուցաբերել)։ Մինչդեռ Նախագծով առաջարկվող կարգավորումն ընդունվելու դեպքում դատարանը հնարավորություն է ստանալու ավելորդ ֆինանսական ծանրաբեռնվածություն ստեղծել անձի համար՝ իր դատավարական իրավունքներն իրականացնելու գործընթացում, ինչը խոչընդոտելու է անձի իրավունքների և ազատությունների արդյունավետ դատական պաշտպանության սահմանադրական իրավունքի անարգել իրացմանը։</w:t>
            </w:r>
          </w:p>
          <w:p w14:paraId="015A74B3"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Նույնը վերաբերվում է նաև Նախագիծ 2-ի 3-րդ հոդվածով ՎԴՕ-ում լրացվող 101.5-րդ հոդվածին 1-ին մասին:</w:t>
            </w:r>
          </w:p>
        </w:tc>
        <w:tc>
          <w:tcPr>
            <w:tcW w:w="7022" w:type="dxa"/>
            <w:gridSpan w:val="6"/>
          </w:tcPr>
          <w:p w14:paraId="063BA004" w14:textId="77777777" w:rsidR="00E3348F" w:rsidRPr="00F2718E" w:rsidRDefault="00E3348F"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38767AA5" w14:textId="77777777" w:rsidR="001C63AC" w:rsidRPr="00F2718E" w:rsidRDefault="00E3348F" w:rsidP="00A961C5">
            <w:pPr>
              <w:keepNext/>
              <w:keepLines/>
              <w:spacing w:line="360" w:lineRule="auto"/>
              <w:jc w:val="both"/>
              <w:outlineLvl w:val="0"/>
              <w:rPr>
                <w:rFonts w:ascii="GHEA Grapalat" w:hAnsi="GHEA Grapalat"/>
                <w:b/>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155.3-րդ  և 101.5-րդ հոդվածները (եզրափակիչ դատական ակտով կամ հայցադիմումի ընդունումը մերժելու մասին որոշմամբ դատական տուգանք կիրառելու առանձնահատկությունները):</w:t>
            </w:r>
          </w:p>
        </w:tc>
      </w:tr>
      <w:tr w:rsidR="001C63AC" w:rsidRPr="00F2718E" w14:paraId="1A2FD87F" w14:textId="77777777" w:rsidTr="00F260E8">
        <w:trPr>
          <w:gridAfter w:val="1"/>
          <w:wAfter w:w="6" w:type="dxa"/>
        </w:trPr>
        <w:tc>
          <w:tcPr>
            <w:tcW w:w="7879" w:type="dxa"/>
          </w:tcPr>
          <w:p w14:paraId="5ADC89E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12.</w:t>
            </w:r>
            <w:r w:rsidRPr="00F2718E">
              <w:rPr>
                <w:rFonts w:ascii="GHEA Grapalat" w:hAnsi="GHEA Grapalat"/>
                <w:lang w:val="hy-AM"/>
              </w:rPr>
              <w:tab/>
              <w:t xml:space="preserve">Նախագծի 9-րդ հոդվածի 2-րդ մասի համաձայն՝ սույն օրենքը տարածվում է մինչև սույն օրենքն ուժի մեջ մտնելը ներկայացված հայցադիմումների (դիմումների) հիման վրա հարուցված գործերի վրա։  </w:t>
            </w:r>
          </w:p>
          <w:p w14:paraId="59A39EE9"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ՀՀ սահմանադրության 73-րդ հոդվածի 1-ին մասի համաձայն՝ անձի իրավական վիճակը վատթարացնող օրենքները և այլ իրավական ակտերը հետադարձ ուժ չունեն:</w:t>
            </w:r>
          </w:p>
          <w:p w14:paraId="751446BB"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Նախագծով առաջարկվում է Օրենսգրքում դատավարության մասնակիցների համար սահմանել որոշակի պարտականություններ, օրինակ՝ դատական նիստին մասնակցելու կամ դատավարական իրավունքներից պարբերաբար չօգտվելու պարտականություններ, ինչպես նաև և պատասխանատվության միջոցներ դատական տուգանքի ձևով: Այսինքն Նախագիծը վատթարացնում է անձի իրավական վիճակը: Մինչդեռ Նախագծի անցումային դրույթներում առաջարկվում է Նախագծի դրույթները տարածել մինչև Նախագծի ընդունվելը և ուժի մեջ մտնելը ներկայացված հայցադիմումների հիման վրա հարուցված  գործերի վրա: Նշված գործերով դատավարության մասնակիցներն արդեն իսկ կատարած են լինելու որոշակի դատավարական գործողություններ: Այդ գործողությունները կատարելիս՝ նրանք գործել են գործող օրենսդրության պահանջներին համապատասխան և չգիտեին, որ հետագայում օրենքի հնարավոր փոփոխությունների ուժով նրանց գործողությունները կարող են դիտարկվել որպես «իրավունքի չարաշահում», ինչ իր հերթին կարող էր հանգեցնել դատական սանկցիաների: </w:t>
            </w:r>
          </w:p>
          <w:p w14:paraId="25EA57F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 xml:space="preserve"> Հարկ ենք համարում նաև նշել, որ Նախագծի դրույթների գործողությունը կարող է տարածվել միայն Նախագիծը որպես օրենք ընդունելուց և ուժի մեջ մտնելուց հետո ներկայացվող հայցադիմումների հիման վրա հարուցված գործերով կատարվելիք դատավարական գործողությունների վրա կամ գոնե Նախագիծը որպես օրենք ընդունելուց և ուժի մեջ մտնելուց առաջ հարուցված քաղաքացիական գործերով Նախագիծը որպես օրենք ընդունելուց և ուժի մեջ մտնելուց հետո կատարվելիք դատավարական գործողությունների վրա: </w:t>
            </w:r>
          </w:p>
          <w:p w14:paraId="2A3D651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Նախագծով առաջարկվող փոփոխությունների մեծ մասը տարածվում են մինչև օրենքի ուժի մեջ մտնելը ներկայացված հայցադիմումների հիման վրա հարուցված գործերի վրա, սակայն բացակայում է հիմնավորում, թե ինչով է պայմանավորված նաև արդեն իսկ հարուցված գործերի վրա տարածելու կարգավորում սահմանելը:</w:t>
            </w:r>
          </w:p>
          <w:p w14:paraId="19384B27" w14:textId="77777777" w:rsidR="001C63AC" w:rsidRPr="00F2718E" w:rsidRDefault="001C63AC"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Նույնը վերաբերվում է նաև Նախագիծ 2-ի 4-րդ հոդվածի 2-րդ մասին:</w:t>
            </w:r>
          </w:p>
          <w:p w14:paraId="1FA7D270" w14:textId="2BA8125A" w:rsidR="001B0E1F" w:rsidRPr="00F2718E" w:rsidRDefault="001B0E1F"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Ամփոփելով վերոնշյալը՝ գտնում ենք, որ Նախագծի ընդունման նպատակը գործի քննությունը խիստ սեղմ ժամկետներում և հնարավորինս դյուրին եղանակով իրականացնելն է, ինչը առաջարկվում է իրականացնել անձի արդար դատաքննության իրավունքի սահմանափակման հաշվին։ Մինչդեռ Սահմանադրությամբ երաշխավորված՝ դատարանի մատչելիության, դիրքորոշում հայտնելու, միջնորդություն, ապացույց ներկայացնելու իրավունքները չպետք է ոչ իրավաչափորեն սահմանափակվեն դատավորների կողմից՝ գործը հնարավորինս դյուրին և արագ քննելու նկատառումներով։</w:t>
            </w:r>
          </w:p>
          <w:p w14:paraId="0440E02B" w14:textId="77777777" w:rsidR="001B0E1F" w:rsidRPr="00F2718E" w:rsidRDefault="001B0E1F"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Պրակտիկայում առկա են բազմահատոր և բազմադրվագ դատական գործեր, տասնյակների հասնող գործին մասնակցող անձանց կազմով, ինչը ենթադրում է մեծաքանակ ապացույցների ներկայացում, բազմաթիվ դիրքորոշումների և տարատեսակ միջնորդությունների ներկայացման անհրաժեշտություն։ Օրինաչափ ու ողջամիտ է նման գործերի երկարաժամկետ քննությունը:</w:t>
            </w:r>
          </w:p>
          <w:p w14:paraId="105BEC57" w14:textId="6F653893" w:rsidR="001B0E1F" w:rsidRPr="00F2718E" w:rsidRDefault="001B0E1F" w:rsidP="00A961C5">
            <w:pPr>
              <w:tabs>
                <w:tab w:val="left" w:pos="810"/>
                <w:tab w:val="left" w:pos="900"/>
              </w:tabs>
              <w:spacing w:line="360" w:lineRule="auto"/>
              <w:jc w:val="both"/>
              <w:rPr>
                <w:rFonts w:ascii="GHEA Grapalat" w:hAnsi="GHEA Grapalat"/>
                <w:lang w:val="hy-AM"/>
              </w:rPr>
            </w:pPr>
          </w:p>
        </w:tc>
        <w:tc>
          <w:tcPr>
            <w:tcW w:w="7022" w:type="dxa"/>
            <w:gridSpan w:val="6"/>
          </w:tcPr>
          <w:p w14:paraId="318675EF" w14:textId="77777777" w:rsidR="001C63AC" w:rsidRPr="00F2718E" w:rsidRDefault="00652FF1" w:rsidP="00A961C5">
            <w:pPr>
              <w:keepNext/>
              <w:keepLines/>
              <w:spacing w:line="360" w:lineRule="auto"/>
              <w:ind w:firstLine="720"/>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Չի ընդունվել:</w:t>
            </w:r>
          </w:p>
          <w:p w14:paraId="0E6731BC" w14:textId="77777777" w:rsidR="00652FF1" w:rsidRPr="00F2718E" w:rsidRDefault="00652FF1"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Քաղաքացիական դատավարության օրենսգրքի 1-ին հոդվածի 3-րդ մասի համաձայն՝ քաղաքացիական դատավարությունն իրականացվում է գործի քննության կամ առանձին դատավարական գործողության կատարման ժամանակ գործող օրենքով:</w:t>
            </w:r>
          </w:p>
          <w:p w14:paraId="27EBBFF5" w14:textId="77777777" w:rsidR="00652FF1" w:rsidRPr="00F2718E" w:rsidRDefault="00652FF1" w:rsidP="00A961C5">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Դատավարական իրավահարաբերությունները, ի տարբերություն նյութական իրավահարաբերությունների, ունեն օրենքի՝ ժամանակի մեջ կիրառելիության այլ կարգավորումներ: Այսպես, եթե նյութական իրավահարաբերությունների վրա տարածվում են իրավահարաբերությունների ծագման պահին գործող նորմերը և միայն բացառիկ դեպքերում է հնարավոր փոխել կիրառելի իրավունքը, ապա դատավարական իրավահարաբերություններում հիմք է ընդունվում դատավարական գործողության կատարման պահին գործող օրենքը, ինչը նշանակում է, որ դատավարական որևէ գործողություն կատարելիս՝ միջնորդություն քննարկելիս, ապացույց հետազոտելիս և այլն, կիրառվում է տվյալ պահին գործող կանոնը՝ անկախ, թե հայցի հարուցման պահին ինչ կանոն է գործել: Սույն դեպքում խոսքը դատավարական այնպիսի գործողության մասին է, ինչպիսին է դատական տուգանքի կիրառման հնարավորությունը: Էական է, որ Նախագծով մանրամասնեցվել է, որ՝ «Մինչև սույն օրենքն ուժի մեջ մտնելը կիրառված դատական տուգանքների կամ դատական տուգանք կիրառելու մասին միջնորդությունների նկատմամբ կիրառելի են տուգանքի կիրառման կամ միջնորդության ներկայացման պահին գործող նորմերը», ինչը ենթադրում է, որ նախքան օրենքի ընդունումը կիրառված տուգանքների կամ միջնորդությունների վրա տարածվելու են նախկին կարգավորումները:</w:t>
            </w:r>
          </w:p>
        </w:tc>
      </w:tr>
      <w:tr w:rsidR="00C80D87" w:rsidRPr="00F2718E" w14:paraId="21EFD298" w14:textId="3EF0BB3B" w:rsidTr="00F260E8">
        <w:trPr>
          <w:trHeight w:val="280"/>
        </w:trPr>
        <w:tc>
          <w:tcPr>
            <w:tcW w:w="11758" w:type="dxa"/>
            <w:gridSpan w:val="3"/>
            <w:vMerge w:val="restart"/>
            <w:shd w:val="clear" w:color="auto" w:fill="D9D9D9" w:themeFill="background1" w:themeFillShade="D9"/>
          </w:tcPr>
          <w:p w14:paraId="08E3B051" w14:textId="31D40645" w:rsidR="00C80D87" w:rsidRPr="00F2718E" w:rsidRDefault="00C80D87" w:rsidP="00A961C5">
            <w:pPr>
              <w:keepNext/>
              <w:keepLines/>
              <w:spacing w:line="360" w:lineRule="auto"/>
              <w:ind w:firstLine="720"/>
              <w:jc w:val="center"/>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31. ՀՀ կենտրոնական բանկ</w:t>
            </w:r>
          </w:p>
        </w:tc>
        <w:tc>
          <w:tcPr>
            <w:tcW w:w="3149" w:type="dxa"/>
            <w:gridSpan w:val="5"/>
            <w:shd w:val="clear" w:color="auto" w:fill="D9D9D9" w:themeFill="background1" w:themeFillShade="D9"/>
          </w:tcPr>
          <w:p w14:paraId="344B9050" w14:textId="185B09F6" w:rsidR="00C80D87" w:rsidRPr="00F2718E" w:rsidRDefault="00C80D87" w:rsidP="00A961C5">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15.1-07/227-24</w:t>
            </w:r>
          </w:p>
        </w:tc>
      </w:tr>
      <w:tr w:rsidR="00C80D87" w:rsidRPr="00F2718E" w14:paraId="4993F29C" w14:textId="77777777" w:rsidTr="00F260E8">
        <w:trPr>
          <w:trHeight w:val="206"/>
        </w:trPr>
        <w:tc>
          <w:tcPr>
            <w:tcW w:w="11758" w:type="dxa"/>
            <w:gridSpan w:val="3"/>
            <w:vMerge/>
            <w:shd w:val="clear" w:color="auto" w:fill="D9D9D9" w:themeFill="background1" w:themeFillShade="D9"/>
          </w:tcPr>
          <w:p w14:paraId="141151C8" w14:textId="77777777" w:rsidR="00C80D87" w:rsidRPr="00F2718E" w:rsidRDefault="00C80D87" w:rsidP="00A961C5">
            <w:pPr>
              <w:keepNext/>
              <w:keepLines/>
              <w:spacing w:line="360" w:lineRule="auto"/>
              <w:ind w:firstLine="720"/>
              <w:jc w:val="center"/>
              <w:outlineLvl w:val="0"/>
              <w:rPr>
                <w:rFonts w:ascii="GHEA Grapalat" w:hAnsi="GHEA Grapalat"/>
                <w:b/>
                <w:highlight w:val="lightGray"/>
                <w:shd w:val="clear" w:color="auto" w:fill="FFFFFF"/>
                <w:lang w:val="hy-AM"/>
              </w:rPr>
            </w:pPr>
          </w:p>
        </w:tc>
        <w:tc>
          <w:tcPr>
            <w:tcW w:w="3149" w:type="dxa"/>
            <w:gridSpan w:val="5"/>
            <w:shd w:val="clear" w:color="auto" w:fill="D9D9D9" w:themeFill="background1" w:themeFillShade="D9"/>
          </w:tcPr>
          <w:p w14:paraId="777B2052" w14:textId="68621390" w:rsidR="00C80D87" w:rsidRPr="00F2718E" w:rsidRDefault="00C80D87" w:rsidP="00A961C5">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20.06.2024թ.</w:t>
            </w:r>
          </w:p>
        </w:tc>
      </w:tr>
      <w:tr w:rsidR="00C80D87" w:rsidRPr="00F2718E" w14:paraId="54BB8244" w14:textId="77777777" w:rsidTr="00F260E8">
        <w:trPr>
          <w:gridAfter w:val="1"/>
          <w:wAfter w:w="6" w:type="dxa"/>
        </w:trPr>
        <w:tc>
          <w:tcPr>
            <w:tcW w:w="7879" w:type="dxa"/>
          </w:tcPr>
          <w:p w14:paraId="1A2675BF" w14:textId="45BC7626" w:rsidR="00C80D87" w:rsidRPr="00F2718E" w:rsidRDefault="00C80D87" w:rsidP="00A961C5">
            <w:pPr>
              <w:tabs>
                <w:tab w:val="left" w:pos="810"/>
                <w:tab w:val="left" w:pos="900"/>
              </w:tabs>
              <w:spacing w:line="360" w:lineRule="auto"/>
              <w:jc w:val="both"/>
              <w:rPr>
                <w:rFonts w:ascii="GHEA Grapalat" w:hAnsi="GHEA Grapalat"/>
                <w:lang w:val="hy-AM"/>
              </w:rPr>
            </w:pPr>
            <w:r w:rsidRPr="00F2718E">
              <w:rPr>
                <w:rFonts w:ascii="GHEA Grapalat" w:hAnsi="GHEA Grapalat"/>
                <w:lang w:val="hy-AM"/>
              </w:rPr>
              <w:t>1. Ընդունելի ենք համարում Նախագծերով առաջարկվող լուծումն առ այն, որ գործն ըստ էության դատական ակտով դատարանն իրավասու է անդրադառնալ նաև իրավունքի չարաշահման փաստով դատավարության մասնակցի նկատմամբ տուգանք կիրառելու հարցին։ Հիմնավորումներում վկայակոչվել է ՀՀ վճռաբեկ դատարանի թիվ ԵԿԴ/1397/02/11 քաղաքացիական գործով 08.10.2020 թվականի որոշմամբ արտահայտված իրավական դիրքորոշումը։ Գտնում ենք, որ այս և դատական պրակտիկայի շրջանակներում արտահայտված այլ իրավական դիրքորոշումների լույսի ներքո անհրաժեշտ է դատավարական օրենսգրքերում ներառվելիք գործն ըստ էության լուծող դատական ակտով դատական տուգանք կիրառելու առանձնահատկությունները ամրագրող նորմում հստակեցնել իրավունքի չարաշահման հասկացությունը կամ, առնվազն, իրավունքի չարաշահմանը բնորոշ չափանիշները՝ հետագայում դատական պրակտիկայում տարբերակված մոտեցումների առաջացումը կանխելու և միասնականությունն ապահովելու նպատակով, հատկապես այն պայմաններում, երբ, օրինակ, ի տարբերություն ՀՀ քաղաքացիական դատավարության օրենսգրքի՝ ՀՀ վարչական դատավարության օրենսգրքում առհասարակ դատավարական իրավունքների չարաշահման անթույլատրելիության սկզբունքն ուղղակիորեն ամրագրված չէ։</w:t>
            </w:r>
          </w:p>
        </w:tc>
        <w:tc>
          <w:tcPr>
            <w:tcW w:w="7022" w:type="dxa"/>
            <w:gridSpan w:val="6"/>
          </w:tcPr>
          <w:p w14:paraId="4F3D3A94" w14:textId="77777777" w:rsidR="00C80D87" w:rsidRPr="00F2718E" w:rsidRDefault="00C80D87"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507FDFDA" w14:textId="7AFD1FD2" w:rsidR="00C80D87" w:rsidRPr="00F2718E" w:rsidRDefault="00C80D87" w:rsidP="00A961C5">
            <w:pPr>
              <w:keepNext/>
              <w:keepLines/>
              <w:spacing w:line="360" w:lineRule="auto"/>
              <w:jc w:val="both"/>
              <w:outlineLvl w:val="0"/>
              <w:rPr>
                <w:rFonts w:ascii="GHEA Grapalat" w:hAnsi="GHEA Grapalat"/>
                <w:b/>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 xml:space="preserve">155.3-րդ  և 101.5-րդ հոդվածները </w:t>
            </w:r>
            <w:r w:rsidRPr="00F2718E">
              <w:rPr>
                <w:rFonts w:ascii="GHEA Grapalat" w:hAnsi="GHEA Grapalat"/>
                <w:lang w:val="en-US"/>
              </w:rPr>
              <w:t>(</w:t>
            </w:r>
            <w:r w:rsidRPr="00F2718E">
              <w:rPr>
                <w:rFonts w:ascii="GHEA Grapalat" w:hAnsi="GHEA Grapalat"/>
                <w:lang w:val="hy-AM"/>
              </w:rPr>
              <w:t>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lang w:val="en-US"/>
              </w:rPr>
              <w:t>)</w:t>
            </w:r>
            <w:r w:rsidRPr="00F2718E">
              <w:rPr>
                <w:rFonts w:ascii="GHEA Grapalat" w:hAnsi="GHEA Grapalat"/>
                <w:lang w:val="hy-AM"/>
              </w:rPr>
              <w:t>:</w:t>
            </w:r>
          </w:p>
        </w:tc>
      </w:tr>
      <w:tr w:rsidR="00C80D87" w:rsidRPr="00F2718E" w14:paraId="7F3B618A" w14:textId="77777777" w:rsidTr="00F260E8">
        <w:trPr>
          <w:gridAfter w:val="1"/>
          <w:wAfter w:w="6" w:type="dxa"/>
        </w:trPr>
        <w:tc>
          <w:tcPr>
            <w:tcW w:w="7879" w:type="dxa"/>
          </w:tcPr>
          <w:p w14:paraId="61F0249D" w14:textId="6CB3C54A" w:rsidR="00C80D87" w:rsidRPr="00F2718E" w:rsidRDefault="00C80D87" w:rsidP="00A961C5">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 xml:space="preserve">2. Ինչ վերաբերում է հայցադիմումի ընդունումը մերժելու մասին որոշմամբ դատական տուգանք կիրառելու հնարավորությանը, կարծում ենք, ներկայումս դատական պրակտիկան գնացել է այն ուղղությամբ, որ դատարանն ստիպված է վարույթ ընդունել հայցադիմումը և արդեն գործի քննության ընթացքում քննության առնի իրավունքի չարաշահման փաստի առկայությունը։ Իհարկե, հասկանալի է, որ նշված փոփոխության նպատակն անհիմն, ինչպես նաև նույն անձանց միջև նույն առարկայի մասին և միևնույն հիմքերով հայցերի հոսքը կանխելն է, սակայն, մեր կարծիքով, անհնարին է հենց հայցադիմումի վարույթ ընդունելության փուլում այդ հանգամանքի և, ըստ այդմ, իրավունքի չարաշահման փաստը հայտնաբերելը։ Բացի այդ, դատավարական օրենսգրքերի համատեքստում գործն ըստ էության դատական է հանդիսանում միայն դատարանի վճիռը, մինչդեռ, մեր կարծիքով, իրավունքի չարաշահման փաստ կարելի է հաստատել նաև գործի վարույթը կարճելու մասին որոշմամբ, ինչը գործնականում ավելի հավանական է։ </w:t>
            </w:r>
          </w:p>
          <w:p w14:paraId="0D7C0DB6" w14:textId="77777777" w:rsidR="00C80D87" w:rsidRPr="00F2718E" w:rsidRDefault="00C80D87" w:rsidP="00A961C5">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Ուստի, առաջարկում ենք դրույթը վերաձևակերպել՝ կամ հանելով հայցադիմումի ընդունումը մերժելու մասին որոշմանն առնչվող ձևակերպումները և ավելացնելով գործի վարույթը կարճելու մասին որոշմամբ դատական տուգանք կիրառելու հնարավորությունը, կամ միայն ավելացնելով գործի վարույթը կարճելու մասին որոշմամբ դատական տուգանք կիրառելու հնարավորությունը։</w:t>
            </w:r>
          </w:p>
          <w:p w14:paraId="0D94CC2B" w14:textId="1F6F577D" w:rsidR="00C624FB" w:rsidRPr="00F2718E" w:rsidRDefault="00C624FB" w:rsidP="00A961C5">
            <w:pPr>
              <w:pStyle w:val="ListParagraph"/>
              <w:spacing w:line="360" w:lineRule="auto"/>
              <w:ind w:left="0"/>
              <w:jc w:val="both"/>
              <w:rPr>
                <w:rFonts w:ascii="GHEA Grapalat" w:hAnsi="GHEA Grapalat"/>
                <w:color w:val="000000"/>
                <w:sz w:val="24"/>
                <w:szCs w:val="24"/>
                <w:lang w:val="hy-AM"/>
              </w:rPr>
            </w:pPr>
          </w:p>
        </w:tc>
        <w:tc>
          <w:tcPr>
            <w:tcW w:w="7022" w:type="dxa"/>
            <w:gridSpan w:val="6"/>
          </w:tcPr>
          <w:p w14:paraId="6D811022" w14:textId="77777777" w:rsidR="00C80D87" w:rsidRPr="00F2718E" w:rsidRDefault="00C80D87"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206935A3" w14:textId="197C5057" w:rsidR="00C80D87" w:rsidRPr="00F2718E" w:rsidRDefault="00C80D87" w:rsidP="00A961C5">
            <w:pPr>
              <w:keepNext/>
              <w:keepLines/>
              <w:spacing w:line="360" w:lineRule="auto"/>
              <w:jc w:val="both"/>
              <w:outlineLvl w:val="0"/>
              <w:rPr>
                <w:rFonts w:ascii="GHEA Grapalat" w:hAnsi="GHEA Grapalat"/>
                <w:b/>
                <w:shd w:val="clear" w:color="auto" w:fill="FFFFFF"/>
                <w:lang w:val="hy-AM"/>
              </w:rPr>
            </w:pPr>
            <w:r w:rsidRPr="00F2718E">
              <w:rPr>
                <w:rFonts w:ascii="GHEA Grapalat" w:hAnsi="GHEA Grapalat"/>
                <w:shd w:val="clear" w:color="auto" w:fill="FFFFFF"/>
                <w:lang w:val="hy-AM"/>
              </w:rPr>
              <w:t xml:space="preserve">Նախագծերից հանվել են առաջարկվող </w:t>
            </w:r>
            <w:r w:rsidRPr="00F2718E">
              <w:rPr>
                <w:rFonts w:ascii="GHEA Grapalat" w:hAnsi="GHEA Grapalat"/>
                <w:lang w:val="hy-AM"/>
              </w:rPr>
              <w:t xml:space="preserve">155.3-րդ  և 101.5-րդ հոդվածները </w:t>
            </w:r>
            <w:r w:rsidRPr="00F2718E">
              <w:rPr>
                <w:rFonts w:ascii="GHEA Grapalat" w:hAnsi="GHEA Grapalat"/>
                <w:lang w:val="en-US"/>
              </w:rPr>
              <w:t>(</w:t>
            </w:r>
            <w:r w:rsidRPr="00F2718E">
              <w:rPr>
                <w:rFonts w:ascii="GHEA Grapalat" w:hAnsi="GHEA Grapalat"/>
                <w:lang w:val="hy-AM"/>
              </w:rPr>
              <w:t>եզրափակիչ դատական ակտով կամ հայցադիմումի ընդունումը մերժելու մասին որոշմամբ դատական տուգանք կիրառելու առանձնահատկությունները</w:t>
            </w:r>
            <w:r w:rsidRPr="00F2718E">
              <w:rPr>
                <w:rFonts w:ascii="GHEA Grapalat" w:hAnsi="GHEA Grapalat"/>
                <w:lang w:val="en-US"/>
              </w:rPr>
              <w:t>)</w:t>
            </w:r>
            <w:r w:rsidRPr="00F2718E">
              <w:rPr>
                <w:rFonts w:ascii="GHEA Grapalat" w:hAnsi="GHEA Grapalat"/>
                <w:lang w:val="hy-AM"/>
              </w:rPr>
              <w:t>:</w:t>
            </w:r>
          </w:p>
        </w:tc>
      </w:tr>
      <w:tr w:rsidR="00C624FB" w:rsidRPr="00F2718E" w14:paraId="381D2489" w14:textId="177C8EDB" w:rsidTr="00F260E8">
        <w:trPr>
          <w:gridAfter w:val="1"/>
          <w:wAfter w:w="6" w:type="dxa"/>
          <w:trHeight w:val="255"/>
        </w:trPr>
        <w:tc>
          <w:tcPr>
            <w:tcW w:w="11606" w:type="dxa"/>
            <w:gridSpan w:val="2"/>
            <w:vMerge w:val="restart"/>
            <w:shd w:val="clear" w:color="auto" w:fill="D9D9D9" w:themeFill="background1" w:themeFillShade="D9"/>
          </w:tcPr>
          <w:p w14:paraId="527D9DD7" w14:textId="4382BCE9" w:rsidR="00C624FB" w:rsidRPr="00F2718E" w:rsidRDefault="00C624FB" w:rsidP="00A961C5">
            <w:pPr>
              <w:keepNext/>
              <w:keepLines/>
              <w:spacing w:line="360" w:lineRule="auto"/>
              <w:jc w:val="center"/>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32.</w:t>
            </w:r>
            <w:r w:rsidR="00F57BBD" w:rsidRPr="00F2718E">
              <w:rPr>
                <w:rFonts w:ascii="GHEA Grapalat" w:hAnsi="GHEA Grapalat"/>
                <w:b/>
                <w:highlight w:val="lightGray"/>
                <w:shd w:val="clear" w:color="auto" w:fill="FFFFFF"/>
                <w:lang w:val="hy-AM"/>
              </w:rPr>
              <w:t xml:space="preserve"> Իրավունքի զարգացման և պաշտպանության հիմնադրամ</w:t>
            </w:r>
          </w:p>
        </w:tc>
        <w:tc>
          <w:tcPr>
            <w:tcW w:w="3295" w:type="dxa"/>
            <w:gridSpan w:val="5"/>
            <w:shd w:val="clear" w:color="auto" w:fill="D9D9D9" w:themeFill="background1" w:themeFillShade="D9"/>
          </w:tcPr>
          <w:p w14:paraId="20812800" w14:textId="03E8F12B" w:rsidR="00C624FB" w:rsidRPr="00F2718E" w:rsidRDefault="002812AB" w:rsidP="002812AB">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en-US"/>
              </w:rPr>
              <w:t>27.06.2024</w:t>
            </w:r>
            <w:r w:rsidRPr="00F2718E">
              <w:rPr>
                <w:rFonts w:ascii="GHEA Grapalat" w:hAnsi="GHEA Grapalat"/>
                <w:b/>
                <w:highlight w:val="lightGray"/>
                <w:shd w:val="clear" w:color="auto" w:fill="FFFFFF"/>
                <w:lang w:val="hy-AM"/>
              </w:rPr>
              <w:t>թ.</w:t>
            </w:r>
          </w:p>
        </w:tc>
      </w:tr>
      <w:tr w:rsidR="00C624FB" w:rsidRPr="00F2718E" w14:paraId="5AF5CF26" w14:textId="77777777" w:rsidTr="00F260E8">
        <w:trPr>
          <w:gridAfter w:val="1"/>
          <w:wAfter w:w="6" w:type="dxa"/>
          <w:trHeight w:val="225"/>
        </w:trPr>
        <w:tc>
          <w:tcPr>
            <w:tcW w:w="11606" w:type="dxa"/>
            <w:gridSpan w:val="2"/>
            <w:vMerge/>
            <w:shd w:val="clear" w:color="auto" w:fill="D9D9D9" w:themeFill="background1" w:themeFillShade="D9"/>
          </w:tcPr>
          <w:p w14:paraId="44CEFDDB" w14:textId="77777777" w:rsidR="00C624FB" w:rsidRPr="00F2718E" w:rsidRDefault="00C624FB" w:rsidP="00A961C5">
            <w:pPr>
              <w:keepNext/>
              <w:keepLines/>
              <w:spacing w:line="360" w:lineRule="auto"/>
              <w:jc w:val="center"/>
              <w:outlineLvl w:val="0"/>
              <w:rPr>
                <w:rFonts w:ascii="GHEA Grapalat" w:hAnsi="GHEA Grapalat"/>
                <w:b/>
                <w:highlight w:val="lightGray"/>
                <w:shd w:val="clear" w:color="auto" w:fill="FFFFFF"/>
                <w:lang w:val="hy-AM"/>
              </w:rPr>
            </w:pPr>
          </w:p>
        </w:tc>
        <w:tc>
          <w:tcPr>
            <w:tcW w:w="3295" w:type="dxa"/>
            <w:gridSpan w:val="5"/>
            <w:shd w:val="clear" w:color="auto" w:fill="D9D9D9" w:themeFill="background1" w:themeFillShade="D9"/>
          </w:tcPr>
          <w:p w14:paraId="53ED8AE1" w14:textId="57C38649" w:rsidR="00C624FB" w:rsidRPr="00F2718E" w:rsidRDefault="002812AB" w:rsidP="002812AB">
            <w:pPr>
              <w:keepNext/>
              <w:keepLines/>
              <w:spacing w:line="360" w:lineRule="auto"/>
              <w:outlineLvl w:val="0"/>
              <w:rPr>
                <w:rFonts w:ascii="GHEA Grapalat" w:hAnsi="GHEA Grapalat"/>
                <w:b/>
                <w:highlight w:val="lightGray"/>
                <w:shd w:val="clear" w:color="auto" w:fill="FFFFFF"/>
                <w:lang w:val="hy-AM"/>
              </w:rPr>
            </w:pPr>
            <w:r w:rsidRPr="00F2718E">
              <w:rPr>
                <w:rFonts w:ascii="GHEA Grapalat" w:hAnsi="GHEA Grapalat"/>
                <w:b/>
                <w:highlight w:val="lightGray"/>
                <w:shd w:val="clear" w:color="auto" w:fill="FFFFFF"/>
                <w:lang w:val="hy-AM"/>
              </w:rPr>
              <w:t>Հանրագիր N 17/24</w:t>
            </w:r>
          </w:p>
        </w:tc>
      </w:tr>
      <w:tr w:rsidR="00C624FB" w:rsidRPr="00F2718E" w14:paraId="25B51312" w14:textId="77777777" w:rsidTr="00F260E8">
        <w:trPr>
          <w:gridAfter w:val="1"/>
          <w:wAfter w:w="6" w:type="dxa"/>
        </w:trPr>
        <w:tc>
          <w:tcPr>
            <w:tcW w:w="7879" w:type="dxa"/>
          </w:tcPr>
          <w:p w14:paraId="41BF965E" w14:textId="77777777" w:rsidR="002812AB" w:rsidRPr="00F2718E" w:rsidRDefault="002812AB"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ՀՀ Վարչական դատավարության օրենսգրքի 8-րդ հոդվածը կարգավորում է դատական վարույթի հրապարակայնությունը՝ սահմանելով գործը կամ դրա մի մասը դռնփակ դատական նիստում քննելու հիմքերը և ընթացակարգը։ Միաժամանակ նույն հոդվածի 7-րդ մասի համաձայն՝ գործը կամ դրա մի մասը դատարանի որոշմամբ դռնփակ նիստում քննելու դեպքում տվյալ գործի հետագա քննությունն այլ դատական ատյաններում կատարվում է դռնփակ: Մեր գնահատմամբ՝ նշված իրավակարգավորումը, որի արդյունքում վերադաս դատական ատյանները զրկվում են դատաքննությունը դռնբաց անցկացնելու հարցը քննարկելու, քննությունը դռնփակ անցկացնելու հիմքերի առկայությունը կամ բացակայությունը գնահատելու և պատճառաբանելու հնարավորությունից և լիազորությունից, հանգեցնում է արդար դատաքննության իրավունքի ուղղակի խախտման: Ի թիվս այլ հիմնավորումների՝ վերադաս դատական ատյաններում հնարավոր է պարզապես վերացած լինեն գործի քննությունը դռնփակ անցկացնելու համար հիմք ծառայած հանգամանքները (օրինակ՝ պետական գաղտնիքի՝ սահմանված կարգով գաղտնազերծման արդյունքում), որպիսի պայմաններում դատաքննության հրապարակայնության սահմանափակումը վերաքննիչ և վճռաբեկ դատարաններում որևէ իրավաչափ նպատակ չի հետապնդելու: Հրապարակային դատաքննության իրավունքը, ի թիվս այլ միջազգային իրավական փաստաթղթերի, երաշխավորված է Մարդու իրավունքների եվրոպական կոնվենցիայի 6-րդ հոդվածով։ Ըստ Մարդու իրավունքների եվրոպական դատարանի՝ վարույթի հրապարակային բնույթը դատավարության մասնակիցներին պաշտպանում է արդարադատության գաղտնի իրականացումից՝ առանց հանրության կողմից հսկողության. այն նաև այն միջոցներից մեկն է, որոնց միջոցով կարող է պահպանվել դատարանների հանդեպ վստահությունը: Արդարադատության իրականացումը դարձնելով տեսանելի` հրապարակայնությունը նպաստում է 6-րդ հոդվածի 1-ին կետի նպատակին, այսինքն՝ արդար դատաքննության հասնելուն, որի երաշխավորումը ցանկացած ժողովրդավարական հասարակության հիմարար սկզբունքներից է (Riepan v. Austria, § 27; Krestovskiy v. Russia, § 24; Sutter v. Switzerland, § 26)։ Հրապարակային դատաքննության իրավունքը կարող է սահմանափակվել բացառապես Կոնվենցիայի 6-րդ հոդվածի 1-ին մասով սահմանված հիմքերի առկայության դեպքում։ Չաուշեվը և այլոք ընդդեմ Ռուսաստանի գործով ՄԻԵԴ-ն արձանագրել է, որ «բացառիկ հանգամանքներին» ուղղակի հղումը չի կարող որպես պատճառ բավարար լինել՝ շրջանցելու համար Կոնվենցիայի 6-րդ հոդվածի 1-ին մասում ամրագրված հիմնարար սկզբունքը, այն է, որ դատական նիստը պետք է անցկացվի դռնբաց (Chaushev and Others v. Russia, nos. 37037/03 and 2 others, § 22, 25 October 2016 )։ Մինչդեռ խնդրո առարկա կարգավորման պարագայում առհասարակ կարող է առկա չլինել որևէ հիմք վերադաս դատական ատյանում գործի քննությունը դռնփակ անցկացնելու համար՝ առաջին ատյանի դատարանում արձանագրված հիմքը վերացած լինելու պայմաններում, սակայն վերադաս դատարանը, այնուամենայնիվ, պարտավորված կլինի դատական նիստը անցկացնել դռնփակ, առանց որևէ հիմնավորման։ Հարկ ենք համարում այս համատեքստում վկայակոչել ԱՊՀ մոդելային քրեական դատավարության օրենսգիրքը (Տե՛ս Модельный уголовно-процессуальный кодекс для государств - участников Содружества Независимых Государств, https://www.icrc.org/ru/doc/assets/files/other/ipa.pdf), որի համաձայն՝ առաջին ատյանի դատարանում հրապարակայնության սահմանափակումը անպայմանորեն չի ենթադրում դռնփակ դատական նիստի անցկացում վերադաս դատարանում (հոդված 483): Ավելին, համանման իրավակարգավորում էր սահմանված նաև ՀՀ քաղաքացիական դատավարության օրենսգրքի 17-րդ հոդվածով, որը փոփոխվել է 07.02.24թ</w:t>
            </w:r>
            <w:r w:rsidRPr="00F2718E">
              <w:rPr>
                <w:rFonts w:ascii="Cambria Math" w:hAnsi="Cambria Math" w:cs="Cambria Math"/>
                <w:color w:val="000000"/>
                <w:sz w:val="24"/>
                <w:szCs w:val="24"/>
                <w:lang w:val="hy-AM"/>
              </w:rPr>
              <w:t>․</w:t>
            </w:r>
            <w:r w:rsidRPr="00F2718E">
              <w:rPr>
                <w:rFonts w:ascii="GHEA Grapalat" w:hAnsi="GHEA Grapalat"/>
                <w:color w:val="000000"/>
                <w:sz w:val="24"/>
                <w:szCs w:val="24"/>
                <w:lang w:val="hy-AM"/>
              </w:rPr>
              <w:t>-</w:t>
            </w:r>
            <w:r w:rsidRPr="00F2718E">
              <w:rPr>
                <w:rFonts w:ascii="GHEA Grapalat" w:hAnsi="GHEA Grapalat" w:cs="GHEA Grapalat"/>
                <w:color w:val="000000"/>
                <w:sz w:val="24"/>
                <w:szCs w:val="24"/>
                <w:lang w:val="hy-AM"/>
              </w:rPr>
              <w:t>ի</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ՀՕ</w:t>
            </w:r>
            <w:r w:rsidRPr="00F2718E">
              <w:rPr>
                <w:rFonts w:ascii="GHEA Grapalat" w:hAnsi="GHEA Grapalat"/>
                <w:color w:val="000000"/>
                <w:sz w:val="24"/>
                <w:szCs w:val="24"/>
                <w:lang w:val="hy-AM"/>
              </w:rPr>
              <w:t>-82-</w:t>
            </w:r>
            <w:r w:rsidRPr="00F2718E">
              <w:rPr>
                <w:rFonts w:ascii="GHEA Grapalat" w:hAnsi="GHEA Grapalat" w:cs="GHEA Grapalat"/>
                <w:color w:val="000000"/>
                <w:sz w:val="24"/>
                <w:szCs w:val="24"/>
                <w:lang w:val="hy-AM"/>
              </w:rPr>
              <w:t>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օրենքով՝</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նախատեսելով</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որ</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դատական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վարույթը</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կամ</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դրա</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մի</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մասը</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դատարանի</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որոշմամբ</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դռնփակ</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անցկացվե</w:t>
            </w:r>
            <w:r w:rsidRPr="00F2718E">
              <w:rPr>
                <w:rFonts w:ascii="GHEA Grapalat" w:hAnsi="GHEA Grapalat"/>
                <w:color w:val="000000"/>
                <w:sz w:val="24"/>
                <w:szCs w:val="24"/>
                <w:lang w:val="hy-AM"/>
              </w:rPr>
              <w:t>լու դեպքում տվյալ գործի հետագա քննությունն այլ դատական ատյաններում կատարվում է դռնփակ, բացառությամբ այն դեպքերի, երբ դատարանն իր նախաձեռնությամբ կամ կողմի միջնորդությամբ որոշում է կայացնում գործի քննությունը դռնբաց իրականացնելու վերաբերյալ (ՔԴՕ 17-րդ հոդվածի 9-րդ մաս): Հաշվի առնելով ՀՀ քաղաքացիական դատավարության օրենսգրքում ս</w:t>
            </w:r>
            <w:r w:rsidRPr="00F2718E">
              <w:rPr>
                <w:rFonts w:ascii="Cambria Math" w:hAnsi="Cambria Math" w:cs="Cambria Math"/>
                <w:color w:val="000000"/>
                <w:sz w:val="24"/>
                <w:szCs w:val="24"/>
                <w:lang w:val="hy-AM"/>
              </w:rPr>
              <w:t>․</w:t>
            </w:r>
            <w:r w:rsidRPr="00F2718E">
              <w:rPr>
                <w:rFonts w:ascii="GHEA Grapalat" w:hAnsi="GHEA Grapalat" w:cs="GHEA Grapalat"/>
                <w:color w:val="000000"/>
                <w:sz w:val="24"/>
                <w:szCs w:val="24"/>
                <w:lang w:val="hy-AM"/>
              </w:rPr>
              <w:t>թ</w:t>
            </w:r>
            <w:r w:rsidRPr="00F2718E">
              <w:rPr>
                <w:rFonts w:ascii="Cambria Math" w:hAnsi="Cambria Math" w:cs="Cambria Math"/>
                <w:color w:val="000000"/>
                <w:sz w:val="24"/>
                <w:szCs w:val="24"/>
                <w:lang w:val="hy-AM"/>
              </w:rPr>
              <w:t>․</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փետրվարին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կատարված</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վերոգրյալ</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փոփոխությունը՝</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նույնաբովանդակ</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փոփոխության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պետք</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է</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ենթարկվի</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նաև</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ՀՀ</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վարչական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դատավարության</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օրենսգրքի</w:t>
            </w:r>
            <w:r w:rsidRPr="00F2718E">
              <w:rPr>
                <w:rFonts w:ascii="GHEA Grapalat" w:hAnsi="GHEA Grapalat"/>
                <w:color w:val="000000"/>
                <w:sz w:val="24"/>
                <w:szCs w:val="24"/>
                <w:lang w:val="hy-AM"/>
              </w:rPr>
              <w:t xml:space="preserve"> 8-</w:t>
            </w:r>
            <w:r w:rsidRPr="00F2718E">
              <w:rPr>
                <w:rFonts w:ascii="GHEA Grapalat" w:hAnsi="GHEA Grapalat" w:cs="GHEA Grapalat"/>
                <w:color w:val="000000"/>
                <w:sz w:val="24"/>
                <w:szCs w:val="24"/>
                <w:lang w:val="hy-AM"/>
              </w:rPr>
              <w:t>րդ</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հոդվածի</w:t>
            </w:r>
            <w:r w:rsidRPr="00F2718E">
              <w:rPr>
                <w:rFonts w:ascii="GHEA Grapalat" w:hAnsi="GHEA Grapalat"/>
                <w:color w:val="000000"/>
                <w:sz w:val="24"/>
                <w:szCs w:val="24"/>
                <w:lang w:val="hy-AM"/>
              </w:rPr>
              <w:t xml:space="preserve"> 7-</w:t>
            </w:r>
            <w:r w:rsidRPr="00F2718E">
              <w:rPr>
                <w:rFonts w:ascii="GHEA Grapalat" w:hAnsi="GHEA Grapalat" w:cs="GHEA Grapalat"/>
                <w:color w:val="000000"/>
                <w:sz w:val="24"/>
                <w:szCs w:val="24"/>
                <w:lang w:val="hy-AM"/>
              </w:rPr>
              <w:t>րդ</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մասը։</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Ի</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թիվս</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վերոգրյալ</w:t>
            </w:r>
            <w:r w:rsidRPr="00F2718E">
              <w:rPr>
                <w:rFonts w:ascii="GHEA Grapalat" w:hAnsi="GHEA Grapalat"/>
                <w:color w:val="000000"/>
                <w:sz w:val="24"/>
                <w:szCs w:val="24"/>
                <w:lang w:val="hy-AM"/>
              </w:rPr>
              <w:t xml:space="preserve"> </w:t>
            </w:r>
            <w:r w:rsidRPr="00F2718E">
              <w:rPr>
                <w:rFonts w:ascii="GHEA Grapalat" w:hAnsi="GHEA Grapalat" w:cs="GHEA Grapalat"/>
                <w:color w:val="000000"/>
                <w:sz w:val="24"/>
                <w:szCs w:val="24"/>
                <w:lang w:val="hy-AM"/>
              </w:rPr>
              <w:t>հիմնավորումնե</w:t>
            </w:r>
            <w:r w:rsidRPr="00F2718E">
              <w:rPr>
                <w:rFonts w:ascii="GHEA Grapalat" w:hAnsi="GHEA Grapalat"/>
                <w:color w:val="000000"/>
                <w:sz w:val="24"/>
                <w:szCs w:val="24"/>
                <w:lang w:val="hy-AM"/>
              </w:rPr>
              <w:t>րի, առկա չեն վարչական և քաղաքացիական դատավարություններում գործի քննության հրապարակայնության սահմանափակման հիմքերի և ընթացակարգերի միջև տարբերակում կատարելու որևէ օբյեկտիվ հիմնավորում։ Այսպիսով, գործը կամ դրա մի մասը վարչական դատարանի որոշմամբ դռնփակ նիստում քննելու դեպքում տվյալ գործի հետագա քննությունն այլ դատական ատյաններում իմպերատիվ կերպով դռնփակ անցկանցելու վերաբերյալ օրենսդրական պահանջը իրավաչափ չէ և հանգեցնում է Մարդու իրավունքների եվրոպական կոնվենցիայի 6-րդ հոդվածով երաշխավորված արդար դատաքննության իրավունքի խախտմանը, քանի որ քննությունը վերադաս ատյանում ենթակա է անցկացման դռնփակ կարգով՝ նույնիսկ այն դեպքում, երբ առկա չէ դատական վարույթի հրապարակայնությունը սահմանափակելու որևէ իրավական հիմք։</w:t>
            </w:r>
          </w:p>
          <w:p w14:paraId="7CCF4055" w14:textId="77777777" w:rsidR="00C624FB" w:rsidRPr="00F2718E" w:rsidRDefault="008F2CFD" w:rsidP="002812AB">
            <w:pPr>
              <w:pStyle w:val="ListParagraph"/>
              <w:spacing w:line="360" w:lineRule="auto"/>
              <w:ind w:left="0"/>
              <w:jc w:val="both"/>
              <w:rPr>
                <w:rStyle w:val="Hyperlink"/>
                <w:rFonts w:ascii="GHEA Grapalat" w:hAnsi="GHEA Grapalat" w:cs="Arial"/>
                <w:color w:val="1155CC"/>
                <w:sz w:val="24"/>
                <w:szCs w:val="24"/>
                <w:shd w:val="clear" w:color="auto" w:fill="FFFFFF"/>
              </w:rPr>
            </w:pPr>
            <w:hyperlink r:id="rId6" w:tgtFrame="_blank" w:history="1">
              <w:r w:rsidR="002812AB" w:rsidRPr="00F2718E">
                <w:rPr>
                  <w:rStyle w:val="Hyperlink"/>
                  <w:rFonts w:ascii="GHEA Grapalat" w:hAnsi="GHEA Grapalat" w:cs="Arial"/>
                  <w:color w:val="1155CC"/>
                  <w:sz w:val="24"/>
                  <w:szCs w:val="24"/>
                  <w:shd w:val="clear" w:color="auto" w:fill="FFFFFF"/>
                </w:rPr>
                <w:t>https://hanragir.am/am/view?pt_id=234</w:t>
              </w:r>
            </w:hyperlink>
          </w:p>
          <w:p w14:paraId="5F69EC47" w14:textId="45F5ABDE" w:rsidR="00F260E8" w:rsidRPr="00F2718E" w:rsidRDefault="00F260E8" w:rsidP="002812AB">
            <w:pPr>
              <w:pStyle w:val="ListParagraph"/>
              <w:spacing w:line="360" w:lineRule="auto"/>
              <w:ind w:left="0"/>
              <w:jc w:val="both"/>
              <w:rPr>
                <w:rFonts w:ascii="GHEA Grapalat" w:hAnsi="GHEA Grapalat"/>
                <w:color w:val="000000"/>
                <w:sz w:val="24"/>
                <w:szCs w:val="24"/>
                <w:lang w:val="hy-AM"/>
              </w:rPr>
            </w:pPr>
          </w:p>
        </w:tc>
        <w:tc>
          <w:tcPr>
            <w:tcW w:w="7022" w:type="dxa"/>
            <w:gridSpan w:val="6"/>
          </w:tcPr>
          <w:p w14:paraId="71514685" w14:textId="77777777" w:rsidR="00C624FB" w:rsidRPr="00F2718E" w:rsidRDefault="00C624FB"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7D9A5B7F" w14:textId="5480CF02" w:rsidR="00C624FB" w:rsidRPr="00F2718E" w:rsidRDefault="00C624FB" w:rsidP="00C624FB">
            <w:pPr>
              <w:keepNext/>
              <w:keepLines/>
              <w:spacing w:line="360" w:lineRule="auto"/>
              <w:outlineLvl w:val="0"/>
              <w:rPr>
                <w:rFonts w:ascii="GHEA Grapalat" w:hAnsi="GHEA Grapalat"/>
                <w:shd w:val="clear" w:color="auto" w:fill="FFFFFF"/>
                <w:lang w:val="hy-AM"/>
              </w:rPr>
            </w:pPr>
            <w:r w:rsidRPr="00F2718E">
              <w:rPr>
                <w:rFonts w:ascii="GHEA Grapalat" w:hAnsi="GHEA Grapalat"/>
                <w:shd w:val="clear" w:color="auto" w:fill="FFFFFF"/>
                <w:lang w:val="hy-AM"/>
              </w:rPr>
              <w:t>Նախագիծը լրամշակվել է:</w:t>
            </w:r>
          </w:p>
        </w:tc>
      </w:tr>
      <w:tr w:rsidR="00F260E8" w:rsidRPr="00F2718E" w14:paraId="61839C2C" w14:textId="7D1C80E4" w:rsidTr="00F260E8">
        <w:trPr>
          <w:gridAfter w:val="1"/>
          <w:wAfter w:w="6" w:type="dxa"/>
          <w:trHeight w:val="393"/>
        </w:trPr>
        <w:tc>
          <w:tcPr>
            <w:tcW w:w="11606" w:type="dxa"/>
            <w:gridSpan w:val="2"/>
            <w:vMerge w:val="restart"/>
            <w:shd w:val="clear" w:color="auto" w:fill="D9D9D9" w:themeFill="background1" w:themeFillShade="D9"/>
          </w:tcPr>
          <w:p w14:paraId="0942C4C6" w14:textId="274761C3" w:rsidR="00F260E8" w:rsidRPr="00F2718E" w:rsidRDefault="00F260E8"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highlight w:val="lightGray"/>
                <w:shd w:val="clear" w:color="auto" w:fill="FFFFFF"/>
                <w:lang w:val="hy-AM"/>
              </w:rPr>
              <w:t>33. ՀՀ վարչապետի աշխատակազմի պետաիրավա</w:t>
            </w:r>
            <w:r w:rsidR="001310A8">
              <w:rPr>
                <w:rFonts w:ascii="GHEA Grapalat" w:hAnsi="GHEA Grapalat"/>
                <w:b/>
                <w:highlight w:val="lightGray"/>
                <w:shd w:val="clear" w:color="auto" w:fill="FFFFFF"/>
                <w:lang w:val="hy-AM"/>
              </w:rPr>
              <w:t>կ</w:t>
            </w:r>
            <w:r w:rsidRPr="00F2718E">
              <w:rPr>
                <w:rFonts w:ascii="GHEA Grapalat" w:hAnsi="GHEA Grapalat"/>
                <w:b/>
                <w:highlight w:val="lightGray"/>
                <w:shd w:val="clear" w:color="auto" w:fill="FFFFFF"/>
                <w:lang w:val="hy-AM"/>
              </w:rPr>
              <w:t>ան վարչություն</w:t>
            </w:r>
          </w:p>
        </w:tc>
        <w:tc>
          <w:tcPr>
            <w:tcW w:w="3295" w:type="dxa"/>
            <w:gridSpan w:val="5"/>
            <w:shd w:val="clear" w:color="auto" w:fill="D9D9D9" w:themeFill="background1" w:themeFillShade="D9"/>
          </w:tcPr>
          <w:p w14:paraId="498995FA" w14:textId="6A4EDB0D" w:rsidR="00F260E8" w:rsidRPr="00F2718E" w:rsidRDefault="009A777B" w:rsidP="009A777B">
            <w:pPr>
              <w:keepNext/>
              <w:keepLines/>
              <w:spacing w:line="360" w:lineRule="auto"/>
              <w:outlineLvl w:val="0"/>
              <w:rPr>
                <w:rFonts w:ascii="GHEA Grapalat" w:hAnsi="GHEA Grapalat"/>
                <w:b/>
                <w:color w:val="FFFFFF" w:themeColor="background1"/>
                <w:shd w:val="clear" w:color="auto" w:fill="FFFFFF"/>
                <w:lang w:val="hy-AM"/>
              </w:rPr>
            </w:pPr>
            <w:r w:rsidRPr="009A777B">
              <w:rPr>
                <w:rFonts w:ascii="GHEA Grapalat" w:hAnsi="GHEA Grapalat"/>
                <w:b/>
                <w:highlight w:val="lightGray"/>
                <w:shd w:val="clear" w:color="auto" w:fill="FFFFFF"/>
                <w:lang w:val="hy-AM"/>
              </w:rPr>
              <w:t>29</w:t>
            </w:r>
            <w:r w:rsidRPr="009A777B">
              <w:rPr>
                <w:rFonts w:ascii="GHEA Grapalat" w:hAnsi="GHEA Grapalat"/>
                <w:b/>
                <w:highlight w:val="lightGray"/>
                <w:shd w:val="clear" w:color="auto" w:fill="FFFFFF"/>
                <w:lang w:val="en-GB"/>
              </w:rPr>
              <w:t>.07.2024թ</w:t>
            </w:r>
            <w:r w:rsidRPr="009A777B">
              <w:rPr>
                <w:rFonts w:ascii="GHEA Grapalat" w:hAnsi="GHEA Grapalat"/>
                <w:b/>
                <w:highlight w:val="lightGray"/>
                <w:shd w:val="clear" w:color="auto" w:fill="FFFFFF"/>
                <w:lang w:val="hy-AM"/>
              </w:rPr>
              <w:t>.</w:t>
            </w:r>
          </w:p>
        </w:tc>
      </w:tr>
      <w:tr w:rsidR="00F260E8" w:rsidRPr="00F2718E" w14:paraId="67DE494F" w14:textId="77777777" w:rsidTr="00F260E8">
        <w:trPr>
          <w:gridAfter w:val="1"/>
          <w:wAfter w:w="6" w:type="dxa"/>
          <w:trHeight w:val="405"/>
        </w:trPr>
        <w:tc>
          <w:tcPr>
            <w:tcW w:w="11606" w:type="dxa"/>
            <w:gridSpan w:val="2"/>
            <w:vMerge/>
            <w:shd w:val="clear" w:color="auto" w:fill="D9D9D9" w:themeFill="background1" w:themeFillShade="D9"/>
          </w:tcPr>
          <w:p w14:paraId="68DC9D8F" w14:textId="77777777" w:rsidR="00F260E8" w:rsidRPr="00F2718E" w:rsidRDefault="00F260E8" w:rsidP="00A961C5">
            <w:pPr>
              <w:keepNext/>
              <w:keepLines/>
              <w:spacing w:line="360" w:lineRule="auto"/>
              <w:jc w:val="center"/>
              <w:outlineLvl w:val="0"/>
              <w:rPr>
                <w:rFonts w:ascii="GHEA Grapalat" w:hAnsi="GHEA Grapalat"/>
                <w:b/>
                <w:color w:val="FFFFFF" w:themeColor="background1"/>
                <w:shd w:val="clear" w:color="auto" w:fill="FFFFFF"/>
                <w:lang w:val="hy-AM"/>
              </w:rPr>
            </w:pPr>
          </w:p>
        </w:tc>
        <w:tc>
          <w:tcPr>
            <w:tcW w:w="3295" w:type="dxa"/>
            <w:gridSpan w:val="5"/>
            <w:shd w:val="clear" w:color="auto" w:fill="D9D9D9" w:themeFill="background1" w:themeFillShade="D9"/>
          </w:tcPr>
          <w:p w14:paraId="72956205" w14:textId="2DFB1A91" w:rsidR="00F260E8" w:rsidRPr="00F2718E" w:rsidRDefault="009A777B" w:rsidP="009A777B">
            <w:pPr>
              <w:keepNext/>
              <w:keepLines/>
              <w:spacing w:line="360" w:lineRule="auto"/>
              <w:outlineLvl w:val="0"/>
              <w:rPr>
                <w:rFonts w:ascii="GHEA Grapalat" w:hAnsi="GHEA Grapalat"/>
                <w:b/>
                <w:color w:val="FFFFFF" w:themeColor="background1"/>
                <w:shd w:val="clear" w:color="auto" w:fill="FFFFFF"/>
                <w:lang w:val="hy-AM"/>
              </w:rPr>
            </w:pPr>
            <w:r w:rsidRPr="009A777B">
              <w:rPr>
                <w:rFonts w:ascii="GHEA Grapalat" w:hAnsi="GHEA Grapalat"/>
                <w:b/>
                <w:highlight w:val="lightGray"/>
                <w:shd w:val="clear" w:color="auto" w:fill="FFFFFF"/>
                <w:lang w:val="en-GB"/>
              </w:rPr>
              <w:t>02/10.36/25891-2024</w:t>
            </w:r>
          </w:p>
        </w:tc>
      </w:tr>
      <w:tr w:rsidR="00F260E8" w:rsidRPr="00F2718E" w14:paraId="466AF66B" w14:textId="77777777" w:rsidTr="00F260E8">
        <w:trPr>
          <w:gridAfter w:val="1"/>
          <w:wAfter w:w="6" w:type="dxa"/>
        </w:trPr>
        <w:tc>
          <w:tcPr>
            <w:tcW w:w="7879" w:type="dxa"/>
          </w:tcPr>
          <w:p w14:paraId="2AFCE1C6" w14:textId="77777777"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1. Նախագծի 6-րդ հոդվածով առաջարկվում է ներդնել նոր կառուցակարգ՝ դատական տուգանքի չափը նվազեցնելու կամ այն վերացնելու հարցի քննարկումը վերաքննության կարգով բողոքարկելուց առաջ դատական տուգանք կիրառելու որոշումը այն կայացրած դատարանին բողոքարկելու վերաբերյալ: Նախագծին կից հիմնավորումներով նախատեսվող փոփոխությունը պատճառաբանվում է նրանով, որ գործող կարգավորումները չեն ներառում այն դեպքերը, երբ անձն ընդունում է իր մեղավորությունը և հայցում դատարանի ներողամտությունը, կամ երբ առկա են այնպիսի հանգամանքներ, որոնք սանկցիա կիրառած դատարանի առջև չեն բացահայտվել դատավարության մասնակցի կամքից և դատարանի գործողություններից անկախ հանգամանքներում: Հարկ է նկատել, սակայն, որ գործող Օրենսգրքի 153-րդ հոդվածի 3-4-րդ մասերով արդեն իսկ  նախատեսված է սանկցիա կիրառելու հարցը որոշելիս անհրաժեշտության դեպքում անձանց արտահայտվելու հնարավորություն տալու կառուցակարգը՝ վերջիններիս կողմից արարքի հակաիրավականությունը ընդունելու և դատարանի ներողամտությունը հայցելու դեպքում դատարանին տալով դատական սանկցիա չկիրառելու հնարավորություն: Ուստի վերոգրյալի հաշվառմամբ դատական տուգանք կիրառելու վերաբերյալ որոշում ընդունած դատարանի կողմից միևնույն որոշման վերանայումը ծանրակշիռ հիմնավորման կարիք ունի՝ հաշվի առնելով նաև, որ այն հակադրվում է դատական ակտերի վերանայման ինստիտուտի ընդհանուր տրամաբանությանը:</w:t>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p>
          <w:p w14:paraId="3D3B295D" w14:textId="74959EE0"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Սույն դիտարկումը վերաբերում է նաև «Հայաստանի Հանրապետության վարչական դատավարության օրենսգրքում լրացումներ և փոփոխություններ կատարելու մասին» օրենքի նախագծի 4-րդ հոդվածին:</w:t>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r w:rsidRPr="00F2718E">
              <w:rPr>
                <w:rFonts w:ascii="GHEA Grapalat" w:hAnsi="GHEA Grapalat"/>
                <w:color w:val="000000"/>
                <w:sz w:val="24"/>
                <w:szCs w:val="24"/>
                <w:lang w:val="hy-AM"/>
              </w:rPr>
              <w:tab/>
            </w:r>
          </w:p>
        </w:tc>
        <w:tc>
          <w:tcPr>
            <w:tcW w:w="7022" w:type="dxa"/>
            <w:gridSpan w:val="6"/>
          </w:tcPr>
          <w:p w14:paraId="55AB74DC" w14:textId="77777777" w:rsidR="00F260E8" w:rsidRPr="00F2718E" w:rsidRDefault="008B2EF7"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21AEB538" w14:textId="589E83AA" w:rsidR="008B2EF7" w:rsidRPr="00F2718E" w:rsidRDefault="009A777B" w:rsidP="008B2EF7">
            <w:pPr>
              <w:keepNext/>
              <w:keepLines/>
              <w:spacing w:line="360" w:lineRule="auto"/>
              <w:outlineLvl w:val="0"/>
              <w:rPr>
                <w:rFonts w:ascii="GHEA Grapalat" w:hAnsi="GHEA Grapalat"/>
                <w:bCs/>
                <w:shd w:val="clear" w:color="auto" w:fill="FFFFFF"/>
                <w:lang w:val="hy-AM"/>
              </w:rPr>
            </w:pPr>
            <w:r>
              <w:rPr>
                <w:rFonts w:ascii="GHEA Grapalat" w:hAnsi="GHEA Grapalat"/>
                <w:bCs/>
                <w:shd w:val="clear" w:color="auto" w:fill="FFFFFF"/>
                <w:lang w:val="hy-AM"/>
              </w:rPr>
              <w:t>Նախագծերի հ</w:t>
            </w:r>
            <w:r w:rsidR="008B2EF7" w:rsidRPr="00F2718E">
              <w:rPr>
                <w:rFonts w:ascii="GHEA Grapalat" w:hAnsi="GHEA Grapalat"/>
                <w:bCs/>
                <w:shd w:val="clear" w:color="auto" w:fill="FFFFFF"/>
                <w:lang w:val="hy-AM"/>
              </w:rPr>
              <w:t>իմնավորումները լրամշակվել են։</w:t>
            </w:r>
          </w:p>
        </w:tc>
      </w:tr>
      <w:tr w:rsidR="00F260E8" w:rsidRPr="00F2718E" w14:paraId="6C062376" w14:textId="77777777" w:rsidTr="00F260E8">
        <w:trPr>
          <w:gridAfter w:val="1"/>
          <w:wAfter w:w="6" w:type="dxa"/>
        </w:trPr>
        <w:tc>
          <w:tcPr>
            <w:tcW w:w="7879" w:type="dxa"/>
          </w:tcPr>
          <w:p w14:paraId="1A2AA66B" w14:textId="1E2E8AF6"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 xml:space="preserve">2. Նախագծի 3-րդ հոդվածով առաջարկվում է ներդնել նոր կառուցակարգ, ըստ որի՝ եթե դատավարության մասնակիցը, ծանուցված լինելով դատական նիստին ներկայանալու անհրաժեշտության մասին, չի ներկայանում դատական նիստին կամ չի ներկայացնում դատական նիստը հետաձգելու մասին հիմնավորված միջնորդություն, ապա դատարանը դատական նիստին չմասնակցող դատավարության մասնակցի նկատմամբ կիրառում է դատական տուգանք: Ընդ որում, նախագծի 10-րդ հոդվածի համաձայն առաջարկում է օրենքի գործողությունը տարածել նաև մինչև վերջինիս ուժի մեջ մտնելը ներկայացված հայցադիմումների (դիմումների) հիման վրա հարուցված գործերի վրա: Ստացվում է, որ հնարավոր է դառնում, օրինակ, այն իրավիճակը, երբ անձը, որը դատական նիստի ժամանակի և վայրի մասին  ծանուցագիրը ստացել է մինչև օրենքի ուժի մեջ մտնելը (որտեղ դատական տուգանքի նշանակման հնարավորության մասին նշում չի եղել), կարող է ևս ենթարկվել դատական տուգանքի: Վերոգրյալի կապակցությամբ ուշադրություն ենք հրավիրում Վճռաբեկ դատարանի կողմից մի շարք գործերով (ԵԴ/7186/02/18, ԵԴ/25922/02/19) արտահայտած իրավական դիրքորոշումներին, ըստ որոնց՝ «...դատարանն իրավասու է հայցը թողնել առանց քննության, եթե պատշաճ կերպով իրականացրել է դատարան չներկայանալու կամ չներկայանալու պատճառների մասին դատարանին չհայտնելու հետևանքների մասին դատավարության մասնակիցներին իրազեկելու վերաբերյալ իր պարտականությունը...: Դատարանի կողմից դատական նիստի ժամանակի և վայրի մասին իրազեկելու վերաբերյալ դատավարության մասնակիցներին ուղարկված ծանուցագրերը բացառապես պարունակել են նշում այն մասին, որ դատական նիստի ժամանակի և վայրի մասին ծանուցված գործին մասնակցող անձի չներկայանալը դատական նիստին արգելք չէ գործի քննության համար, ինչը դատավարության մասնակցի մոտ կարող է համոզմունք ձևավորել առ այն, որ իր կողմից դատական նիստերին չներկայանալը չի կարող առաջացնել որևէ բացասական հետևանք»: </w:t>
            </w:r>
            <w:r w:rsidRPr="00F2718E">
              <w:rPr>
                <w:rFonts w:ascii="GHEA Grapalat" w:hAnsi="GHEA Grapalat"/>
                <w:color w:val="000000"/>
                <w:sz w:val="24"/>
                <w:szCs w:val="24"/>
                <w:lang w:val="hy-AM"/>
              </w:rPr>
              <w:tab/>
            </w:r>
          </w:p>
          <w:p w14:paraId="537D47CB" w14:textId="0114E891"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Չնայած, որ արտահայտված դիրքորոշումները անմիջականորեն վերաբերելի չեն նախագծային կարգավորումների շրջանակում ընկած իրավիճակին, այնուամենայնիվ, պետք է նշել, որ Վճռաբեկ դատարանի կողմից կարևորվում է այն փաստը, որ մինչև կոնկրետ բացասական հետևանքների վրա հասնելը դատավարության մասնակիցը պատշաճ և նախապես ծանուցված լինի դրանց հնարավորության մասին: Ուստի, մեր գնահատմամբ, նախագծով նախատեսվող հետադարձությունը խնդրահարույց է բոլոր այն դեպքերի մասով, երբ անձը դատական ծանուցագիր ստացած լինի մինչև առաջարկվող նախագծի ուժի մեջ մտնելը, և, ըստ այդմ, ծանուցված չի լինի կոնկրետ վրա հասնող հետևանքի՝ դատական տուգանքի կիրառման հնարավորության մասին:</w:t>
            </w:r>
          </w:p>
        </w:tc>
        <w:tc>
          <w:tcPr>
            <w:tcW w:w="7022" w:type="dxa"/>
            <w:gridSpan w:val="6"/>
          </w:tcPr>
          <w:p w14:paraId="5E4E1C33"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759CBD78" w14:textId="030F600D"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08381EE6" w14:textId="5A3C81D8" w:rsidR="0031769D" w:rsidRPr="00F2718E" w:rsidRDefault="0031769D" w:rsidP="00F05F76">
            <w:pPr>
              <w:keepNext/>
              <w:keepLines/>
              <w:spacing w:line="360" w:lineRule="auto"/>
              <w:outlineLvl w:val="0"/>
              <w:rPr>
                <w:rFonts w:ascii="GHEA Grapalat" w:hAnsi="GHEA Grapalat"/>
                <w:bCs/>
                <w:shd w:val="clear" w:color="auto" w:fill="FFFFFF"/>
                <w:lang w:val="hy-AM"/>
              </w:rPr>
            </w:pPr>
          </w:p>
        </w:tc>
      </w:tr>
      <w:tr w:rsidR="00F260E8" w:rsidRPr="00F2718E" w14:paraId="0135A424" w14:textId="34EDF80D" w:rsidTr="00F260E8">
        <w:trPr>
          <w:gridAfter w:val="1"/>
          <w:wAfter w:w="6" w:type="dxa"/>
          <w:trHeight w:val="473"/>
        </w:trPr>
        <w:tc>
          <w:tcPr>
            <w:tcW w:w="11606" w:type="dxa"/>
            <w:gridSpan w:val="2"/>
            <w:vMerge w:val="restart"/>
            <w:shd w:val="clear" w:color="auto" w:fill="D9D9D9" w:themeFill="background1" w:themeFillShade="D9"/>
          </w:tcPr>
          <w:p w14:paraId="05B16328" w14:textId="474C26AF" w:rsidR="00F260E8" w:rsidRPr="00F2718E" w:rsidRDefault="00F260E8" w:rsidP="00F260E8">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highlight w:val="lightGray"/>
                <w:shd w:val="clear" w:color="auto" w:fill="FFFFFF"/>
                <w:lang w:val="hy-AM"/>
              </w:rPr>
              <w:t>34. ՀՀ վարչապետի աշխատակազմի իրավաբանական վարչություն</w:t>
            </w:r>
          </w:p>
        </w:tc>
        <w:tc>
          <w:tcPr>
            <w:tcW w:w="3295" w:type="dxa"/>
            <w:gridSpan w:val="5"/>
            <w:shd w:val="clear" w:color="auto" w:fill="D9D9D9" w:themeFill="background1" w:themeFillShade="D9"/>
          </w:tcPr>
          <w:p w14:paraId="2851D55A" w14:textId="6D055403" w:rsidR="00F260E8" w:rsidRPr="009A777B" w:rsidRDefault="00063AC6" w:rsidP="00063AC6">
            <w:pPr>
              <w:keepNext/>
              <w:keepLines/>
              <w:spacing w:line="360" w:lineRule="auto"/>
              <w:outlineLvl w:val="0"/>
              <w:rPr>
                <w:rFonts w:ascii="GHEA Grapalat" w:hAnsi="GHEA Grapalat"/>
                <w:b/>
                <w:highlight w:val="lightGray"/>
                <w:shd w:val="clear" w:color="auto" w:fill="FFFFFF"/>
                <w:lang w:val="en-GB"/>
              </w:rPr>
            </w:pPr>
            <w:r w:rsidRPr="009A777B">
              <w:rPr>
                <w:rFonts w:ascii="GHEA Grapalat" w:hAnsi="GHEA Grapalat"/>
                <w:b/>
                <w:highlight w:val="lightGray"/>
                <w:shd w:val="clear" w:color="auto" w:fill="FFFFFF"/>
                <w:lang w:val="hy-AM"/>
              </w:rPr>
              <w:t>29</w:t>
            </w:r>
            <w:r w:rsidRPr="009A777B">
              <w:rPr>
                <w:rFonts w:ascii="GHEA Grapalat" w:hAnsi="GHEA Grapalat"/>
                <w:b/>
                <w:highlight w:val="lightGray"/>
                <w:shd w:val="clear" w:color="auto" w:fill="FFFFFF"/>
                <w:lang w:val="en-GB"/>
              </w:rPr>
              <w:t>.07.2024թ</w:t>
            </w:r>
            <w:r w:rsidRPr="009A777B">
              <w:rPr>
                <w:rFonts w:ascii="GHEA Grapalat" w:hAnsi="GHEA Grapalat"/>
                <w:b/>
                <w:highlight w:val="lightGray"/>
                <w:shd w:val="clear" w:color="auto" w:fill="FFFFFF"/>
                <w:lang w:val="hy-AM"/>
              </w:rPr>
              <w:t>.</w:t>
            </w:r>
          </w:p>
        </w:tc>
      </w:tr>
      <w:tr w:rsidR="00F260E8" w:rsidRPr="00F2718E" w14:paraId="55CF404F" w14:textId="77777777" w:rsidTr="00F260E8">
        <w:trPr>
          <w:gridAfter w:val="1"/>
          <w:wAfter w:w="6" w:type="dxa"/>
          <w:trHeight w:val="472"/>
        </w:trPr>
        <w:tc>
          <w:tcPr>
            <w:tcW w:w="11606" w:type="dxa"/>
            <w:gridSpan w:val="2"/>
            <w:vMerge/>
            <w:shd w:val="clear" w:color="auto" w:fill="D9D9D9" w:themeFill="background1" w:themeFillShade="D9"/>
          </w:tcPr>
          <w:p w14:paraId="1F839941" w14:textId="77777777" w:rsidR="00F260E8" w:rsidRPr="00F2718E" w:rsidRDefault="00F260E8" w:rsidP="00A961C5">
            <w:pPr>
              <w:keepNext/>
              <w:keepLines/>
              <w:spacing w:line="360" w:lineRule="auto"/>
              <w:jc w:val="center"/>
              <w:outlineLvl w:val="0"/>
              <w:rPr>
                <w:rFonts w:ascii="GHEA Grapalat" w:hAnsi="GHEA Grapalat"/>
                <w:b/>
                <w:shd w:val="clear" w:color="auto" w:fill="FFFFFF"/>
                <w:lang w:val="hy-AM"/>
              </w:rPr>
            </w:pPr>
          </w:p>
        </w:tc>
        <w:tc>
          <w:tcPr>
            <w:tcW w:w="3295" w:type="dxa"/>
            <w:gridSpan w:val="5"/>
            <w:shd w:val="clear" w:color="auto" w:fill="D9D9D9" w:themeFill="background1" w:themeFillShade="D9"/>
          </w:tcPr>
          <w:p w14:paraId="169B105B" w14:textId="2505E6BB" w:rsidR="00F260E8" w:rsidRPr="009A777B" w:rsidRDefault="00063AC6" w:rsidP="00063AC6">
            <w:pPr>
              <w:keepNext/>
              <w:keepLines/>
              <w:spacing w:line="360" w:lineRule="auto"/>
              <w:outlineLvl w:val="0"/>
              <w:rPr>
                <w:rFonts w:ascii="GHEA Grapalat" w:hAnsi="GHEA Grapalat"/>
                <w:b/>
                <w:highlight w:val="lightGray"/>
                <w:shd w:val="clear" w:color="auto" w:fill="FFFFFF"/>
                <w:lang w:val="en-GB"/>
              </w:rPr>
            </w:pPr>
            <w:r w:rsidRPr="009A777B">
              <w:rPr>
                <w:rFonts w:ascii="GHEA Grapalat" w:hAnsi="GHEA Grapalat"/>
                <w:b/>
                <w:highlight w:val="lightGray"/>
                <w:shd w:val="clear" w:color="auto" w:fill="FFFFFF"/>
                <w:lang w:val="en-GB"/>
              </w:rPr>
              <w:t>02/10.36/</w:t>
            </w:r>
            <w:r w:rsidR="009A777B" w:rsidRPr="009A777B">
              <w:rPr>
                <w:rFonts w:ascii="GHEA Grapalat" w:hAnsi="GHEA Grapalat"/>
                <w:b/>
                <w:highlight w:val="lightGray"/>
                <w:shd w:val="clear" w:color="auto" w:fill="FFFFFF"/>
                <w:lang w:val="en-GB"/>
              </w:rPr>
              <w:t>25891-2024</w:t>
            </w:r>
          </w:p>
        </w:tc>
      </w:tr>
      <w:tr w:rsidR="00F260E8" w:rsidRPr="00F2718E" w14:paraId="7F5248D4" w14:textId="77777777" w:rsidTr="00F260E8">
        <w:trPr>
          <w:gridAfter w:val="1"/>
          <w:wAfter w:w="6" w:type="dxa"/>
        </w:trPr>
        <w:tc>
          <w:tcPr>
            <w:tcW w:w="7879" w:type="dxa"/>
          </w:tcPr>
          <w:p w14:paraId="5688C6F5" w14:textId="52DBAB90"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1.</w:t>
            </w:r>
            <w:r w:rsidRPr="00F2718E">
              <w:rPr>
                <w:rFonts w:ascii="GHEA Grapalat" w:hAnsi="GHEA Grapalat"/>
                <w:color w:val="000000"/>
                <w:sz w:val="24"/>
                <w:szCs w:val="24"/>
                <w:lang w:val="hy-AM"/>
              </w:rPr>
              <w:tab/>
              <w:t>«ՀՀ քաղաքացիական դատավարության օրենսգրքում փոփոխություններ և լրացումներ կատարելու մասին» օրենքի նախագծի (այսուհետ՝ Նախագիծ) 3-րդ հոդվածով լրացվող ՀՀ քաղաքացիական դատավարության օրենսգրքի 147.1-ին հոդվածում խնդրահարույց է դատական նիստին չմասնակցելու համար դատական տուգանքի անվերապահորեն կիրառումը՝ առանց հաշվի առնելու նիստին չմասնակցելու հնարավոր պատճառները: Այս առումով հարկ է նկատի ունենալ, որ ՀՀ դատական օրենսգիրք սահմանադրական օրենքի 47-րդ հոդվածի 2-րդ մասի 1-ին կետի համաձայն՝ դատարանը դատական սանկցիա կարող է կիրառել, երբ անձը (...) չարամտորեն չի կատարում իր դատավարական պարտականությունները, իսկ գործող օրենսգրքի 153-րդ հոդվածի 4-րդ մասի համաձայն՝ եթե անձն ընդունում է իր արարքի հակաիրավականությունը և հայցում է դատարանի ներողամտությունը, ապա նշված անձի նկատմամբ դատական սանկցիա կարող է չկիրառվել: Թեև նախագծով առաջարկվում է մեխանիզմ դատական տուգանք կիրառելու մասին որոշումը վերացնելու վերաբերյալ միջնորդություն ներկայացնելու համար, սակայն գտնում ենք, որ յուրաքանչյուր դեպքում մեխանիկորեն դատական տուգանք կիրառելիս դատարանը չի կարող առաջնորդվել դատավարության մասնակցի կողմից «չարամտության կանխավարկածով» գործելու մտայնությամբ և պետք է հնարավորություն ընձեռի վերջինիս ներկայացնելու համապատասխան պարզաբանումներ:</w:t>
            </w:r>
          </w:p>
        </w:tc>
        <w:tc>
          <w:tcPr>
            <w:tcW w:w="7022" w:type="dxa"/>
            <w:gridSpan w:val="6"/>
          </w:tcPr>
          <w:p w14:paraId="39787DD2" w14:textId="77777777" w:rsidR="009F09B3" w:rsidRPr="00F2718E" w:rsidRDefault="009F09B3" w:rsidP="009F09B3">
            <w:pPr>
              <w:keepNext/>
              <w:keepLines/>
              <w:spacing w:line="360" w:lineRule="auto"/>
              <w:jc w:val="center"/>
              <w:outlineLvl w:val="0"/>
              <w:rPr>
                <w:rFonts w:ascii="GHEA Grapalat" w:hAnsi="GHEA Grapalat"/>
                <w:b/>
                <w:shd w:val="clear" w:color="auto" w:fill="FFFFFF"/>
              </w:rPr>
            </w:pPr>
            <w:r>
              <w:rPr>
                <w:rFonts w:ascii="GHEA Grapalat" w:hAnsi="GHEA Grapalat"/>
                <w:b/>
                <w:shd w:val="clear" w:color="auto" w:fill="FFFFFF"/>
                <w:lang w:val="hy-AM"/>
              </w:rPr>
              <w:t>Ը</w:t>
            </w:r>
            <w:r w:rsidRPr="00F2718E">
              <w:rPr>
                <w:rFonts w:ascii="GHEA Grapalat" w:hAnsi="GHEA Grapalat"/>
                <w:b/>
                <w:shd w:val="clear" w:color="auto" w:fill="FFFFFF"/>
                <w:lang w:val="hy-AM"/>
              </w:rPr>
              <w:t>նդունվել</w:t>
            </w:r>
            <w:r>
              <w:rPr>
                <w:rFonts w:ascii="GHEA Grapalat" w:hAnsi="GHEA Grapalat"/>
                <w:b/>
                <w:shd w:val="clear" w:color="auto" w:fill="FFFFFF"/>
                <w:lang w:val="hy-AM"/>
              </w:rPr>
              <w:t xml:space="preserve"> է</w:t>
            </w:r>
            <w:r w:rsidRPr="00F2718E">
              <w:rPr>
                <w:rFonts w:ascii="GHEA Grapalat" w:hAnsi="GHEA Grapalat"/>
                <w:b/>
                <w:shd w:val="clear" w:color="auto" w:fill="FFFFFF"/>
                <w:lang w:val="hy-AM"/>
              </w:rPr>
              <w:t>:</w:t>
            </w:r>
          </w:p>
          <w:p w14:paraId="5E7FA21A" w14:textId="7C80F8A8" w:rsidR="009F09B3" w:rsidRPr="00F2718E" w:rsidRDefault="009F09B3" w:rsidP="009F09B3">
            <w:pPr>
              <w:keepNext/>
              <w:keepLines/>
              <w:spacing w:line="360" w:lineRule="auto"/>
              <w:jc w:val="both"/>
              <w:outlineLvl w:val="0"/>
              <w:rPr>
                <w:rFonts w:ascii="GHEA Grapalat" w:hAnsi="GHEA Grapalat"/>
                <w:shd w:val="clear" w:color="auto" w:fill="FFFFFF"/>
                <w:lang w:val="hy-AM"/>
              </w:rPr>
            </w:pPr>
            <w:r>
              <w:rPr>
                <w:rFonts w:ascii="GHEA Grapalat" w:hAnsi="GHEA Grapalat"/>
                <w:shd w:val="clear" w:color="auto" w:fill="FFFFFF"/>
                <w:lang w:val="hy-AM"/>
              </w:rPr>
              <w:t>Նախագծից հանվել է</w:t>
            </w:r>
            <w:r w:rsidRPr="00F2718E">
              <w:rPr>
                <w:rFonts w:ascii="GHEA Grapalat" w:hAnsi="GHEA Grapalat"/>
                <w:shd w:val="clear" w:color="auto" w:fill="FFFFFF"/>
                <w:lang w:val="hy-AM"/>
              </w:rPr>
              <w:t xml:space="preserve"> առաջարկվող </w:t>
            </w:r>
            <w:r>
              <w:rPr>
                <w:rFonts w:ascii="GHEA Grapalat" w:hAnsi="GHEA Grapalat"/>
                <w:lang w:val="hy-AM"/>
              </w:rPr>
              <w:t>147.1-ին</w:t>
            </w:r>
            <w:r w:rsidRPr="00F2718E">
              <w:rPr>
                <w:rFonts w:ascii="GHEA Grapalat" w:hAnsi="GHEA Grapalat"/>
                <w:lang w:val="hy-AM"/>
              </w:rPr>
              <w:t xml:space="preserve"> </w:t>
            </w:r>
            <w:r>
              <w:rPr>
                <w:rFonts w:ascii="GHEA Grapalat" w:hAnsi="GHEA Grapalat"/>
                <w:lang w:val="hy-AM"/>
              </w:rPr>
              <w:t>հոդվածը:</w:t>
            </w:r>
          </w:p>
          <w:p w14:paraId="58458D80" w14:textId="7F27EB3D" w:rsidR="008E6B18" w:rsidRPr="00F2718E" w:rsidRDefault="008E6B18" w:rsidP="008E6B18">
            <w:pPr>
              <w:keepNext/>
              <w:keepLines/>
              <w:spacing w:line="360" w:lineRule="auto"/>
              <w:contextualSpacing/>
              <w:jc w:val="both"/>
              <w:outlineLvl w:val="0"/>
              <w:rPr>
                <w:rFonts w:ascii="GHEA Grapalat" w:hAnsi="GHEA Grapalat"/>
                <w:shd w:val="clear" w:color="auto" w:fill="FFFFFF"/>
                <w:lang w:val="hy-AM"/>
              </w:rPr>
            </w:pPr>
          </w:p>
        </w:tc>
      </w:tr>
      <w:tr w:rsidR="00F260E8" w:rsidRPr="00F2718E" w14:paraId="09097A9E" w14:textId="77777777" w:rsidTr="00F260E8">
        <w:trPr>
          <w:gridAfter w:val="1"/>
          <w:wAfter w:w="6" w:type="dxa"/>
        </w:trPr>
        <w:tc>
          <w:tcPr>
            <w:tcW w:w="7879" w:type="dxa"/>
          </w:tcPr>
          <w:p w14:paraId="0FB5CFBC" w14:textId="7E929281"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2.</w:t>
            </w:r>
            <w:r w:rsidRPr="00F2718E">
              <w:rPr>
                <w:rFonts w:ascii="GHEA Grapalat" w:hAnsi="GHEA Grapalat"/>
                <w:color w:val="000000"/>
                <w:sz w:val="24"/>
                <w:szCs w:val="24"/>
                <w:lang w:val="hy-AM"/>
              </w:rPr>
              <w:tab/>
              <w:t>Նախագծի 6-րդ հոդվածով լրացվող օրենսգրքի 155.3-րդ հոդվածով առաջարկվող դատական սանկցիայի նոր տեսակը՝ «իրավունքի իրականացման սահմանափակումը» նախատեսվում է կիրառել նաև դատական նիստից դուրս, սակայն չի սահմանվում մեխանիզմ անձի լսված լինելու իրավունքը ապահովելու համար, ինչը օրինակ նախատեսվել է դատական տուգանքի դեպքում:</w:t>
            </w:r>
          </w:p>
        </w:tc>
        <w:tc>
          <w:tcPr>
            <w:tcW w:w="7022" w:type="dxa"/>
            <w:gridSpan w:val="6"/>
          </w:tcPr>
          <w:p w14:paraId="3A95BB64" w14:textId="77777777" w:rsidR="008311AA" w:rsidRDefault="008B3962" w:rsidP="008B3962">
            <w:pPr>
              <w:keepNext/>
              <w:keepLines/>
              <w:spacing w:line="360" w:lineRule="auto"/>
              <w:jc w:val="center"/>
              <w:outlineLvl w:val="0"/>
              <w:rPr>
                <w:rFonts w:ascii="GHEA Grapalat" w:hAnsi="GHEA Grapalat"/>
                <w:b/>
                <w:shd w:val="clear" w:color="auto" w:fill="FFFFFF"/>
                <w:lang w:val="hy-AM"/>
              </w:rPr>
            </w:pPr>
            <w:r>
              <w:rPr>
                <w:rFonts w:ascii="GHEA Grapalat" w:hAnsi="GHEA Grapalat"/>
                <w:b/>
                <w:shd w:val="clear" w:color="auto" w:fill="FFFFFF"/>
                <w:lang w:val="hy-AM"/>
              </w:rPr>
              <w:t>Ընդունվել է:</w:t>
            </w:r>
          </w:p>
          <w:p w14:paraId="4CEF07C2" w14:textId="17E130EB" w:rsidR="008B3962" w:rsidRPr="008B3962" w:rsidRDefault="008B3962" w:rsidP="008B3962">
            <w:pPr>
              <w:keepNext/>
              <w:keepLines/>
              <w:spacing w:line="360" w:lineRule="auto"/>
              <w:outlineLvl w:val="0"/>
              <w:rPr>
                <w:rFonts w:ascii="GHEA Grapalat" w:hAnsi="GHEA Grapalat"/>
                <w:bCs/>
                <w:shd w:val="clear" w:color="auto" w:fill="FFFFFF"/>
                <w:lang w:val="hy-AM"/>
              </w:rPr>
            </w:pPr>
            <w:r>
              <w:rPr>
                <w:rFonts w:ascii="GHEA Grapalat" w:hAnsi="GHEA Grapalat"/>
                <w:shd w:val="clear" w:color="auto" w:fill="FFFFFF"/>
                <w:lang w:val="hy-AM"/>
              </w:rPr>
              <w:t>Նախագիծը լրամշակվել է:</w:t>
            </w:r>
          </w:p>
        </w:tc>
      </w:tr>
      <w:tr w:rsidR="00F260E8" w:rsidRPr="00F2718E" w14:paraId="4A6066E0" w14:textId="77777777" w:rsidTr="00F260E8">
        <w:trPr>
          <w:gridAfter w:val="1"/>
          <w:wAfter w:w="6" w:type="dxa"/>
        </w:trPr>
        <w:tc>
          <w:tcPr>
            <w:tcW w:w="7879" w:type="dxa"/>
          </w:tcPr>
          <w:p w14:paraId="1D74A11B" w14:textId="744D3400" w:rsidR="00F260E8" w:rsidRPr="00F2718E" w:rsidRDefault="00F260E8"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3.</w:t>
            </w:r>
            <w:r w:rsidRPr="00F2718E">
              <w:rPr>
                <w:rFonts w:ascii="GHEA Grapalat" w:hAnsi="GHEA Grapalat"/>
                <w:color w:val="000000"/>
                <w:sz w:val="24"/>
                <w:szCs w:val="24"/>
                <w:lang w:val="hy-AM"/>
              </w:rPr>
              <w:tab/>
              <w:t>Նախագծի 10-րդ հոդվածի 4-րդ մասի համաձայն՝ մինչև սույն օրենքն ուժի մեջ մտնելը դատական կազմի կամ դատական կազմում ընդգրկված դատավորի փոփոխության դեպքում կիրառվում են մինչև սույն օրենքն ուժի մեջ մտնելը գործող նորմերը։ Նման ձևակերպումից ստացվում է, որ դատական կազմի կամ դատական կազմում ընդգրկված դատավորի փոփոխության դեպքում Նախագիծը ամբողջությամբ չպետք է կիրառվի, ինչն անհասկանալի է և ունի պարզաբանման անհրաժեշտություն:</w:t>
            </w:r>
          </w:p>
        </w:tc>
        <w:tc>
          <w:tcPr>
            <w:tcW w:w="7022" w:type="dxa"/>
            <w:gridSpan w:val="6"/>
          </w:tcPr>
          <w:p w14:paraId="5E72EFBB" w14:textId="77777777" w:rsidR="00F260E8" w:rsidRPr="00F2718E" w:rsidRDefault="008311AA" w:rsidP="00A961C5">
            <w:pPr>
              <w:keepNext/>
              <w:keepLines/>
              <w:spacing w:line="360" w:lineRule="auto"/>
              <w:jc w:val="center"/>
              <w:outlineLvl w:val="0"/>
              <w:rPr>
                <w:rFonts w:ascii="GHEA Grapalat" w:hAnsi="GHEA Grapalat"/>
                <w:b/>
                <w:shd w:val="clear" w:color="auto" w:fill="FFFFFF"/>
                <w:lang w:val="hy-AM"/>
              </w:rPr>
            </w:pPr>
            <w:r w:rsidRPr="00F2718E">
              <w:rPr>
                <w:rFonts w:ascii="GHEA Grapalat" w:hAnsi="GHEA Grapalat"/>
                <w:b/>
                <w:shd w:val="clear" w:color="auto" w:fill="FFFFFF"/>
                <w:lang w:val="hy-AM"/>
              </w:rPr>
              <w:t>Ընդունվել է։</w:t>
            </w:r>
          </w:p>
          <w:p w14:paraId="1E555311" w14:textId="6062FF47" w:rsidR="008311AA" w:rsidRPr="00F2718E" w:rsidRDefault="008311AA" w:rsidP="008311AA">
            <w:pPr>
              <w:keepNext/>
              <w:keepLines/>
              <w:spacing w:line="360" w:lineRule="auto"/>
              <w:jc w:val="both"/>
              <w:outlineLvl w:val="0"/>
              <w:rPr>
                <w:rFonts w:ascii="GHEA Grapalat" w:hAnsi="GHEA Grapalat"/>
                <w:bCs/>
                <w:shd w:val="clear" w:color="auto" w:fill="FFFFFF"/>
                <w:lang w:val="hy-AM"/>
              </w:rPr>
            </w:pPr>
            <w:r w:rsidRPr="00F2718E">
              <w:rPr>
                <w:rFonts w:ascii="GHEA Grapalat" w:hAnsi="GHEA Grapalat"/>
                <w:bCs/>
                <w:shd w:val="clear" w:color="auto" w:fill="FFFFFF"/>
                <w:lang w:val="hy-AM"/>
              </w:rPr>
              <w:t>Նախագիծը լրամշակվել է։</w:t>
            </w:r>
          </w:p>
        </w:tc>
      </w:tr>
      <w:tr w:rsidR="00F260E8" w:rsidRPr="00F2718E" w14:paraId="3D43B1C6" w14:textId="77777777" w:rsidTr="00F260E8">
        <w:trPr>
          <w:gridAfter w:val="1"/>
          <w:wAfter w:w="6" w:type="dxa"/>
        </w:trPr>
        <w:tc>
          <w:tcPr>
            <w:tcW w:w="7879" w:type="dxa"/>
          </w:tcPr>
          <w:p w14:paraId="557729BC" w14:textId="57AA986D" w:rsidR="00F260E8" w:rsidRPr="00F2718E" w:rsidRDefault="00D078E5" w:rsidP="002812AB">
            <w:pPr>
              <w:pStyle w:val="ListParagraph"/>
              <w:spacing w:line="360" w:lineRule="auto"/>
              <w:ind w:left="0"/>
              <w:jc w:val="both"/>
              <w:rPr>
                <w:rFonts w:ascii="GHEA Grapalat" w:hAnsi="GHEA Grapalat"/>
                <w:color w:val="000000"/>
                <w:sz w:val="24"/>
                <w:szCs w:val="24"/>
                <w:lang w:val="hy-AM"/>
              </w:rPr>
            </w:pPr>
            <w:r w:rsidRPr="00F2718E">
              <w:rPr>
                <w:rFonts w:ascii="GHEA Grapalat" w:hAnsi="GHEA Grapalat"/>
                <w:color w:val="000000"/>
                <w:sz w:val="24"/>
                <w:szCs w:val="24"/>
                <w:lang w:val="hy-AM"/>
              </w:rPr>
              <w:t>4.</w:t>
            </w:r>
            <w:r w:rsidRPr="00F2718E">
              <w:rPr>
                <w:rFonts w:ascii="GHEA Grapalat" w:hAnsi="GHEA Grapalat"/>
                <w:color w:val="000000"/>
                <w:sz w:val="24"/>
                <w:szCs w:val="24"/>
                <w:lang w:val="hy-AM"/>
              </w:rPr>
              <w:tab/>
              <w:t>Սույն եզրակացության ներկայացված դիտարկումները այնքանով որքանով, որ վերաբերելի են վերաբերում են նաև «Հայաստանի Հանրապետության վարչական դատավարության օրենսգրքում լրացումներ և փոփոխություններ կատարելու մասին» ՀՀ օրենքի նախագծին:</w:t>
            </w:r>
          </w:p>
        </w:tc>
        <w:tc>
          <w:tcPr>
            <w:tcW w:w="7022" w:type="dxa"/>
            <w:gridSpan w:val="6"/>
          </w:tcPr>
          <w:p w14:paraId="11D5997B" w14:textId="77777777" w:rsidR="00D8226C" w:rsidRPr="00F2718E" w:rsidRDefault="00D8226C" w:rsidP="00D8226C">
            <w:pPr>
              <w:keepNext/>
              <w:keepLines/>
              <w:spacing w:line="360" w:lineRule="auto"/>
              <w:jc w:val="both"/>
              <w:outlineLvl w:val="0"/>
              <w:rPr>
                <w:rFonts w:ascii="GHEA Grapalat" w:hAnsi="GHEA Grapalat"/>
                <w:shd w:val="clear" w:color="auto" w:fill="FFFFFF"/>
                <w:lang w:val="hy-AM"/>
              </w:rPr>
            </w:pPr>
            <w:r w:rsidRPr="00F2718E">
              <w:rPr>
                <w:rFonts w:ascii="GHEA Grapalat" w:hAnsi="GHEA Grapalat"/>
                <w:shd w:val="clear" w:color="auto" w:fill="FFFFFF"/>
                <w:lang w:val="hy-AM"/>
              </w:rPr>
              <w:t>Տե՛ս նախորդ կետը:</w:t>
            </w:r>
          </w:p>
          <w:p w14:paraId="5788FC4B" w14:textId="77777777" w:rsidR="00F260E8" w:rsidRPr="00F2718E" w:rsidRDefault="00F260E8" w:rsidP="00A961C5">
            <w:pPr>
              <w:keepNext/>
              <w:keepLines/>
              <w:spacing w:line="360" w:lineRule="auto"/>
              <w:jc w:val="center"/>
              <w:outlineLvl w:val="0"/>
              <w:rPr>
                <w:rFonts w:ascii="GHEA Grapalat" w:hAnsi="GHEA Grapalat"/>
                <w:b/>
                <w:shd w:val="clear" w:color="auto" w:fill="FFFFFF"/>
                <w:lang w:val="hy-AM"/>
              </w:rPr>
            </w:pPr>
          </w:p>
        </w:tc>
      </w:tr>
    </w:tbl>
    <w:p w14:paraId="695D1838" w14:textId="77777777" w:rsidR="00E31722" w:rsidRPr="00F2718E" w:rsidRDefault="00E31722" w:rsidP="00A961C5">
      <w:pPr>
        <w:spacing w:line="360" w:lineRule="auto"/>
        <w:rPr>
          <w:rFonts w:ascii="GHEA Grapalat" w:hAnsi="GHEA Grapalat"/>
        </w:rPr>
      </w:pPr>
    </w:p>
    <w:sectPr w:rsidR="00E31722" w:rsidRPr="00F2718E" w:rsidSect="00881AD5">
      <w:pgSz w:w="15840" w:h="12240" w:orient="landscape"/>
      <w:pgMar w:top="806" w:right="806" w:bottom="907" w:left="806"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5F717C" w16cex:dateUtc="2024-08-08T12:31:00Z"/>
  <w16cex:commentExtensible w16cex:durableId="2A5F727D" w16cex:dateUtc="2024-08-08T1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8EF3BE" w16cid:durableId="2A5F717C"/>
  <w16cid:commentId w16cid:paraId="282A99D1" w16cid:durableId="2A5F727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5000000A" w:usb2="00000000" w:usb3="00000000" w:csb0="0001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708E4"/>
    <w:multiLevelType w:val="hybridMultilevel"/>
    <w:tmpl w:val="829E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CD1B78"/>
    <w:multiLevelType w:val="hybridMultilevel"/>
    <w:tmpl w:val="DE3ADCC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 w15:restartNumberingAfterBreak="0">
    <w:nsid w:val="793D77E9"/>
    <w:multiLevelType w:val="hybridMultilevel"/>
    <w:tmpl w:val="EEA281D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D5"/>
    <w:rsid w:val="00007A34"/>
    <w:rsid w:val="0002372C"/>
    <w:rsid w:val="000447A1"/>
    <w:rsid w:val="0005628A"/>
    <w:rsid w:val="00062D80"/>
    <w:rsid w:val="00063AC6"/>
    <w:rsid w:val="0007612A"/>
    <w:rsid w:val="000855F8"/>
    <w:rsid w:val="000C6A1D"/>
    <w:rsid w:val="000D30E2"/>
    <w:rsid w:val="0011610A"/>
    <w:rsid w:val="001310A8"/>
    <w:rsid w:val="0018674E"/>
    <w:rsid w:val="00196759"/>
    <w:rsid w:val="001B0E1F"/>
    <w:rsid w:val="001B2484"/>
    <w:rsid w:val="001B2CA0"/>
    <w:rsid w:val="001C63AC"/>
    <w:rsid w:val="001E39D6"/>
    <w:rsid w:val="001F4BC1"/>
    <w:rsid w:val="002000BB"/>
    <w:rsid w:val="002114B1"/>
    <w:rsid w:val="00225F3B"/>
    <w:rsid w:val="00275D06"/>
    <w:rsid w:val="002812AB"/>
    <w:rsid w:val="002865D9"/>
    <w:rsid w:val="002B13C0"/>
    <w:rsid w:val="002C7F98"/>
    <w:rsid w:val="002D4647"/>
    <w:rsid w:val="002D54A3"/>
    <w:rsid w:val="002E64E4"/>
    <w:rsid w:val="00312340"/>
    <w:rsid w:val="0031769D"/>
    <w:rsid w:val="003C4767"/>
    <w:rsid w:val="003D6B7B"/>
    <w:rsid w:val="0040544B"/>
    <w:rsid w:val="00405A58"/>
    <w:rsid w:val="00432968"/>
    <w:rsid w:val="00442D35"/>
    <w:rsid w:val="004552CA"/>
    <w:rsid w:val="00460B33"/>
    <w:rsid w:val="0049706C"/>
    <w:rsid w:val="004B70BE"/>
    <w:rsid w:val="004C2A27"/>
    <w:rsid w:val="004E3288"/>
    <w:rsid w:val="005251B4"/>
    <w:rsid w:val="00554CB4"/>
    <w:rsid w:val="0056519D"/>
    <w:rsid w:val="00573277"/>
    <w:rsid w:val="005745DF"/>
    <w:rsid w:val="005A2B7A"/>
    <w:rsid w:val="005B6FB4"/>
    <w:rsid w:val="005C15EC"/>
    <w:rsid w:val="005D7C8D"/>
    <w:rsid w:val="00635019"/>
    <w:rsid w:val="006444BC"/>
    <w:rsid w:val="00647ADB"/>
    <w:rsid w:val="00652FF1"/>
    <w:rsid w:val="00674A93"/>
    <w:rsid w:val="006B4C14"/>
    <w:rsid w:val="006C2601"/>
    <w:rsid w:val="006E73AB"/>
    <w:rsid w:val="006F327D"/>
    <w:rsid w:val="00745F25"/>
    <w:rsid w:val="00776B1D"/>
    <w:rsid w:val="00782996"/>
    <w:rsid w:val="00787558"/>
    <w:rsid w:val="007F2304"/>
    <w:rsid w:val="007F5640"/>
    <w:rsid w:val="008008E8"/>
    <w:rsid w:val="00824474"/>
    <w:rsid w:val="008311AA"/>
    <w:rsid w:val="008427D4"/>
    <w:rsid w:val="008457CF"/>
    <w:rsid w:val="00881AD5"/>
    <w:rsid w:val="00897369"/>
    <w:rsid w:val="008A07E5"/>
    <w:rsid w:val="008B2EF7"/>
    <w:rsid w:val="008B3962"/>
    <w:rsid w:val="008C1F24"/>
    <w:rsid w:val="008E2142"/>
    <w:rsid w:val="008E6B18"/>
    <w:rsid w:val="008E7263"/>
    <w:rsid w:val="008F2CFD"/>
    <w:rsid w:val="00906831"/>
    <w:rsid w:val="00960DED"/>
    <w:rsid w:val="00975E6D"/>
    <w:rsid w:val="009957E3"/>
    <w:rsid w:val="009A777B"/>
    <w:rsid w:val="009C7406"/>
    <w:rsid w:val="009D19F0"/>
    <w:rsid w:val="009F09B3"/>
    <w:rsid w:val="00A32506"/>
    <w:rsid w:val="00A4158C"/>
    <w:rsid w:val="00A44CDA"/>
    <w:rsid w:val="00A940D2"/>
    <w:rsid w:val="00A961C5"/>
    <w:rsid w:val="00AD70D3"/>
    <w:rsid w:val="00AF6CD4"/>
    <w:rsid w:val="00B03DBC"/>
    <w:rsid w:val="00B27B87"/>
    <w:rsid w:val="00B51B95"/>
    <w:rsid w:val="00B5343D"/>
    <w:rsid w:val="00B70468"/>
    <w:rsid w:val="00B8028E"/>
    <w:rsid w:val="00BB5F95"/>
    <w:rsid w:val="00BF20B9"/>
    <w:rsid w:val="00C057E9"/>
    <w:rsid w:val="00C07C69"/>
    <w:rsid w:val="00C13A90"/>
    <w:rsid w:val="00C322E4"/>
    <w:rsid w:val="00C3304A"/>
    <w:rsid w:val="00C55668"/>
    <w:rsid w:val="00C624FB"/>
    <w:rsid w:val="00C80D87"/>
    <w:rsid w:val="00C95198"/>
    <w:rsid w:val="00CF3EDB"/>
    <w:rsid w:val="00D078E5"/>
    <w:rsid w:val="00D303AF"/>
    <w:rsid w:val="00D42A3C"/>
    <w:rsid w:val="00D57A2B"/>
    <w:rsid w:val="00D81677"/>
    <w:rsid w:val="00D8226C"/>
    <w:rsid w:val="00D83A21"/>
    <w:rsid w:val="00DA090C"/>
    <w:rsid w:val="00DA1B9F"/>
    <w:rsid w:val="00DA2D35"/>
    <w:rsid w:val="00DB29CB"/>
    <w:rsid w:val="00E06CD9"/>
    <w:rsid w:val="00E31722"/>
    <w:rsid w:val="00E3348F"/>
    <w:rsid w:val="00E517C8"/>
    <w:rsid w:val="00E64F1F"/>
    <w:rsid w:val="00E828E1"/>
    <w:rsid w:val="00E9132C"/>
    <w:rsid w:val="00EA7803"/>
    <w:rsid w:val="00ED1238"/>
    <w:rsid w:val="00ED25E5"/>
    <w:rsid w:val="00F01E1D"/>
    <w:rsid w:val="00F05F76"/>
    <w:rsid w:val="00F260E8"/>
    <w:rsid w:val="00F2718E"/>
    <w:rsid w:val="00F31649"/>
    <w:rsid w:val="00F57BBD"/>
    <w:rsid w:val="00FC5904"/>
    <w:rsid w:val="00FC6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C051"/>
  <w15:chartTrackingRefBased/>
  <w15:docId w15:val="{3C4C7D6D-9253-49D9-9D46-C0C25C670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AD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881AD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881AD5"/>
    <w:rPr>
      <w:rFonts w:ascii="Calibri" w:eastAsia="Times New Roman" w:hAnsi="Calibri" w:cs="Times New Roman"/>
    </w:rPr>
  </w:style>
  <w:style w:type="table" w:styleId="TableGrid">
    <w:name w:val="Table Grid"/>
    <w:basedOn w:val="TableNormal"/>
    <w:uiPriority w:val="59"/>
    <w:rsid w:val="00881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81AD5"/>
    <w:rPr>
      <w:b/>
      <w:bCs/>
    </w:rPr>
  </w:style>
  <w:style w:type="paragraph" w:styleId="BodyText">
    <w:name w:val="Body Text"/>
    <w:basedOn w:val="Normal"/>
    <w:link w:val="BodyTextChar"/>
    <w:rsid w:val="00881AD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881AD5"/>
    <w:rPr>
      <w:rFonts w:ascii="Calibri" w:eastAsia="Calibri" w:hAnsi="Calibri"/>
      <w:color w:val="00000A"/>
    </w:rPr>
  </w:style>
  <w:style w:type="paragraph" w:customStyle="1" w:styleId="Default">
    <w:name w:val="Default"/>
    <w:rsid w:val="001E39D6"/>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styleId="BalloonText">
    <w:name w:val="Balloon Text"/>
    <w:basedOn w:val="Normal"/>
    <w:link w:val="BalloonTextChar"/>
    <w:uiPriority w:val="99"/>
    <w:semiHidden/>
    <w:unhideWhenUsed/>
    <w:rsid w:val="002114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4B1"/>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5A2B7A"/>
    <w:rPr>
      <w:color w:val="0563C1" w:themeColor="hyperlink"/>
      <w:u w:val="single"/>
    </w:rPr>
  </w:style>
  <w:style w:type="character" w:styleId="CommentReference">
    <w:name w:val="annotation reference"/>
    <w:basedOn w:val="DefaultParagraphFont"/>
    <w:uiPriority w:val="99"/>
    <w:semiHidden/>
    <w:unhideWhenUsed/>
    <w:rsid w:val="00ED25E5"/>
    <w:rPr>
      <w:sz w:val="16"/>
      <w:szCs w:val="16"/>
    </w:rPr>
  </w:style>
  <w:style w:type="paragraph" w:styleId="CommentText">
    <w:name w:val="annotation text"/>
    <w:basedOn w:val="Normal"/>
    <w:link w:val="CommentTextChar"/>
    <w:uiPriority w:val="99"/>
    <w:semiHidden/>
    <w:unhideWhenUsed/>
    <w:rsid w:val="00ED25E5"/>
    <w:rPr>
      <w:sz w:val="20"/>
      <w:szCs w:val="20"/>
    </w:rPr>
  </w:style>
  <w:style w:type="character" w:customStyle="1" w:styleId="CommentTextChar">
    <w:name w:val="Comment Text Char"/>
    <w:basedOn w:val="DefaultParagraphFont"/>
    <w:link w:val="CommentText"/>
    <w:uiPriority w:val="99"/>
    <w:semiHidden/>
    <w:rsid w:val="00ED25E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D25E5"/>
    <w:rPr>
      <w:b/>
      <w:bCs/>
    </w:rPr>
  </w:style>
  <w:style w:type="character" w:customStyle="1" w:styleId="CommentSubjectChar">
    <w:name w:val="Comment Subject Char"/>
    <w:basedOn w:val="CommentTextChar"/>
    <w:link w:val="CommentSubject"/>
    <w:uiPriority w:val="99"/>
    <w:semiHidden/>
    <w:rsid w:val="00ED25E5"/>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18674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anragir.am/am/view?pt_id=234" TargetMode="Externa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2F46C-F7AC-4815-A4D9-7A6E60E01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41878</Words>
  <Characters>238710</Characters>
  <Application>Microsoft Office Word</Application>
  <DocSecurity>0</DocSecurity>
  <Lines>1989</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Ghazaryan</dc:creator>
  <cp:keywords>https:/mul2.gov.am/tasks/1023031/oneclick/05. Summary.docx?token=494d4a77835595388b2fa6bda4d6a256</cp:keywords>
  <dc:description/>
  <cp:lastModifiedBy>Anahit Mnatsakanyan</cp:lastModifiedBy>
  <cp:revision>3</cp:revision>
  <dcterms:created xsi:type="dcterms:W3CDTF">2024-08-22T04:54:00Z</dcterms:created>
  <dcterms:modified xsi:type="dcterms:W3CDTF">2024-08-22T04:54:00Z</dcterms:modified>
</cp:coreProperties>
</file>