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F52" w:rsidRPr="007F76C0" w:rsidRDefault="007F76C0" w:rsidP="007F76C0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7F76C0">
        <w:rPr>
          <w:rFonts w:ascii="GHEA Grapalat" w:hAnsi="GHEA Grapalat"/>
          <w:b/>
          <w:bCs/>
          <w:sz w:val="24"/>
          <w:szCs w:val="24"/>
          <w:lang w:val="hy-AM"/>
        </w:rPr>
        <w:t>Ե</w:t>
      </w:r>
      <w:r w:rsidRPr="007F76C0">
        <w:rPr>
          <w:rFonts w:ascii="GHEA Grapalat" w:hAnsi="GHEA Grapalat"/>
          <w:b/>
          <w:bCs/>
          <w:sz w:val="24"/>
          <w:szCs w:val="24"/>
        </w:rPr>
        <w:t>ՐԿԱԿԻ ՆՇԱՆԱԿՈՒԹՅԱՆ ԱՊՐԱՆՔՆԵՐԻ ԱՐՏԱՀԱՆՄԱՆ, ՀԱՅԱՍՏԱՆԻ ՀԱՆՐԱՊԵՏՈՒԹՅԱՆ ՏԱՐԱԾՔՈՎ ԴՐԱՆՑ ՏԱՐԱՆՑԻԿ ՓՈԽԱԴՐՄԱՆ, ԻՆՉՊԵՍ ՆԱԵՎ ԵՐԿԱԿԻ ՆՇԱՆԱԿՈՒԹՅԱՆ ՏԵՂԵԿԱՏՎՈՒԹՅԱՆ ԵՎ ՄՏԱՎՈՐ ԳՈՐԾՈՒՆԵՈՒԹՅԱՆ ԱՐԴՅՈՒՆՔՆԵՐԻ ՓՈԽԱՆՑՄԱՆ ՆԿԱՏՄԱՄԲ ՀՍԿՈՂՈՒԹՅԱՆ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 ՕՐԵՆՔ</w:t>
      </w:r>
    </w:p>
    <w:p w:rsidR="007F76C0" w:rsidRDefault="007F76C0" w:rsidP="007F76C0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606"/>
      </w:tblGrid>
      <w:tr w:rsidR="007F76C0" w:rsidRPr="007F76C0" w:rsidTr="007F76C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F76C0" w:rsidRPr="007F76C0" w:rsidRDefault="007F76C0" w:rsidP="007F76C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hideMark/>
          </w:tcPr>
          <w:p w:rsidR="007F76C0" w:rsidRPr="007F76C0" w:rsidRDefault="007F76C0" w:rsidP="007F76C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Հսկվող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ապրանքների</w:t>
            </w:r>
            <w:proofErr w:type="spellEnd"/>
            <w:r w:rsidRPr="007F76C0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և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հսկվող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ոչ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նյութական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արժեքների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ցանկերը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մասնագիտական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փորձաքննության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անցկացումը</w:t>
            </w:r>
            <w:proofErr w:type="spellEnd"/>
            <w:r w:rsidRPr="007F76C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Calibri" w:hAnsi="Calibri" w:cs="Calibri"/>
          <w:sz w:val="24"/>
          <w:szCs w:val="24"/>
        </w:rPr>
        <w:t> 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7F76C0">
        <w:rPr>
          <w:rFonts w:ascii="GHEA Grapalat" w:hAnsi="GHEA Grapalat"/>
          <w:sz w:val="24"/>
          <w:szCs w:val="24"/>
        </w:rPr>
        <w:t>Հսկվող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F76C0">
        <w:rPr>
          <w:rFonts w:ascii="GHEA Grapalat" w:hAnsi="GHEA Grapalat"/>
          <w:sz w:val="24"/>
          <w:szCs w:val="24"/>
        </w:rPr>
        <w:t>հսկվող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ոչ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նյութական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արժեքների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ցանկերը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հաստատում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7F76C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7F76C0">
        <w:rPr>
          <w:rFonts w:ascii="GHEA Grapalat" w:hAnsi="GHEA Grapalat"/>
          <w:sz w:val="24"/>
          <w:szCs w:val="24"/>
        </w:rPr>
        <w:t>: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GHEA Grapalat" w:hAnsi="GHEA Grapalat"/>
          <w:sz w:val="24"/>
          <w:szCs w:val="24"/>
        </w:rPr>
        <w:t xml:space="preserve">1.1. </w:t>
      </w:r>
      <w:proofErr w:type="spellStart"/>
      <w:r w:rsidRPr="007F76C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կարող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7F76C0">
        <w:rPr>
          <w:rFonts w:ascii="GHEA Grapalat" w:hAnsi="GHEA Grapalat"/>
          <w:sz w:val="24"/>
          <w:szCs w:val="24"/>
        </w:rPr>
        <w:t>սահմանել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զգայուն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ցանկեր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որոնցում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ներառված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ապրանքները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վերափոխման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արդյունքով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կարող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են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հանդիսանալ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սույն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օրենքի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իմաստով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հսկվող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ապրանքներ</w:t>
      </w:r>
      <w:proofErr w:type="spellEnd"/>
      <w:r w:rsidRPr="007F76C0">
        <w:rPr>
          <w:rFonts w:ascii="GHEA Grapalat" w:hAnsi="GHEA Grapalat"/>
          <w:sz w:val="24"/>
          <w:szCs w:val="24"/>
        </w:rPr>
        <w:t>: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7F76C0">
        <w:rPr>
          <w:rFonts w:ascii="GHEA Grapalat" w:hAnsi="GHEA Grapalat"/>
          <w:sz w:val="24"/>
          <w:szCs w:val="24"/>
        </w:rPr>
        <w:t>Հսկվող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F76C0">
        <w:rPr>
          <w:rFonts w:ascii="GHEA Grapalat" w:hAnsi="GHEA Grapalat"/>
          <w:sz w:val="24"/>
          <w:szCs w:val="24"/>
        </w:rPr>
        <w:t>հսկվող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ոչ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նյութական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արժեքների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ցանկին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որևէ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ապրանքի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պատկանելության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փորձագիտական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եզրակացությունը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տրամադրում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են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7F76C0">
        <w:rPr>
          <w:rFonts w:ascii="GHEA Grapalat" w:hAnsi="GHEA Grapalat"/>
          <w:sz w:val="24"/>
          <w:szCs w:val="24"/>
        </w:rPr>
        <w:t>Հավատարմագրման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մասին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7F76C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օրենքով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սահմանված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կարգով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հավատարմագրված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կազմակերպությունները</w:t>
      </w:r>
      <w:proofErr w:type="spellEnd"/>
      <w:r w:rsidRPr="007F76C0">
        <w:rPr>
          <w:rFonts w:ascii="GHEA Grapalat" w:hAnsi="GHEA Grapalat"/>
          <w:sz w:val="24"/>
          <w:szCs w:val="24"/>
        </w:rPr>
        <w:t>: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GHEA Grapalat" w:hAnsi="GHEA Grapalat"/>
          <w:sz w:val="24"/>
          <w:szCs w:val="24"/>
        </w:rPr>
        <w:t xml:space="preserve">3. </w:t>
      </w:r>
      <w:proofErr w:type="spellStart"/>
      <w:r w:rsidRPr="007F76C0">
        <w:rPr>
          <w:rFonts w:ascii="GHEA Grapalat" w:hAnsi="GHEA Grapalat"/>
          <w:sz w:val="24"/>
          <w:szCs w:val="24"/>
        </w:rPr>
        <w:t>Հսկվող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F76C0">
        <w:rPr>
          <w:rFonts w:ascii="GHEA Grapalat" w:hAnsi="GHEA Grapalat"/>
          <w:sz w:val="24"/>
          <w:szCs w:val="24"/>
        </w:rPr>
        <w:t>հսկվող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ոչ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նյութական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արժեքների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փորձաքննության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անցկացման</w:t>
      </w:r>
      <w:proofErr w:type="spellEnd"/>
      <w:r w:rsidRPr="007F76C0">
        <w:rPr>
          <w:rFonts w:ascii="Calibri" w:hAnsi="Calibri" w:cs="Calibri"/>
          <w:sz w:val="24"/>
          <w:szCs w:val="24"/>
        </w:rPr>
        <w:t> </w:t>
      </w:r>
      <w:proofErr w:type="spellStart"/>
      <w:r w:rsidRPr="007F76C0">
        <w:rPr>
          <w:rFonts w:ascii="GHEA Grapalat" w:hAnsi="GHEA Grapalat"/>
          <w:sz w:val="24"/>
          <w:szCs w:val="24"/>
        </w:rPr>
        <w:fldChar w:fldCharType="begin"/>
      </w:r>
      <w:r w:rsidRPr="007F76C0">
        <w:rPr>
          <w:rFonts w:ascii="GHEA Grapalat" w:hAnsi="GHEA Grapalat"/>
          <w:sz w:val="24"/>
          <w:szCs w:val="24"/>
        </w:rPr>
        <w:instrText xml:space="preserve"> HYPERLINK "https://www.arlis.am/DocumentView.aspx?docid=190571" \t "" </w:instrText>
      </w:r>
      <w:r w:rsidRPr="007F76C0">
        <w:rPr>
          <w:rFonts w:ascii="GHEA Grapalat" w:hAnsi="GHEA Grapalat"/>
          <w:sz w:val="24"/>
          <w:szCs w:val="24"/>
        </w:rPr>
        <w:fldChar w:fldCharType="separate"/>
      </w:r>
      <w:r w:rsidRPr="007F76C0">
        <w:rPr>
          <w:rStyle w:val="Hyperlink"/>
          <w:rFonts w:ascii="GHEA Grapalat" w:hAnsi="GHEA Grapalat"/>
          <w:sz w:val="24"/>
          <w:szCs w:val="24"/>
        </w:rPr>
        <w:t>կարգը</w:t>
      </w:r>
      <w:proofErr w:type="spellEnd"/>
      <w:r w:rsidRPr="007F76C0">
        <w:rPr>
          <w:rFonts w:ascii="GHEA Grapalat" w:hAnsi="GHEA Grapalat"/>
          <w:sz w:val="24"/>
          <w:szCs w:val="24"/>
        </w:rPr>
        <w:fldChar w:fldCharType="end"/>
      </w:r>
      <w:r w:rsidRPr="007F76C0">
        <w:rPr>
          <w:rFonts w:ascii="Calibri" w:hAnsi="Calibri" w:cs="Calibri"/>
          <w:sz w:val="24"/>
          <w:szCs w:val="24"/>
        </w:rPr>
        <w:t> </w:t>
      </w:r>
      <w:proofErr w:type="spellStart"/>
      <w:r w:rsidRPr="007F76C0">
        <w:rPr>
          <w:rFonts w:ascii="GHEA Grapalat" w:hAnsi="GHEA Grapalat"/>
          <w:sz w:val="24"/>
          <w:szCs w:val="24"/>
        </w:rPr>
        <w:t>սահմանում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7F76C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7F76C0">
        <w:rPr>
          <w:rFonts w:ascii="GHEA Grapalat" w:hAnsi="GHEA Grapalat"/>
          <w:sz w:val="24"/>
          <w:szCs w:val="24"/>
        </w:rPr>
        <w:t>:</w:t>
      </w:r>
    </w:p>
    <w:p w:rsidR="007F76C0" w:rsidRDefault="006078F3" w:rsidP="007F76C0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6078F3">
        <w:rPr>
          <w:rFonts w:ascii="GHEA Grapalat" w:hAnsi="GHEA Grapalat"/>
          <w:color w:val="FF0000"/>
          <w:sz w:val="24"/>
          <w:szCs w:val="24"/>
          <w:lang w:val="hy-AM"/>
        </w:rPr>
        <w:t>4. Սույն հոդվածի 2-րդ մասում նշված անձինք Հայաստանի Հանրապետության պետական եկամուտների կոմիտեին (այսուհետ՝ Կոմիտե) տրամադրման նպատակով տրվող փորձագիտական եզրակացությունը պարտավոր են կազմել և Կոմիտե ներկայացնել ՀՀ կառավարության որոշմամբ սահմանված կարգով</w:t>
      </w:r>
      <w:r>
        <w:rPr>
          <w:rFonts w:ascii="GHEA Grapalat" w:hAnsi="GHEA Grapalat"/>
          <w:color w:val="FF0000"/>
          <w:sz w:val="24"/>
          <w:szCs w:val="24"/>
          <w:lang w:val="hy-AM"/>
        </w:rPr>
        <w:t>:</w:t>
      </w:r>
      <w:r w:rsidRPr="006078F3">
        <w:rPr>
          <w:rFonts w:ascii="GHEA Grapalat" w:hAnsi="GHEA Grapalat"/>
          <w:color w:val="FF0000"/>
          <w:sz w:val="24"/>
          <w:szCs w:val="24"/>
          <w:lang w:val="hy-AM"/>
        </w:rPr>
        <w:t xml:space="preserve"> Կոմիտեն, ստացված տեղեկատվության հիման վրա, վարում և իր պաշտոնական ինտերնետային կայքում, մինչև յուրաքանչյուր ամսվան հաջորդող 10-րդ աշխատանքային օրը, աճողական եղանակով հրապարակում է այն ապրանքների ցանկը, որոնց վերաբերյալ սույն հոդվածի 3-րդ մասին համապատասխան տրվել է փորձագիտական եզրակացություն այն մասին, որ դրանք չեն հանդիսանում հսկվող ապրանքների և հսկվող ոչ նյութական արժեքների ցանկում ներառված ապրանքներ: Հսկվող ապրանքների և հսկվող ոչ նյութական արժեքների ցանկում փոփոխություններ կատարելու դեպքում` նախքան փոփոխող իրավական ակտի ուժի մեջ մտնելը, Կոմիտեն  ապահովում է  սույն մասում նշված ցանկից այն ապրանքները հանումը, որոնք ներառվել են հսկվող ապրանքների և հսկվող ոչ նյութական արժեքների ցանկում:</w:t>
      </w:r>
    </w:p>
    <w:p w:rsidR="007F76C0" w:rsidRDefault="007F76C0" w:rsidP="007F76C0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F76C0" w:rsidRDefault="007F76C0" w:rsidP="007F76C0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«ԼԻՑԵՆԶԱՎՈՐՄԱՆ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ՕՐԵՆՔ</w:t>
      </w:r>
    </w:p>
    <w:p w:rsidR="007F76C0" w:rsidRDefault="007F76C0" w:rsidP="007F76C0">
      <w:pPr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606"/>
      </w:tblGrid>
      <w:tr w:rsidR="007F76C0" w:rsidRPr="007F76C0" w:rsidTr="007F76C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F76C0" w:rsidRPr="007F76C0" w:rsidRDefault="007F76C0" w:rsidP="007F76C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Հոդված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12.1.</w:t>
            </w:r>
          </w:p>
        </w:tc>
        <w:tc>
          <w:tcPr>
            <w:tcW w:w="0" w:type="auto"/>
            <w:shd w:val="clear" w:color="auto" w:fill="FFFFFF"/>
            <w:hideMark/>
          </w:tcPr>
          <w:p w:rsidR="007F76C0" w:rsidRPr="007F76C0" w:rsidRDefault="007F76C0" w:rsidP="007F76C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Ռազմական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նշանակության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արտադրանքի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ներմուծման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արտահանման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ու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տարանցիկ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փոխադրման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ռազմական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նշանակության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արտադրանքի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առևտրի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միջնորդական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գործունեության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իրականացմանը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ներկայացվող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պարտադիր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պահանջները</w:t>
            </w:r>
            <w:proofErr w:type="spellEnd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7F76C0">
              <w:rPr>
                <w:rFonts w:ascii="GHEA Grapalat" w:hAnsi="GHEA Grapalat"/>
                <w:b/>
                <w:bCs/>
                <w:sz w:val="24"/>
                <w:szCs w:val="24"/>
              </w:rPr>
              <w:t>պայմանները</w:t>
            </w:r>
            <w:proofErr w:type="spellEnd"/>
          </w:p>
        </w:tc>
      </w:tr>
    </w:tbl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Calibri" w:hAnsi="Calibri" w:cs="Calibri"/>
          <w:sz w:val="24"/>
          <w:szCs w:val="24"/>
        </w:rPr>
        <w:t> </w:t>
      </w:r>
      <w:r w:rsidRPr="007F76C0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7F76C0">
        <w:rPr>
          <w:rFonts w:ascii="GHEA Grapalat" w:hAnsi="GHEA Grapalat"/>
          <w:sz w:val="24"/>
          <w:szCs w:val="24"/>
        </w:rPr>
        <w:t>Ռազմական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ներմուծման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արտահանման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տարանցիկ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փոխադրման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ինչպես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նաև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ռազմական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առևտրի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միջնորդական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համար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լիցենզավորված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անձինք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նախքան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ռազմական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ներմուծում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արտահանում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տարանցիկ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փոխադրում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իրականացնելը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ինչպես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նաև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ռազմական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առևտրի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միջնորդական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պայմանագիր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ստորագրելը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պարտավոր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են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ստանալ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լիցենզավորող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մարմնի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եզրակացությունը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7F76C0">
        <w:rPr>
          <w:rFonts w:ascii="GHEA Grapalat" w:hAnsi="GHEA Grapalat"/>
          <w:sz w:val="24"/>
          <w:szCs w:val="24"/>
        </w:rPr>
        <w:t>այդ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7F76C0">
        <w:rPr>
          <w:rFonts w:ascii="GHEA Grapalat" w:hAnsi="GHEA Grapalat"/>
          <w:sz w:val="24"/>
          <w:szCs w:val="24"/>
        </w:rPr>
        <w:t>սույն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օրենքի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7F76C0">
        <w:rPr>
          <w:rFonts w:ascii="GHEA Grapalat" w:hAnsi="GHEA Grapalat"/>
          <w:sz w:val="24"/>
          <w:szCs w:val="24"/>
        </w:rPr>
        <w:t>հոդվածով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սահմանված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նպատակներին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համապատասխանելու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7F76C0">
        <w:rPr>
          <w:rFonts w:ascii="GHEA Grapalat" w:hAnsi="GHEA Grapalat"/>
          <w:sz w:val="24"/>
          <w:szCs w:val="24"/>
        </w:rPr>
        <w:t>: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7F76C0">
        <w:rPr>
          <w:rFonts w:ascii="GHEA Grapalat" w:hAnsi="GHEA Grapalat"/>
          <w:sz w:val="24"/>
          <w:szCs w:val="24"/>
        </w:rPr>
        <w:t>Եզրակացությունը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ստանալու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նպատակով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անձը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պարտավոր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է,</w:t>
      </w:r>
      <w:r w:rsidRPr="007F76C0">
        <w:rPr>
          <w:rFonts w:ascii="Calibri" w:hAnsi="Calibri" w:cs="Calibri"/>
          <w:sz w:val="24"/>
          <w:szCs w:val="24"/>
        </w:rPr>
        <w:t> </w:t>
      </w:r>
      <w:proofErr w:type="spellStart"/>
      <w:r w:rsidRPr="007F76C0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Pr="007F76C0">
        <w:rPr>
          <w:rFonts w:ascii="Calibri" w:hAnsi="Calibri" w:cs="Calibri"/>
          <w:sz w:val="24"/>
          <w:szCs w:val="24"/>
        </w:rPr>
        <w:t> </w:t>
      </w:r>
      <w:proofErr w:type="spellStart"/>
      <w:r w:rsidRPr="007F76C0">
        <w:rPr>
          <w:rFonts w:ascii="GHEA Grapalat" w:hAnsi="GHEA Grapalat"/>
          <w:sz w:val="24"/>
          <w:szCs w:val="24"/>
        </w:rPr>
        <w:t>կարգով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սահմանված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պահանջների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համաձայն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լիցենզավորող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մարմին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ներկայացնել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պատշաճ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կարգով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հաստատված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հետևյալ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տեղեկությունները</w:t>
      </w:r>
      <w:proofErr w:type="spellEnd"/>
      <w:r w:rsidRPr="007F76C0">
        <w:rPr>
          <w:rFonts w:ascii="GHEA Grapalat" w:hAnsi="GHEA Grapalat"/>
          <w:sz w:val="24"/>
          <w:szCs w:val="24"/>
        </w:rPr>
        <w:t>.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GHEA Grapalat" w:hAnsi="GHEA Grapalat"/>
          <w:sz w:val="24"/>
          <w:szCs w:val="24"/>
        </w:rPr>
        <w:t xml:space="preserve">1) </w:t>
      </w:r>
      <w:proofErr w:type="spellStart"/>
      <w:r w:rsidRPr="007F76C0">
        <w:rPr>
          <w:rFonts w:ascii="GHEA Grapalat" w:hAnsi="GHEA Grapalat"/>
          <w:sz w:val="24"/>
          <w:szCs w:val="24"/>
        </w:rPr>
        <w:t>ներմուծող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արտահանող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տարանցիկ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փոխադրում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գրանցման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F76C0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վայրի</w:t>
      </w:r>
      <w:proofErr w:type="spellEnd"/>
      <w:r w:rsidRPr="007F76C0">
        <w:rPr>
          <w:rFonts w:ascii="Calibri" w:hAnsi="Calibri" w:cs="Calibri"/>
          <w:sz w:val="24"/>
          <w:szCs w:val="24"/>
        </w:rPr>
        <w:t> </w:t>
      </w:r>
      <w:proofErr w:type="spellStart"/>
      <w:r w:rsidRPr="007F76C0">
        <w:rPr>
          <w:rFonts w:ascii="GHEA Grapalat" w:hAnsi="GHEA Grapalat"/>
          <w:sz w:val="24"/>
          <w:szCs w:val="24"/>
        </w:rPr>
        <w:t>մասին</w:t>
      </w:r>
      <w:proofErr w:type="spellEnd"/>
      <w:r w:rsidRPr="007F76C0">
        <w:rPr>
          <w:rFonts w:ascii="GHEA Grapalat" w:hAnsi="GHEA Grapalat"/>
          <w:sz w:val="24"/>
          <w:szCs w:val="24"/>
        </w:rPr>
        <w:t>.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GHEA Grapalat" w:hAnsi="GHEA Grapalat"/>
          <w:sz w:val="24"/>
          <w:szCs w:val="24"/>
        </w:rPr>
        <w:t xml:space="preserve">2) </w:t>
      </w:r>
      <w:proofErr w:type="spellStart"/>
      <w:r w:rsidRPr="007F76C0">
        <w:rPr>
          <w:rFonts w:ascii="GHEA Grapalat" w:hAnsi="GHEA Grapalat"/>
          <w:sz w:val="24"/>
          <w:szCs w:val="24"/>
        </w:rPr>
        <w:t>ռազմական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վերջնական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օգտագործողի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գրանցման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F76C0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վայրի</w:t>
      </w:r>
      <w:proofErr w:type="spellEnd"/>
      <w:r w:rsidRPr="007F76C0">
        <w:rPr>
          <w:rFonts w:ascii="Calibri" w:hAnsi="Calibri" w:cs="Calibri"/>
          <w:sz w:val="24"/>
          <w:szCs w:val="24"/>
        </w:rPr>
        <w:t> </w:t>
      </w:r>
      <w:proofErr w:type="spellStart"/>
      <w:r w:rsidRPr="007F76C0">
        <w:rPr>
          <w:rFonts w:ascii="GHEA Grapalat" w:hAnsi="GHEA Grapalat"/>
          <w:sz w:val="24"/>
          <w:szCs w:val="24"/>
        </w:rPr>
        <w:t>մասին</w:t>
      </w:r>
      <w:proofErr w:type="spellEnd"/>
      <w:r w:rsidRPr="007F76C0">
        <w:rPr>
          <w:rFonts w:ascii="GHEA Grapalat" w:hAnsi="GHEA Grapalat"/>
          <w:sz w:val="24"/>
          <w:szCs w:val="24"/>
        </w:rPr>
        <w:t>.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GHEA Grapalat" w:hAnsi="GHEA Grapalat"/>
          <w:sz w:val="24"/>
          <w:szCs w:val="24"/>
        </w:rPr>
        <w:t xml:space="preserve">3) </w:t>
      </w:r>
      <w:proofErr w:type="spellStart"/>
      <w:r w:rsidRPr="007F76C0">
        <w:rPr>
          <w:rFonts w:ascii="GHEA Grapalat" w:hAnsi="GHEA Grapalat"/>
          <w:sz w:val="24"/>
          <w:szCs w:val="24"/>
        </w:rPr>
        <w:t>ռազմական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արտահանման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տարանցիկ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փոխադրման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դեպքերում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ներմուծվող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պետության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լիազոր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մարմնի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հավաստումն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այն</w:t>
      </w:r>
      <w:proofErr w:type="spellEnd"/>
      <w:r w:rsidRPr="007F76C0">
        <w:rPr>
          <w:rFonts w:ascii="Calibri" w:hAnsi="Calibri" w:cs="Calibri"/>
          <w:sz w:val="24"/>
          <w:szCs w:val="24"/>
        </w:rPr>
        <w:t> </w:t>
      </w:r>
      <w:proofErr w:type="spellStart"/>
      <w:r w:rsidRPr="007F76C0">
        <w:rPr>
          <w:rFonts w:ascii="GHEA Grapalat" w:hAnsi="GHEA Grapalat"/>
          <w:sz w:val="24"/>
          <w:szCs w:val="24"/>
        </w:rPr>
        <w:t>մասին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որ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ներմուծվող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ռազմական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արտադրանքը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կհանձնվի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վերջնական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օգտագործողին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այդ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արտադրանքը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չի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օգտագործվի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այլ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նպատակներով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քան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հայտարարված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է, և </w:t>
      </w:r>
      <w:proofErr w:type="spellStart"/>
      <w:r w:rsidRPr="007F76C0">
        <w:rPr>
          <w:rFonts w:ascii="GHEA Grapalat" w:hAnsi="GHEA Grapalat"/>
          <w:sz w:val="24"/>
          <w:szCs w:val="24"/>
        </w:rPr>
        <w:t>չի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փոխանցվի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որևէ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այլ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երրորդ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երկիր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այլ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անձի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7F76C0">
        <w:rPr>
          <w:rFonts w:ascii="GHEA Grapalat" w:hAnsi="GHEA Grapalat"/>
          <w:sz w:val="24"/>
          <w:szCs w:val="24"/>
        </w:rPr>
        <w:t>առանց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արտահանող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կողմի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լիցենզավորող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մարմնի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գրավոր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համաձայնության</w:t>
      </w:r>
      <w:proofErr w:type="spellEnd"/>
      <w:r w:rsidRPr="007F76C0">
        <w:rPr>
          <w:rFonts w:ascii="GHEA Grapalat" w:hAnsi="GHEA Grapalat"/>
          <w:sz w:val="24"/>
          <w:szCs w:val="24"/>
        </w:rPr>
        <w:t>.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GHEA Grapalat" w:hAnsi="GHEA Grapalat"/>
          <w:sz w:val="24"/>
          <w:szCs w:val="24"/>
        </w:rPr>
        <w:t xml:space="preserve">4) </w:t>
      </w:r>
      <w:proofErr w:type="spellStart"/>
      <w:r w:rsidRPr="007F76C0">
        <w:rPr>
          <w:rFonts w:ascii="GHEA Grapalat" w:hAnsi="GHEA Grapalat"/>
          <w:sz w:val="24"/>
          <w:szCs w:val="24"/>
        </w:rPr>
        <w:t>ռազմական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փոխադրում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7F76C0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7F76C0">
        <w:rPr>
          <w:rFonts w:ascii="GHEA Grapalat" w:hAnsi="GHEA Grapalat"/>
          <w:sz w:val="24"/>
          <w:szCs w:val="24"/>
        </w:rPr>
        <w:t>գրանցման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F76C0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վայրի</w:t>
      </w:r>
      <w:proofErr w:type="spellEnd"/>
      <w:r w:rsidRPr="007F76C0">
        <w:rPr>
          <w:rFonts w:ascii="Calibri" w:hAnsi="Calibri" w:cs="Calibri"/>
          <w:sz w:val="24"/>
          <w:szCs w:val="24"/>
        </w:rPr>
        <w:t> </w:t>
      </w:r>
      <w:proofErr w:type="spellStart"/>
      <w:r w:rsidRPr="007F76C0">
        <w:rPr>
          <w:rFonts w:ascii="GHEA Grapalat" w:hAnsi="GHEA Grapalat"/>
          <w:sz w:val="24"/>
          <w:szCs w:val="24"/>
        </w:rPr>
        <w:t>մասին</w:t>
      </w:r>
      <w:proofErr w:type="spellEnd"/>
      <w:r w:rsidRPr="007F76C0">
        <w:rPr>
          <w:rFonts w:ascii="GHEA Grapalat" w:hAnsi="GHEA Grapalat"/>
          <w:sz w:val="24"/>
          <w:szCs w:val="24"/>
        </w:rPr>
        <w:t>.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GHEA Grapalat" w:hAnsi="GHEA Grapalat"/>
          <w:sz w:val="24"/>
          <w:szCs w:val="24"/>
        </w:rPr>
        <w:t xml:space="preserve">5) </w:t>
      </w:r>
      <w:proofErr w:type="spellStart"/>
      <w:r w:rsidRPr="007F76C0">
        <w:rPr>
          <w:rFonts w:ascii="GHEA Grapalat" w:hAnsi="GHEA Grapalat"/>
          <w:sz w:val="24"/>
          <w:szCs w:val="24"/>
        </w:rPr>
        <w:t>ռազմական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ներմուծման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արտահանման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տարանցիկ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փոխադրման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պայմանագրերում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ներմուծվող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արտահանվող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տարանցիկ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փոխադրվող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ցանկը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իսկ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ռազմական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առևտրի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միջնորդական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դեպքում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7F76C0">
        <w:rPr>
          <w:rFonts w:ascii="GHEA Grapalat" w:hAnsi="GHEA Grapalat"/>
          <w:sz w:val="24"/>
          <w:szCs w:val="24"/>
        </w:rPr>
        <w:t>նաև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կնքման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ենթակա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պայմանագրի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նախագծում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ցանկը</w:t>
      </w:r>
      <w:proofErr w:type="spellEnd"/>
      <w:r w:rsidRPr="007F76C0">
        <w:rPr>
          <w:rFonts w:ascii="GHEA Grapalat" w:hAnsi="GHEA Grapalat"/>
          <w:sz w:val="24"/>
          <w:szCs w:val="24"/>
        </w:rPr>
        <w:t>: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7F76C0">
        <w:rPr>
          <w:rFonts w:ascii="GHEA Grapalat" w:hAnsi="GHEA Grapalat"/>
          <w:sz w:val="24"/>
          <w:szCs w:val="24"/>
        </w:rPr>
        <w:t>Սույն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հոդվածի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առաջին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մասով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պահանջները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F76C0">
        <w:rPr>
          <w:rFonts w:ascii="GHEA Grapalat" w:hAnsi="GHEA Grapalat"/>
          <w:sz w:val="24"/>
          <w:szCs w:val="24"/>
        </w:rPr>
        <w:t>պայմանները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լիցենզավորված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անձը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պետք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7F76C0">
        <w:rPr>
          <w:rFonts w:ascii="GHEA Grapalat" w:hAnsi="GHEA Grapalat"/>
          <w:sz w:val="24"/>
          <w:szCs w:val="24"/>
        </w:rPr>
        <w:t>պահպանի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նաև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տարածքից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դուրս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ժամանակ</w:t>
      </w:r>
      <w:proofErr w:type="spellEnd"/>
      <w:r w:rsidRPr="007F76C0">
        <w:rPr>
          <w:rFonts w:ascii="GHEA Grapalat" w:hAnsi="GHEA Grapalat"/>
          <w:sz w:val="24"/>
          <w:szCs w:val="24"/>
        </w:rPr>
        <w:t>: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r w:rsidRPr="007F76C0">
        <w:rPr>
          <w:rFonts w:ascii="GHEA Grapalat" w:hAnsi="GHEA Grapalat"/>
          <w:sz w:val="24"/>
          <w:szCs w:val="24"/>
        </w:rPr>
        <w:t xml:space="preserve">3. </w:t>
      </w:r>
      <w:proofErr w:type="spellStart"/>
      <w:r w:rsidRPr="007F76C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սահմանում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7F76C0">
        <w:rPr>
          <w:rFonts w:ascii="GHEA Grapalat" w:hAnsi="GHEA Grapalat"/>
          <w:sz w:val="24"/>
          <w:szCs w:val="24"/>
        </w:rPr>
        <w:t>ռազմական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արտադրանք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համարվող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այն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7F76C0">
        <w:rPr>
          <w:rFonts w:ascii="GHEA Grapalat" w:hAnsi="GHEA Grapalat"/>
          <w:sz w:val="24"/>
          <w:szCs w:val="24"/>
        </w:rPr>
        <w:t>մտավոր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lastRenderedPageBreak/>
        <w:t>գործունեության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արդյունքների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ցանկը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որոնց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ներմուծման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արտահանման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տարանցիկ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փոխադրման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7F76C0">
        <w:rPr>
          <w:rFonts w:ascii="GHEA Grapalat" w:hAnsi="GHEA Grapalat"/>
          <w:sz w:val="24"/>
          <w:szCs w:val="24"/>
        </w:rPr>
        <w:t>ինչպես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նաև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դրանց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առևտրի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միջնորդական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նկատմամբ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հսկողությունն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անհրաժեշտ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7F76C0">
        <w:rPr>
          <w:rFonts w:ascii="GHEA Grapalat" w:hAnsi="GHEA Grapalat"/>
          <w:sz w:val="24"/>
          <w:szCs w:val="24"/>
        </w:rPr>
        <w:t>սույն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օրենքի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7F76C0">
        <w:rPr>
          <w:rFonts w:ascii="GHEA Grapalat" w:hAnsi="GHEA Grapalat"/>
          <w:sz w:val="24"/>
          <w:szCs w:val="24"/>
        </w:rPr>
        <w:t>հոդվածով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նպատակների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կատարումն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համար</w:t>
      </w:r>
      <w:proofErr w:type="spellEnd"/>
      <w:r w:rsidRPr="007F76C0">
        <w:rPr>
          <w:rFonts w:ascii="GHEA Grapalat" w:hAnsi="GHEA Grapalat"/>
          <w:sz w:val="24"/>
          <w:szCs w:val="24"/>
        </w:rPr>
        <w:t>:</w:t>
      </w:r>
    </w:p>
    <w:p w:rsidR="007F76C0" w:rsidRPr="007F76C0" w:rsidRDefault="007F76C0" w:rsidP="007F76C0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7F76C0">
        <w:rPr>
          <w:rFonts w:ascii="GHEA Grapalat" w:hAnsi="GHEA Grapalat"/>
          <w:sz w:val="24"/>
          <w:szCs w:val="24"/>
        </w:rPr>
        <w:t>Սույն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մասում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նշված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ցանկը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հաստատում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7F76C0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բնագավառի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պետական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լիազոր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մարմնի</w:t>
      </w:r>
      <w:proofErr w:type="spellEnd"/>
      <w:r w:rsidRPr="007F7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76C0">
        <w:rPr>
          <w:rFonts w:ascii="GHEA Grapalat" w:hAnsi="GHEA Grapalat"/>
          <w:sz w:val="24"/>
          <w:szCs w:val="24"/>
        </w:rPr>
        <w:t>ներկայացմամբ</w:t>
      </w:r>
      <w:proofErr w:type="spellEnd"/>
      <w:r w:rsidRPr="007F76C0">
        <w:rPr>
          <w:rFonts w:ascii="GHEA Grapalat" w:hAnsi="GHEA Grapalat"/>
          <w:sz w:val="24"/>
          <w:szCs w:val="24"/>
        </w:rPr>
        <w:t>:</w:t>
      </w:r>
    </w:p>
    <w:p w:rsidR="007F76C0" w:rsidRPr="007F76C0" w:rsidRDefault="007F76C0" w:rsidP="007F76C0">
      <w:pPr>
        <w:jc w:val="both"/>
        <w:rPr>
          <w:rFonts w:ascii="GHEA Grapalat" w:hAnsi="GHEA Grapalat"/>
          <w:color w:val="FF0000"/>
          <w:sz w:val="24"/>
          <w:szCs w:val="24"/>
        </w:rPr>
      </w:pPr>
      <w:r w:rsidRPr="007F76C0">
        <w:rPr>
          <w:rFonts w:ascii="GHEA Grapalat" w:hAnsi="GHEA Grapalat"/>
          <w:color w:val="FF0000"/>
          <w:sz w:val="24"/>
          <w:szCs w:val="24"/>
          <w:lang w:val="hy-AM"/>
        </w:rPr>
        <w:t xml:space="preserve">4. </w:t>
      </w:r>
      <w:r w:rsidR="006078F3" w:rsidRPr="006078F3">
        <w:rPr>
          <w:rFonts w:ascii="GHEA Grapalat" w:hAnsi="GHEA Grapalat"/>
          <w:color w:val="FF0000"/>
          <w:sz w:val="24"/>
          <w:szCs w:val="24"/>
          <w:lang w:val="hy-AM"/>
        </w:rPr>
        <w:t>ՀՀ կառավարության որոշմամբ սահմանված ռազմական նշանակության արտադրանքի ցանկում ներառված ռազմական նշանակության արտադրանք հանդիսանալու վերաբերյալ փորձաքննություն իրականացնող յուրաքանչյուր անձ պարտավոր է Հայաստանի Հանրապետության պետական եկամուտների կոմիտեին (այսուհետ՝ Կոմիտե) տրամադրման նպատակով տրվող փորձագիտական եզրակացությունը կազմել և Կոմիտե ներկայացնել ՀՀ կառավարության որոշմամբ սահմանված կարգով</w:t>
      </w:r>
      <w:r w:rsidR="006078F3">
        <w:rPr>
          <w:rFonts w:ascii="GHEA Grapalat" w:hAnsi="GHEA Grapalat"/>
          <w:color w:val="FF0000"/>
          <w:sz w:val="24"/>
          <w:szCs w:val="24"/>
          <w:lang w:val="hy-AM"/>
        </w:rPr>
        <w:t>:</w:t>
      </w:r>
      <w:bookmarkStart w:id="0" w:name="_GoBack"/>
      <w:bookmarkEnd w:id="0"/>
      <w:r w:rsidR="006078F3" w:rsidRPr="006078F3">
        <w:rPr>
          <w:rFonts w:ascii="GHEA Grapalat" w:hAnsi="GHEA Grapalat"/>
          <w:color w:val="FF0000"/>
          <w:sz w:val="24"/>
          <w:szCs w:val="24"/>
          <w:lang w:val="hy-AM"/>
        </w:rPr>
        <w:t xml:space="preserve">  Կոմիտեն վարում և իր պաշտոնական ինտերնետային կայքում մինչև յուրաքանչյուր ամսվան հաջորդող 10-րդ աշխատանքային օրը, աճողական եղանակով հրապարակում է այն ապրանքների ցանկը, որոնց վերաբերյալ ապրանքի փորձաքննության եզրակացությամբ հաստատվել է, որ դրանք չեն հանդիսանում ՀՀ կառավարության որոշմամբ սահմանված ռազմական նշանակության արտադրանքի ցանկում ներառված ռազմական նշանակության արտադրանք: ՀՀ կառավարության որոշմամբ սահմանված ռազմական նշանակության արտադրանքի ցանկում փոփոխություններ կատարելու դեպքում` նախքան փոփոխող իրավական ակտի ուժի մեջ մտնելը Կոմիտեն ապահովում է  սույն մասում նշված ցանկից այն ապրանքները հանումը, որոնք ներառվել են ՀՀ կառավարության որոշմամբ սահմանված ռազմական նշանակության արտադրանքի ցանկում:»:</w:t>
      </w:r>
    </w:p>
    <w:sectPr w:rsidR="007F76C0" w:rsidRPr="007F76C0" w:rsidSect="007F76C0">
      <w:pgSz w:w="12240" w:h="15840"/>
      <w:pgMar w:top="709" w:right="758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8AE"/>
    <w:rsid w:val="006078F3"/>
    <w:rsid w:val="00706F52"/>
    <w:rsid w:val="007B08AE"/>
    <w:rsid w:val="007F76C0"/>
    <w:rsid w:val="009F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91173"/>
  <w15:chartTrackingRefBased/>
  <w15:docId w15:val="{EE1E2742-218A-46AE-9446-68996115F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76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Artyom Mesropyan</dc:creator>
  <cp:keywords/>
  <dc:description/>
  <cp:lastModifiedBy>Artyom Mesropyan</cp:lastModifiedBy>
  <cp:revision>3</cp:revision>
  <dcterms:created xsi:type="dcterms:W3CDTF">2024-08-28T07:06:00Z</dcterms:created>
  <dcterms:modified xsi:type="dcterms:W3CDTF">2024-09-18T13:45:00Z</dcterms:modified>
</cp:coreProperties>
</file>