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0E0" w:rsidRDefault="00A840E0" w:rsidP="00A840E0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:rsidR="00A840E0" w:rsidRDefault="00A840E0" w:rsidP="00A840E0">
      <w:pPr>
        <w:spacing w:after="0" w:line="360" w:lineRule="auto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spacing w:val="-8"/>
          <w:sz w:val="24"/>
          <w:szCs w:val="24"/>
        </w:rPr>
        <w:t>Ս</w:t>
      </w:r>
      <w:r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ԵՎ</w:t>
      </w:r>
      <w:r>
        <w:rPr>
          <w:rFonts w:ascii="GHEA Grapalat" w:hAnsi="GHEA Grapalat" w:cs="GHEA Grapalat"/>
          <w:b/>
          <w:spacing w:val="-8"/>
          <w:sz w:val="24"/>
          <w:szCs w:val="24"/>
        </w:rPr>
        <w:t>ԱՆԱ</w:t>
      </w:r>
      <w:r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>
        <w:rPr>
          <w:rFonts w:ascii="GHEA Grapalat" w:hAnsi="GHEA Grapalat" w:cs="GHEA Grapalat"/>
          <w:b/>
          <w:spacing w:val="-8"/>
          <w:sz w:val="24"/>
          <w:szCs w:val="24"/>
        </w:rPr>
        <w:t>ԼՃԻ</w:t>
      </w:r>
      <w:r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>
        <w:rPr>
          <w:rFonts w:ascii="GHEA Grapalat" w:hAnsi="GHEA Grapalat" w:cs="GHEA Grapalat"/>
          <w:b/>
          <w:spacing w:val="-8"/>
          <w:sz w:val="24"/>
          <w:szCs w:val="24"/>
        </w:rPr>
        <w:t>ԷԿՈՀԱՄԱԿԱՐԳԻ</w:t>
      </w:r>
      <w:r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>
        <w:rPr>
          <w:rFonts w:ascii="GHEA Grapalat" w:hAnsi="GHEA Grapalat" w:cs="GHEA Grapalat"/>
          <w:b/>
          <w:spacing w:val="-8"/>
          <w:sz w:val="24"/>
          <w:szCs w:val="24"/>
        </w:rPr>
        <w:t>ՎԵՐԱԿԱՆԳՆՄԱՆ</w:t>
      </w:r>
      <w:r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, </w:t>
      </w:r>
      <w:r>
        <w:rPr>
          <w:rFonts w:ascii="GHEA Grapalat" w:hAnsi="GHEA Grapalat" w:cs="GHEA Grapalat"/>
          <w:b/>
          <w:spacing w:val="-8"/>
          <w:sz w:val="24"/>
          <w:szCs w:val="24"/>
        </w:rPr>
        <w:t>ՊԱՀՊԱՆՄԱՆ</w:t>
      </w:r>
      <w:r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, </w:t>
      </w:r>
      <w:r>
        <w:rPr>
          <w:rFonts w:ascii="GHEA Grapalat" w:hAnsi="GHEA Grapalat" w:cs="GHEA Grapalat"/>
          <w:b/>
          <w:spacing w:val="-8"/>
          <w:sz w:val="24"/>
          <w:szCs w:val="24"/>
        </w:rPr>
        <w:t>ՎԵՐԱՐՏԱԴՐՄԱ</w:t>
      </w:r>
      <w:r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Ն</w:t>
      </w:r>
      <w:r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ԵՎ</w:t>
      </w:r>
      <w:r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>
        <w:rPr>
          <w:rFonts w:ascii="GHEA Grapalat" w:hAnsi="GHEA Grapalat" w:cs="GHEA Grapalat"/>
          <w:b/>
          <w:spacing w:val="-8"/>
          <w:sz w:val="24"/>
          <w:szCs w:val="24"/>
        </w:rPr>
        <w:t>ՕԳՏԱԳՈՐԾՄԱՆ</w:t>
      </w:r>
      <w:r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>
        <w:rPr>
          <w:rFonts w:ascii="GHEA Grapalat" w:hAnsi="GHEA Grapalat" w:cs="GHEA Grapalat"/>
          <w:b/>
          <w:spacing w:val="-8"/>
          <w:sz w:val="24"/>
          <w:szCs w:val="24"/>
        </w:rPr>
        <w:t>ՄԻՋՈՑԱՌՈՒՄՆԵՐԻ</w:t>
      </w:r>
      <w:r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20</w:t>
      </w:r>
      <w:r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2</w:t>
      </w:r>
      <w:r>
        <w:rPr>
          <w:rFonts w:ascii="GHEA Grapalat" w:hAnsi="GHEA Grapalat" w:cs="GHEA Grapalat"/>
          <w:b/>
          <w:spacing w:val="-8"/>
          <w:sz w:val="24"/>
          <w:szCs w:val="24"/>
          <w:lang w:val="af-ZA"/>
        </w:rPr>
        <w:t xml:space="preserve">5 </w:t>
      </w:r>
      <w:r>
        <w:rPr>
          <w:rFonts w:ascii="GHEA Grapalat" w:hAnsi="GHEA Grapalat" w:cs="GHEA Grapalat"/>
          <w:b/>
          <w:spacing w:val="-8"/>
          <w:sz w:val="24"/>
          <w:szCs w:val="24"/>
        </w:rPr>
        <w:t>ԹՎԱԿԱՆԻ</w:t>
      </w:r>
      <w:r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>
        <w:rPr>
          <w:rFonts w:ascii="GHEA Grapalat" w:hAnsi="GHEA Grapalat" w:cs="GHEA Grapalat"/>
          <w:b/>
          <w:spacing w:val="-8"/>
          <w:sz w:val="24"/>
          <w:szCs w:val="24"/>
        </w:rPr>
        <w:t>ՏԱՐԵԿԱՆ</w:t>
      </w:r>
      <w:r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>
        <w:rPr>
          <w:rFonts w:ascii="GHEA Grapalat" w:hAnsi="GHEA Grapalat" w:cs="GHEA Grapalat"/>
          <w:b/>
          <w:spacing w:val="-8"/>
          <w:sz w:val="24"/>
          <w:szCs w:val="24"/>
        </w:rPr>
        <w:t>ԾՐԱԳԻՐԸ</w:t>
      </w:r>
      <w:r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>
        <w:rPr>
          <w:rFonts w:ascii="GHEA Grapalat" w:hAnsi="GHEA Grapalat" w:cs="GHEA Grapalat"/>
          <w:b/>
          <w:spacing w:val="-8"/>
          <w:sz w:val="24"/>
          <w:szCs w:val="24"/>
        </w:rPr>
        <w:t>ՀԱՍՏԱՏԵԼՈՒ</w:t>
      </w:r>
      <w:r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>
        <w:rPr>
          <w:rFonts w:ascii="GHEA Grapalat" w:hAnsi="GHEA Grapalat" w:cs="GHEA Grapalat"/>
          <w:b/>
          <w:spacing w:val="-8"/>
          <w:sz w:val="24"/>
          <w:szCs w:val="24"/>
        </w:rPr>
        <w:t>ՄԱՍԻՆ</w:t>
      </w:r>
      <w:r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» </w:t>
      </w:r>
      <w:r>
        <w:rPr>
          <w:rFonts w:ascii="GHEA Grapalat" w:hAnsi="GHEA Grapalat" w:cs="Calibri"/>
          <w:b/>
          <w:caps/>
          <w:sz w:val="24"/>
          <w:szCs w:val="24"/>
          <w:lang w:val="hy-AM"/>
        </w:rPr>
        <w:t>ԿԱՌԱՎԱՐՈՒԹՅԱՆ</w:t>
      </w:r>
      <w:r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>
        <w:rPr>
          <w:rFonts w:ascii="GHEA Grapalat" w:hAnsi="GHEA Grapalat" w:cs="Calibri"/>
          <w:b/>
          <w:caps/>
          <w:sz w:val="24"/>
          <w:szCs w:val="24"/>
          <w:lang w:val="hy-AM"/>
        </w:rPr>
        <w:t>ՈՐՈՇՄԱՆ</w:t>
      </w:r>
      <w:r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>
        <w:rPr>
          <w:rFonts w:ascii="GHEA Grapalat" w:hAnsi="GHEA Grapalat" w:cs="Calibri"/>
          <w:b/>
          <w:caps/>
          <w:sz w:val="24"/>
          <w:szCs w:val="24"/>
          <w:lang w:val="hy-AM"/>
        </w:rPr>
        <w:t>ՆԱԽԱԳԾԻ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Calibri"/>
          <w:b/>
          <w:sz w:val="24"/>
          <w:szCs w:val="24"/>
          <w:lang w:val="hy-AM"/>
        </w:rPr>
        <w:t>ԸՆԴՈՒՆՄԱՆ</w:t>
      </w:r>
    </w:p>
    <w:p w:rsidR="00A840E0" w:rsidRDefault="00A840E0" w:rsidP="00A840E0">
      <w:pPr>
        <w:spacing w:after="0" w:line="360" w:lineRule="auto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</w:p>
    <w:p w:rsidR="00A840E0" w:rsidRDefault="00A840E0" w:rsidP="00A840E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GHEA Grapalat"/>
          <w:bCs/>
          <w:i/>
          <w:spacing w:val="-8"/>
          <w:lang w:val="hy-AM"/>
        </w:rPr>
      </w:pPr>
      <w:r>
        <w:rPr>
          <w:rFonts w:ascii="GHEA Grapalat" w:hAnsi="GHEA Grapalat" w:cs="GHEA Grapalat"/>
          <w:bCs/>
          <w:i/>
          <w:spacing w:val="-8"/>
          <w:lang w:val="hy-AM"/>
        </w:rPr>
        <w:t>1. Ընթացիկ իրավիճակը և իրավական ակտի ընդունման անհրաժեշտությունը</w:t>
      </w:r>
    </w:p>
    <w:p w:rsidR="00A840E0" w:rsidRDefault="00A840E0" w:rsidP="00A840E0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eastAsia="Times New Roman" w:hAnsi="GHEA Grapalat"/>
          <w:lang w:val="hy-AM" w:eastAsia="en-GB"/>
        </w:rPr>
      </w:pPr>
      <w:r>
        <w:rPr>
          <w:rFonts w:ascii="GHEA Grapalat" w:hAnsi="GHEA Grapalat" w:cs="GHEA Grapalat"/>
          <w:spacing w:val="-8"/>
          <w:lang w:val="hy-AM"/>
        </w:rPr>
        <w:t>Կառավարության կողմից յուրաքանչյուր տարի հաստատվում է «</w:t>
      </w:r>
      <w:proofErr w:type="spellStart"/>
      <w:r>
        <w:rPr>
          <w:rFonts w:ascii="GHEA Grapalat" w:hAnsi="GHEA Grapalat" w:cs="GHEA Grapalat"/>
          <w:spacing w:val="-8"/>
          <w:lang w:val="hy-AM"/>
        </w:rPr>
        <w:t>Սևանա</w:t>
      </w:r>
      <w:proofErr w:type="spellEnd"/>
      <w:r>
        <w:rPr>
          <w:rFonts w:ascii="GHEA Grapalat" w:hAnsi="GHEA Grapalat" w:cs="GHEA Grapalat"/>
          <w:spacing w:val="-8"/>
          <w:lang w:val="hy-AM"/>
        </w:rPr>
        <w:t xml:space="preserve"> լճի </w:t>
      </w:r>
      <w:proofErr w:type="spellStart"/>
      <w:r>
        <w:rPr>
          <w:rFonts w:ascii="GHEA Grapalat" w:hAnsi="GHEA Grapalat" w:cs="GHEA Grapalat"/>
          <w:spacing w:val="-8"/>
          <w:lang w:val="hy-AM"/>
        </w:rPr>
        <w:t>էկոհամակարգի</w:t>
      </w:r>
      <w:proofErr w:type="spellEnd"/>
      <w:r>
        <w:rPr>
          <w:rFonts w:ascii="GHEA Grapalat" w:hAnsi="GHEA Grapalat" w:cs="GHEA Grapalat"/>
          <w:spacing w:val="-8"/>
          <w:lang w:val="hy-AM"/>
        </w:rPr>
        <w:t xml:space="preserve"> վերականգնման, պահպանման, վերարտադրման և օգտագործման միջոցառումների տարեկան ծրագիրը» (այսուհետ՝ Տարեկան ծրագիր): Տարեկան ծրագրի ընդունման անհրաժեշտությունը բխում է «</w:t>
      </w:r>
      <w:proofErr w:type="spellStart"/>
      <w:r>
        <w:rPr>
          <w:rFonts w:ascii="GHEA Grapalat" w:hAnsi="GHEA Grapalat" w:cs="GHEA Grapalat"/>
          <w:spacing w:val="-8"/>
          <w:lang w:val="hy-AM"/>
        </w:rPr>
        <w:t>Սևանա</w:t>
      </w:r>
      <w:proofErr w:type="spellEnd"/>
      <w:r>
        <w:rPr>
          <w:rFonts w:ascii="GHEA Grapalat" w:hAnsi="GHEA Grapalat" w:cs="GHEA Grapalat"/>
          <w:spacing w:val="-8"/>
          <w:lang w:val="hy-AM"/>
        </w:rPr>
        <w:t xml:space="preserve"> լճի մասին» Հայաստանի Հանրապետության օրենքի 12-րդ, 13-րդ, 14-րդ հոդվածների պահանջներից և «</w:t>
      </w:r>
      <w:proofErr w:type="spellStart"/>
      <w:r>
        <w:rPr>
          <w:rFonts w:ascii="GHEA Grapalat" w:hAnsi="GHEA Grapalat" w:cs="GHEA Grapalat"/>
          <w:spacing w:val="-8"/>
          <w:lang w:val="hy-AM"/>
        </w:rPr>
        <w:t>Սևանա</w:t>
      </w:r>
      <w:proofErr w:type="spellEnd"/>
      <w:r>
        <w:rPr>
          <w:rFonts w:ascii="GHEA Grapalat" w:hAnsi="GHEA Grapalat" w:cs="GHEA Grapalat"/>
          <w:spacing w:val="-8"/>
          <w:lang w:val="hy-AM"/>
        </w:rPr>
        <w:t xml:space="preserve"> լճի </w:t>
      </w:r>
      <w:proofErr w:type="spellStart"/>
      <w:r>
        <w:rPr>
          <w:rFonts w:ascii="GHEA Grapalat" w:hAnsi="GHEA Grapalat" w:cs="GHEA Grapalat"/>
          <w:spacing w:val="-8"/>
          <w:lang w:val="hy-AM"/>
        </w:rPr>
        <w:t>էկոհամակարգի</w:t>
      </w:r>
      <w:proofErr w:type="spellEnd"/>
      <w:r>
        <w:rPr>
          <w:rFonts w:ascii="GHEA Grapalat" w:hAnsi="GHEA Grapalat" w:cs="GHEA Grapalat"/>
          <w:spacing w:val="-8"/>
          <w:lang w:val="hy-AM"/>
        </w:rPr>
        <w:t xml:space="preserve"> վերականգնման, պահպանման, վերարտադրման և օգտագործման միջոցառումների տարեկան ու համալիր ծրագրերը հաստատելու մասին» Հայաստանի Հանրապետության օրենքով (այսուհետ՝ համալիր ծրագիր) սահմանված նպատակներից ու խնդիրներից: Համալիր ծրագրի միջոցառումները, որոնք շարունակական բնույթ ունեն, ներառվում են տարեկան ծրագրում՝ կազմելով դրա մի մասը՝ հիմք ընդունելով օրենքի 11-րդ հոդվածով հիմնավորումն ու համալիր միջոցառումների սահմանման սկզբունքը, այն է՝</w:t>
      </w:r>
    </w:p>
    <w:p w:rsidR="00A840E0" w:rsidRDefault="00A840E0" w:rsidP="00A840E0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1.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Սևանա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լիճը</w:t>
      </w:r>
      <w:r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և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նրա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ջրհավաք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ավազանը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ըստ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տարածքի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գործառնական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բնույթի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որպես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մեկ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ամբողջական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համակարգ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դիտարկելը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:rsidR="00A840E0" w:rsidRDefault="00A840E0" w:rsidP="00A840E0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2.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Սևանա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լճի ջրային բացասական հաշվեկշռի բացառումը (բացառությամբ օրենքով նախատեսված դեպքերի) և լճի էկոլոգիապես անհրաժեշտ մակարդակի բարձրացման ապահովումը.</w:t>
      </w:r>
    </w:p>
    <w:p w:rsidR="00A840E0" w:rsidRDefault="00A840E0" w:rsidP="00A840E0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3.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կենսաբազմազանության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պահպանության գերակայությունը.</w:t>
      </w:r>
    </w:p>
    <w:p w:rsidR="00A840E0" w:rsidRDefault="00A840E0" w:rsidP="00A840E0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4.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Սևանա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լճի և նրա ջրհավաք ավազանի տարածքներում էկոլոգիապես մաքուր և անվտանգ տեխնոլոգիաների, այդ թվում`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կենսատեխնոլոգիաների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պարտադիր կիրառումը.</w:t>
      </w:r>
    </w:p>
    <w:p w:rsidR="00A840E0" w:rsidRDefault="00A840E0" w:rsidP="00A840E0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5. կարճաժամկետ,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միջնաժամկետ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և երկարաժամկետ ծրագրերի մշակումը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և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դրանց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բնապահպանական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պետական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ինչպես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նաև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օրենքով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սահմանված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այլ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փորձաքննության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պարտադիր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ապահովումը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:rsidR="00A840E0" w:rsidRDefault="00A840E0" w:rsidP="00A840E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6. բնօգտագործման ավանդական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ձևերի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խրախուսումը</w:t>
      </w:r>
      <w:r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և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աջակցումը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:rsidR="00A840E0" w:rsidRDefault="00A840E0" w:rsidP="00A840E0">
      <w:pPr>
        <w:pStyle w:val="NormalWeb"/>
        <w:tabs>
          <w:tab w:val="left" w:pos="1418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i/>
          <w:lang w:val="hy-AM"/>
        </w:rPr>
        <w:t>Տարեկան ծրագրի կատարման սկզբունքներն են՝</w:t>
      </w:r>
    </w:p>
    <w:p w:rsidR="00A840E0" w:rsidRDefault="00A840E0" w:rsidP="00A840E0">
      <w:pPr>
        <w:pStyle w:val="NormalWeb"/>
        <w:numPr>
          <w:ilvl w:val="0"/>
          <w:numId w:val="3"/>
        </w:numPr>
        <w:tabs>
          <w:tab w:val="left" w:pos="1418"/>
        </w:tabs>
        <w:spacing w:before="0" w:beforeAutospacing="0" w:after="0" w:afterAutospacing="0" w:line="360" w:lineRule="auto"/>
        <w:ind w:left="0" w:firstLine="1008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  <w:lang w:val="hy-AM"/>
        </w:rPr>
        <w:lastRenderedPageBreak/>
        <w:t>Սևանա</w:t>
      </w:r>
      <w:proofErr w:type="spellEnd"/>
      <w:r>
        <w:rPr>
          <w:rFonts w:ascii="GHEA Grapalat" w:hAnsi="GHEA Grapalat"/>
          <w:lang w:val="hy-AM"/>
        </w:rPr>
        <w:t xml:space="preserve"> լճի </w:t>
      </w:r>
      <w:proofErr w:type="spellStart"/>
      <w:r>
        <w:rPr>
          <w:rFonts w:ascii="GHEA Grapalat" w:hAnsi="GHEA Grapalat"/>
          <w:lang w:val="hy-AM"/>
        </w:rPr>
        <w:t>էկոհամակարգի</w:t>
      </w:r>
      <w:proofErr w:type="spellEnd"/>
      <w:r>
        <w:rPr>
          <w:rFonts w:ascii="GHEA Grapalat" w:hAnsi="GHEA Grapalat"/>
          <w:lang w:val="hy-AM"/>
        </w:rPr>
        <w:t xml:space="preserve"> վերականգնման, պահպանման, վերարտադրման և օգտագործման ապահովումը,</w:t>
      </w:r>
    </w:p>
    <w:p w:rsidR="00A840E0" w:rsidRDefault="00A840E0" w:rsidP="00A840E0">
      <w:pPr>
        <w:pStyle w:val="NormalWeb"/>
        <w:numPr>
          <w:ilvl w:val="0"/>
          <w:numId w:val="3"/>
        </w:numPr>
        <w:tabs>
          <w:tab w:val="left" w:pos="1418"/>
        </w:tabs>
        <w:spacing w:before="0" w:beforeAutospacing="0" w:after="0" w:afterAutospacing="0" w:line="360" w:lineRule="auto"/>
        <w:ind w:left="0" w:firstLine="10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bCs/>
          <w:lang w:val="hy-AM"/>
        </w:rPr>
        <w:t>«Սևան» ազգային պարկի կառավարման համակարգի կատարելագործումը,</w:t>
      </w:r>
    </w:p>
    <w:p w:rsidR="00A840E0" w:rsidRDefault="00A840E0" w:rsidP="00A840E0">
      <w:pPr>
        <w:pStyle w:val="NormalWeb"/>
        <w:numPr>
          <w:ilvl w:val="0"/>
          <w:numId w:val="3"/>
        </w:numPr>
        <w:tabs>
          <w:tab w:val="left" w:pos="1418"/>
        </w:tabs>
        <w:spacing w:before="0" w:beforeAutospacing="0" w:after="0" w:afterAutospacing="0" w:line="360" w:lineRule="auto"/>
        <w:ind w:left="0" w:firstLine="1008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 w:cs="GHEA Grapalat"/>
          <w:bCs/>
          <w:lang w:val="hy-AM"/>
        </w:rPr>
        <w:t>Սևանա</w:t>
      </w:r>
      <w:proofErr w:type="spellEnd"/>
      <w:r>
        <w:rPr>
          <w:rFonts w:ascii="GHEA Grapalat" w:hAnsi="GHEA Grapalat" w:cs="GHEA Grapalat"/>
          <w:bCs/>
          <w:lang w:val="hy-AM"/>
        </w:rPr>
        <w:t xml:space="preserve"> լճի ջրհավաք ավազանի բնապահպանական և բնօգտագործման գործառույթների կատարելագործման միջոցառումներ</w:t>
      </w:r>
      <w:r>
        <w:rPr>
          <w:rFonts w:ascii="GHEA Grapalat" w:hAnsi="GHEA Grapalat"/>
          <w:lang w:val="hy-AM"/>
        </w:rPr>
        <w:t>ի սահմանումը,</w:t>
      </w:r>
    </w:p>
    <w:p w:rsidR="00A840E0" w:rsidRDefault="00A840E0" w:rsidP="00A840E0">
      <w:pPr>
        <w:pStyle w:val="NormalWeb"/>
        <w:numPr>
          <w:ilvl w:val="0"/>
          <w:numId w:val="3"/>
        </w:numPr>
        <w:tabs>
          <w:tab w:val="left" w:pos="1418"/>
        </w:tabs>
        <w:spacing w:before="0" w:beforeAutospacing="0" w:after="0" w:afterAutospacing="0" w:line="360" w:lineRule="auto"/>
        <w:ind w:left="0" w:firstLine="1008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  <w:lang w:val="hy-AM"/>
        </w:rPr>
        <w:t>կենսաբազմազանության</w:t>
      </w:r>
      <w:proofErr w:type="spellEnd"/>
      <w:r>
        <w:rPr>
          <w:rFonts w:ascii="GHEA Grapalat" w:hAnsi="GHEA Grapalat"/>
          <w:lang w:val="hy-AM"/>
        </w:rPr>
        <w:t xml:space="preserve"> պահպանության գերակայությունը։</w:t>
      </w:r>
    </w:p>
    <w:p w:rsidR="00A840E0" w:rsidRDefault="00A840E0" w:rsidP="00A840E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լիճը Հայաստանի Հանրապետության համար ունի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գեոքաղաքական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մեծ նշանակություն, որպես տարածաշրջանային քաղցրահամ ջրի միակ հսկայական աղբյուր: Այն մի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բնատարածքային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համալիր է, որն իրենից ներկայացնում է բնության տարբեր տարրերի սերտ փոխկապակցվածություն, ինչպես նաև ունի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կլիմայագոյացնող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կարևոր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նշանակություն՝ ինչպես Հայաստանի Հանրապետության, այնպես էլ տարածաշրջանային և գլոբալ առումով: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լիճը Հայաստանի Հանրապետության ջրային հաշվեկշռում բացառիկ տեղ է գրավում: Նրա պահպանությունը բնապահպանական և տնտեսական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կարևոր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հիմնախնդիր է։</w:t>
      </w:r>
    </w:p>
    <w:p w:rsidR="00A840E0" w:rsidRDefault="00A840E0" w:rsidP="00A840E0">
      <w:pPr>
        <w:pStyle w:val="NormalWeb"/>
        <w:tabs>
          <w:tab w:val="left" w:pos="1418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Տարեկան ծրագրով նախատեսված աշխատանքների իրականացման </w:t>
      </w:r>
      <w:proofErr w:type="spellStart"/>
      <w:r>
        <w:rPr>
          <w:rFonts w:ascii="GHEA Grapalat" w:hAnsi="GHEA Grapalat" w:cs="GHEA Grapalat"/>
          <w:lang w:val="hy-AM"/>
        </w:rPr>
        <w:t>առաջնահերթությունները</w:t>
      </w:r>
      <w:proofErr w:type="spellEnd"/>
      <w:r>
        <w:rPr>
          <w:rFonts w:ascii="GHEA Grapalat" w:hAnsi="GHEA Grapalat" w:cs="GHEA Grapalat"/>
          <w:lang w:val="hy-AM"/>
        </w:rPr>
        <w:t xml:space="preserve"> սահմանված են որոշման հավելվածով ներկայացված միջոցառումներով։ </w:t>
      </w:r>
      <w:r>
        <w:rPr>
          <w:rFonts w:ascii="GHEA Grapalat" w:hAnsi="GHEA Grapalat"/>
          <w:lang w:val="hy-AM"/>
        </w:rPr>
        <w:t xml:space="preserve">Հաշվի առնելով վերջին շրջանում </w:t>
      </w:r>
      <w:proofErr w:type="spellStart"/>
      <w:r>
        <w:rPr>
          <w:rFonts w:ascii="GHEA Grapalat" w:hAnsi="GHEA Grapalat"/>
          <w:lang w:val="hy-AM"/>
        </w:rPr>
        <w:t>Սևանա</w:t>
      </w:r>
      <w:proofErr w:type="spellEnd"/>
      <w:r>
        <w:rPr>
          <w:rFonts w:ascii="GHEA Grapalat" w:hAnsi="GHEA Grapalat"/>
          <w:lang w:val="hy-AM"/>
        </w:rPr>
        <w:t xml:space="preserve"> լճի </w:t>
      </w:r>
      <w:proofErr w:type="spellStart"/>
      <w:r>
        <w:rPr>
          <w:rFonts w:ascii="GHEA Grapalat" w:hAnsi="GHEA Grapalat"/>
          <w:lang w:val="hy-AM"/>
        </w:rPr>
        <w:t>էկոհամակարգի</w:t>
      </w:r>
      <w:proofErr w:type="spellEnd"/>
      <w:r>
        <w:rPr>
          <w:rFonts w:ascii="GHEA Grapalat" w:hAnsi="GHEA Grapalat"/>
          <w:lang w:val="hy-AM"/>
        </w:rPr>
        <w:t xml:space="preserve"> վիճակի վերաբերյալ անհանգստացնող հարցերի </w:t>
      </w:r>
      <w:proofErr w:type="spellStart"/>
      <w:r>
        <w:rPr>
          <w:rFonts w:ascii="GHEA Grapalat" w:hAnsi="GHEA Grapalat"/>
          <w:lang w:val="hy-AM"/>
        </w:rPr>
        <w:t>կարևորությունը</w:t>
      </w:r>
      <w:proofErr w:type="spellEnd"/>
      <w:r>
        <w:rPr>
          <w:rFonts w:ascii="GHEA Grapalat" w:hAnsi="GHEA Grapalat"/>
          <w:lang w:val="hy-AM"/>
        </w:rPr>
        <w:t>, դրանց ուսումնասիրման, պատճառների հայտնաբերման և կանխարգելիչ միջոցառումների իրականացման հրատապությունը՝ առանձնացվել են մի շարք միջոցառումներ՝ միտված լճի որակական և քանակական հիմնախնդիրների կարգավորմանը։</w:t>
      </w:r>
    </w:p>
    <w:p w:rsidR="00A840E0" w:rsidRDefault="00A840E0" w:rsidP="00A840E0">
      <w:pPr>
        <w:spacing w:after="0" w:line="360" w:lineRule="auto"/>
        <w:ind w:firstLine="708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Ծրագրում 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ներառնվել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են 19 միջոցառումներ, որոնց իրականացման արդյունքում ակնկալվում է`</w:t>
      </w:r>
    </w:p>
    <w:p w:rsidR="00A840E0" w:rsidRDefault="00A840E0" w:rsidP="00A840E0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լճի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էկոլոգիական հավասարակշռության վիճակի բարելավում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>,</w:t>
      </w:r>
    </w:p>
    <w:p w:rsidR="00A840E0" w:rsidRDefault="00A840E0" w:rsidP="00A840E0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լճի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դրա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ջրհավաք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ավազանի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էկոհամակարգերի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կենսաբազմազանության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պահպանություն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կենսապաշարների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կայուն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օգտագործման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բարելավում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>,</w:t>
      </w:r>
    </w:p>
    <w:p w:rsidR="00A840E0" w:rsidRDefault="00A840E0" w:rsidP="00A840E0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կեղտաջրերի մաքրման կայանների նախագծում և կառուցում,</w:t>
      </w:r>
    </w:p>
    <w:p w:rsidR="00A840E0" w:rsidRDefault="00A840E0" w:rsidP="00A840E0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ռեկրեացիայի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արդյունավետ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զարգացում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>,</w:t>
      </w:r>
    </w:p>
    <w:p w:rsidR="00A840E0" w:rsidRDefault="00A840E0" w:rsidP="00A840E0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pacing w:val="-8"/>
          <w:sz w:val="24"/>
          <w:szCs w:val="24"/>
          <w:lang w:val="af-ZA"/>
        </w:rPr>
        <w:t>«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Սևան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»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ազգային պարկի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կառավարման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համակարգի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կատարելագործում,</w:t>
      </w:r>
    </w:p>
    <w:p w:rsidR="00A840E0" w:rsidRDefault="00A840E0" w:rsidP="00A840E0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գոմաղբի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կուտակաման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նպատակով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գոմաղբամբարների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կառուցում,</w:t>
      </w:r>
    </w:p>
    <w:p w:rsidR="00A840E0" w:rsidRDefault="00A840E0" w:rsidP="00A840E0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pacing w:val="-8"/>
          <w:sz w:val="24"/>
          <w:szCs w:val="24"/>
          <w:lang w:val="hy-AM"/>
        </w:rPr>
        <w:lastRenderedPageBreak/>
        <w:t>տարածքային զարգացման սոցիալ-տնտեսական ծրագրերի մշակում և իրականացում և այլն</w:t>
      </w:r>
      <w:r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A840E0" w:rsidRDefault="00A840E0" w:rsidP="00A840E0">
      <w:pPr>
        <w:spacing w:after="0" w:line="360" w:lineRule="auto"/>
        <w:ind w:left="-2" w:firstLine="722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Տարեկան ծրագրի միջոցառումների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մշական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հիմքում ընկած է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լճի մասին» և «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լճի 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էկոհամակարգի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վերականգնման, պահպանման, վերարտադրման և օգտագործման միջոցառումների տարեկան ու համալիր ծրագրերը հաստատելու մասին» (այսուհետ՝ Համալիր ծրագիր) Հայաստանի Հանրապետության օրենքներով սահմանված նպատակներից ու շարունակական ենթադրող միջոցառումներից։ Սակայն մինչ օրս իրականացված չէ Համալիր ծրագրի կատարողականի 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մոնիթորինգ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և ծրագրի գնահատում, վերլուծված չեն 2002 թվականից մինչ այսօր 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շարունակականություն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ենթադրող 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միջացառումների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կատարման նպատակահարմարության հարցը։ Համալիր ծրագրից պարտադիր բխող տարեկան ծրագրերի միջոցառումների իրականացման հետ կապված ծագում են մի շարք խնդիրներ դրանց 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իրագործելիության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, ֆինանսավորման, կատարողների և այլ հարցերի շուրջ։ Այդ նպատակով խիստ անհրաժեշտություն է առաջացել վերանայելու 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լճի մասին օրենսդրությունը, իրականացնելու գ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ործող օրենսդրության, ներկա իրավիճակի վերլուծություն և գնահատում, գիտական հիմնավորումների և վերլուծությունների թարմացում, կլիմայի փոփոխության նկատմամբ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էկոհամակարգի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խոցելիության վերլուծություն և գնահատում, բացասական սցենարների նկատմամբ կանխարգելիչ միջոցառումների և առաջարկությունների ներկայացում։</w:t>
      </w:r>
    </w:p>
    <w:p w:rsidR="00A840E0" w:rsidRDefault="00A840E0" w:rsidP="00A840E0">
      <w:pPr>
        <w:spacing w:after="0" w:line="360" w:lineRule="auto"/>
        <w:ind w:left="-2" w:firstLine="72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Սևան</w:t>
      </w:r>
      <w:r>
        <w:rPr>
          <w:rFonts w:ascii="GHEA Grapalat" w:hAnsi="GHEA Grapalat"/>
          <w:sz w:val="24"/>
          <w:szCs w:val="24"/>
          <w:lang w:val="hy-AM"/>
        </w:rPr>
        <w:t xml:space="preserve"> ազգային պարկի կառավարման պլանի բացակայությունը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ստեղծում է մի շարք խնդիրներ՝ ինչպես հեռահար պլանավորման աշխատանքների, այնպես էլ ազգային պարկի սահմանների ճշգրտման,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քարտեզագրման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հարակից համայնքների հետ առկա կոնֆլիկտների կարգավորման,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համադրվող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տարածքների բացահայտման, հողօգտագործման և դրանց սեփականության իրավունքի հետ կապված, ազգային պարկի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տարածագործառնական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գոտիների ճշգրտման և այլն։</w:t>
      </w:r>
    </w:p>
    <w:p w:rsidR="00A840E0" w:rsidRDefault="00A840E0" w:rsidP="00A840E0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Նախագծում ներառված «2.9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լճի ջրհավաք ավազանում առաջացած կեղտաջրերի մաքրում»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միջոցառման կատարումն նախատեսում է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գյուղական առափնյա համայնքներում ժամանակակից մաքրման կայանների տեղադրում, ինչը իրականացվում է 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լճի ավազանի Վարդենիկ և Ծովինար բնակավայրերի կեղտաջրերի հեռացման և համատեղ մաքրման համակարգի ստեղծում»</w:t>
      </w:r>
      <w:r>
        <w:rPr>
          <w:rFonts w:ascii="GHEA Grapalat" w:hAnsi="GHEA Grapalat" w:cs="Calibri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ծրագրի շրջանակներում:</w:t>
      </w:r>
    </w:p>
    <w:p w:rsidR="00A840E0" w:rsidRDefault="00A840E0" w:rsidP="00A840E0">
      <w:pPr>
        <w:spacing w:after="0" w:line="360" w:lineRule="auto"/>
        <w:ind w:firstLine="708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Ելնելով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լճի մասին» օրենքի 13-րդ հոդվածի 3-րդ մասի «բ» և «գ» կետերի կատարման պահանջից միջոցառումների ծրագրում ներառվել են «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/>
        </w:rPr>
        <w:t>Սևանա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լճի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էկոլոգիական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կայունությունը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չխախտող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լճի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ջրային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դրական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/>
        </w:rPr>
        <w:t>հաշվեկշիռն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ապահովող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/>
        </w:rPr>
        <w:t>ջրթողումների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անվերադարձ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/>
        </w:rPr>
        <w:t>ջրառումների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պլանները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ընթացիկ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/>
        </w:rPr>
        <w:t>գրաֆիկները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» և «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/>
        </w:rPr>
        <w:t>Սևանա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լճից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/>
        </w:rPr>
        <w:t>ջրթողումների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/>
        </w:rPr>
        <w:t>ջրառումների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տարեկան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առավելագույն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չափաքանակը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`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ամսական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կտրվածքով</w:t>
      </w:r>
      <w:r>
        <w:rPr>
          <w:rFonts w:ascii="GHEA Grapalat" w:hAnsi="GHEA Grapalat"/>
          <w:sz w:val="24"/>
          <w:szCs w:val="24"/>
          <w:lang w:val="hy-AM"/>
        </w:rPr>
        <w:t xml:space="preserve">» միջոցառումները՝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նախապայմանով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որ նշված միջոցառումների կատարումն հնարավոր է իրականացնել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ապահովել </w:t>
      </w:r>
      <w:r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լճի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էկոհամակարգի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վերականգնման, պահպանման, վերարտադրման և օգտագործման միջոցառումների 2025 թվականի տարեկան ծրագիրը հաստատելու մասին» Կառավարության որոշման (այսուհետ` որոշում)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հաստատումից հետո` հիմք ընդունելով ՏԿԵՆ ջրային կոմիտեի կողմից ներկայացված հիմնավորումը առ այն, որ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ոռոգման նպատակով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ջրառի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պլաններն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 ընթացիկ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գրաֆիկները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ջրառի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ջրբացթողումների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ամսական առավելագույն չափաքանակները, ինչպես նաև ջրօգտագործման հայտերը յուրաքանչյուր տարի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ձևավորվում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 համապատասխան ջրօգտագործողների կողմից ներկայացված հայտերի հիման վրա, որոնք փոփոխական են, եղանակային պայմաններից կախված ու ոռոգման համակարգերի շահագործման խնդիրներով պայմանավորված։</w:t>
      </w:r>
    </w:p>
    <w:p w:rsidR="00A840E0" w:rsidRDefault="00A840E0" w:rsidP="00A840E0">
      <w:pPr>
        <w:spacing w:after="0" w:line="360" w:lineRule="auto"/>
        <w:ind w:left="-2" w:firstLine="722"/>
        <w:jc w:val="both"/>
        <w:rPr>
          <w:rFonts w:ascii="GHEA Grapalat" w:hAnsi="GHEA Grapalat" w:cs="GHEA Grapalat"/>
          <w:bCs/>
          <w:i/>
          <w:spacing w:val="-8"/>
          <w:sz w:val="24"/>
          <w:szCs w:val="24"/>
          <w:lang w:val="hy-AM"/>
        </w:rPr>
      </w:pPr>
      <w:r>
        <w:rPr>
          <w:rFonts w:ascii="GHEA Grapalat" w:hAnsi="GHEA Grapalat" w:cs="GHEA Grapalat"/>
          <w:i/>
          <w:spacing w:val="-8"/>
          <w:sz w:val="24"/>
          <w:szCs w:val="24"/>
          <w:lang w:val="hy-AM"/>
        </w:rPr>
        <w:t xml:space="preserve">2. </w:t>
      </w:r>
      <w:r>
        <w:rPr>
          <w:rFonts w:ascii="GHEA Grapalat" w:hAnsi="GHEA Grapalat" w:cs="GHEA Grapalat"/>
          <w:bCs/>
          <w:i/>
          <w:spacing w:val="-8"/>
          <w:sz w:val="24"/>
          <w:szCs w:val="24"/>
          <w:lang w:val="hy-AM"/>
        </w:rPr>
        <w:t>Առաջարկվող նախագծի կարգավորման բնույթը</w:t>
      </w:r>
    </w:p>
    <w:p w:rsidR="00A840E0" w:rsidRDefault="00A840E0" w:rsidP="00A840E0">
      <w:pPr>
        <w:spacing w:after="0" w:line="360" w:lineRule="auto"/>
        <w:ind w:left="-2" w:firstLine="722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լճի 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էկոհամակարգի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վերականգնման, պահպանման, վերարտադրման և օգտագործման միջոցառումների 2025 թվականի տարեկան ծրագրին հավանություն տալու մասին» Կառավարության որոշման նախագծի կարգավորման նպատակն է` 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լճի, որպես ազգային և տարածաշրջանային նշանակության քաղցրահամ ջրավազանի պահպանումը, էկոլոգիական հավասարակշռության վերականգնումը և 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լճի ջրհավաք ավազանի 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էկոհամակարգերի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կայուն օգտագործմանն ուղղված 2025թ. նախատեսված ծրագրերի ու միջոցառումների պարտադիր կատարման ապահովումը:</w:t>
      </w:r>
    </w:p>
    <w:p w:rsidR="00A840E0" w:rsidRDefault="00A840E0" w:rsidP="00A840E0">
      <w:pPr>
        <w:spacing w:after="0" w:line="360" w:lineRule="auto"/>
        <w:ind w:left="-2" w:firstLine="722"/>
        <w:jc w:val="both"/>
        <w:rPr>
          <w:rFonts w:ascii="GHEA Grapalat" w:hAnsi="GHEA Grapalat" w:cs="GHEA Grapalat"/>
          <w:i/>
          <w:spacing w:val="-8"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i/>
          <w:spacing w:val="-8"/>
          <w:sz w:val="24"/>
          <w:szCs w:val="24"/>
          <w:lang w:val="hy-AM"/>
        </w:rPr>
        <w:t>3. Նախագծի մշակման գործընթացում ներգրավված ինստիտուտները, անձինք և նրանց դիրքորոշումը</w:t>
      </w:r>
    </w:p>
    <w:p w:rsidR="00A840E0" w:rsidRDefault="00A840E0" w:rsidP="00A840E0">
      <w:pPr>
        <w:spacing w:after="0" w:line="360" w:lineRule="auto"/>
        <w:ind w:left="12" w:firstLine="708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Նախագիծը մշակվել է շրջակա միջավայրի նախարարության կողմից:</w:t>
      </w:r>
    </w:p>
    <w:p w:rsidR="00A840E0" w:rsidRDefault="00A840E0" w:rsidP="00A840E0">
      <w:pPr>
        <w:spacing w:after="0" w:line="360" w:lineRule="auto"/>
        <w:ind w:left="-2" w:firstLine="722"/>
        <w:jc w:val="both"/>
        <w:rPr>
          <w:rFonts w:ascii="GHEA Grapalat" w:hAnsi="GHEA Grapalat" w:cs="GHEA Grapalat"/>
          <w:bCs/>
          <w:i/>
          <w:spacing w:val="-8"/>
          <w:sz w:val="24"/>
          <w:szCs w:val="24"/>
          <w:lang w:val="hy-AM"/>
        </w:rPr>
      </w:pPr>
      <w:r>
        <w:rPr>
          <w:rFonts w:ascii="GHEA Grapalat" w:hAnsi="GHEA Grapalat" w:cs="GHEA Grapalat"/>
          <w:i/>
          <w:spacing w:val="-8"/>
          <w:sz w:val="24"/>
          <w:szCs w:val="24"/>
          <w:lang w:val="hy-AM"/>
        </w:rPr>
        <w:t>4.</w:t>
      </w:r>
      <w:r>
        <w:rPr>
          <w:rFonts w:ascii="GHEA Grapalat" w:hAnsi="GHEA Grapalat" w:cs="GHEA Grapalat"/>
          <w:bCs/>
          <w:i/>
          <w:spacing w:val="-8"/>
          <w:sz w:val="24"/>
          <w:szCs w:val="24"/>
          <w:lang w:val="hy-AM"/>
        </w:rPr>
        <w:t xml:space="preserve"> Ակնկալվող արդյունքը</w:t>
      </w:r>
    </w:p>
    <w:p w:rsidR="00A840E0" w:rsidRDefault="00A840E0" w:rsidP="00A840E0">
      <w:pPr>
        <w:spacing w:after="0" w:line="360" w:lineRule="auto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Նախագծի ընդունման արդյունքում ակնկալվում է`</w:t>
      </w:r>
    </w:p>
    <w:p w:rsidR="00A840E0" w:rsidRDefault="00A840E0" w:rsidP="00A840E0">
      <w:pPr>
        <w:spacing w:after="0" w:line="360" w:lineRule="auto"/>
        <w:ind w:left="-2" w:firstLine="722"/>
        <w:jc w:val="both"/>
        <w:rPr>
          <w:rFonts w:ascii="GHEA Grapalat" w:hAnsi="GHEA Grapalat" w:cs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lastRenderedPageBreak/>
        <w:t>Սևանա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լճի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էկոլոգիական հավասարակշռության վիճակի բարելավում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,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լճի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դրա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ջրհավաք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ավազանի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էկոհամակարգի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կենսաբազմազանության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պահպանություն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կենսապաշարների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կայուն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օգտագործման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բարելավում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,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ափամերձ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ջրածածկ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տարածքներից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անտառաշերտերի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մաքրում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ռեկրեացիայի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արդյունավետ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զարգացում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,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կենցաղային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թափոնների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կառավարման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բարելավում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>, «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Սևան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»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ազգային պարկի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կառավարման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համակարգի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կատարելագործում</w:t>
      </w:r>
      <w:r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A840E0" w:rsidRDefault="00A840E0" w:rsidP="00A840E0">
      <w:pPr>
        <w:spacing w:after="0" w:line="360" w:lineRule="auto"/>
        <w:ind w:left="-2" w:firstLine="722"/>
        <w:jc w:val="both"/>
        <w:rPr>
          <w:rFonts w:ascii="GHEA Grapalat" w:hAnsi="GHEA Grapalat" w:cs="GHEA Grapalat"/>
          <w:i/>
          <w:spacing w:val="-8"/>
          <w:sz w:val="24"/>
          <w:szCs w:val="24"/>
          <w:lang w:val="hy-AM"/>
        </w:rPr>
      </w:pPr>
      <w:r>
        <w:rPr>
          <w:rFonts w:ascii="GHEA Grapalat" w:hAnsi="GHEA Grapalat" w:cs="GHEA Grapalat"/>
          <w:i/>
          <w:spacing w:val="-8"/>
          <w:sz w:val="24"/>
          <w:szCs w:val="24"/>
          <w:lang w:val="hy-AM"/>
        </w:rPr>
        <w:t xml:space="preserve">5. Լրացուցիչ ֆինանսական միջոցների անհրաժեշտությունը և պետական բյուջեի </w:t>
      </w:r>
      <w:proofErr w:type="spellStart"/>
      <w:r>
        <w:rPr>
          <w:rFonts w:ascii="GHEA Grapalat" w:hAnsi="GHEA Grapalat" w:cs="GHEA Grapalat"/>
          <w:i/>
          <w:spacing w:val="-8"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hAnsi="GHEA Grapalat" w:cs="GHEA Grapalat"/>
          <w:i/>
          <w:spacing w:val="-8"/>
          <w:sz w:val="24"/>
          <w:szCs w:val="24"/>
          <w:lang w:val="hy-AM"/>
        </w:rPr>
        <w:t xml:space="preserve"> և ծախսերում սպասվելիք փոփոխությունները</w:t>
      </w:r>
    </w:p>
    <w:p w:rsidR="00A840E0" w:rsidRDefault="00A840E0" w:rsidP="00A840E0">
      <w:pPr>
        <w:tabs>
          <w:tab w:val="left" w:pos="9090"/>
        </w:tabs>
        <w:spacing w:after="0" w:line="360" w:lineRule="auto"/>
        <w:ind w:right="18" w:firstLine="708"/>
        <w:jc w:val="both"/>
        <w:rPr>
          <w:rFonts w:ascii="GHEA Grapalat" w:hAnsi="GHEA Grapalat" w:cs="GHEA Grapalat"/>
          <w:bCs/>
          <w:spacing w:val="-8"/>
          <w:sz w:val="24"/>
          <w:szCs w:val="24"/>
          <w:lang w:val="hy-AM"/>
        </w:rPr>
      </w:pP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լճի</w:t>
      </w:r>
      <w:r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էկոհամակարգի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վերականգնման</w:t>
      </w:r>
      <w:r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,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պահպանման</w:t>
      </w:r>
      <w:r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,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վերարտադրման և</w:t>
      </w:r>
      <w:r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օգտագործման</w:t>
      </w:r>
      <w:r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միջոցառումների</w:t>
      </w:r>
      <w:r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20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25</w:t>
      </w:r>
      <w:r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թվականի</w:t>
      </w:r>
      <w:r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տարեկան</w:t>
      </w:r>
      <w:r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ծրագիրը</w:t>
      </w:r>
      <w:r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հաստատելու</w:t>
      </w:r>
      <w:r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մասին» Կառավարության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որոշման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նախագծի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ընդունումը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բյուջեի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վրա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էական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ազդեցություն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չի ունենա</w:t>
      </w:r>
      <w:r>
        <w:rPr>
          <w:rFonts w:ascii="GHEA Grapalat" w:hAnsi="GHEA Grapalat" w:cs="GHEA Grapalat"/>
          <w:spacing w:val="-8"/>
          <w:sz w:val="24"/>
          <w:szCs w:val="24"/>
          <w:lang w:val="af-ZA"/>
        </w:rPr>
        <w:t>: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Իրավական</w:t>
      </w:r>
      <w:r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ակտն</w:t>
      </w:r>
      <w:r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ընդունելու</w:t>
      </w:r>
      <w:r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>դեպքում</w:t>
      </w:r>
      <w:proofErr w:type="spellEnd"/>
      <w:r>
        <w:rPr>
          <w:rFonts w:ascii="GHEA Grapalat" w:hAnsi="GHEA Grapalat" w:cs="GHEA Grapalat"/>
          <w:b/>
          <w:bCs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պետական</w:t>
      </w:r>
      <w:r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բյուջեի</w:t>
      </w:r>
      <w:r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կամ</w:t>
      </w:r>
      <w:r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տեղական</w:t>
      </w:r>
      <w:r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ինքնակառավարման</w:t>
      </w:r>
      <w:r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մարմինների</w:t>
      </w:r>
      <w:r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բյուջեների</w:t>
      </w:r>
      <w:r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վրա էական</w:t>
      </w:r>
      <w:r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ազդեցություն</w:t>
      </w:r>
      <w:r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չի</w:t>
      </w:r>
      <w:r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ունենա։</w:t>
      </w:r>
    </w:p>
    <w:tbl>
      <w:tblPr>
        <w:tblpPr w:leftFromText="180" w:rightFromText="180" w:bottomFromText="200" w:vertAnchor="text" w:horzAnchor="margin" w:tblpXSpec="center" w:tblpY="231"/>
        <w:tblW w:w="5443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0A0" w:firstRow="1" w:lastRow="0" w:firstColumn="1" w:lastColumn="0" w:noHBand="0" w:noVBand="0"/>
      </w:tblPr>
      <w:tblGrid>
        <w:gridCol w:w="2137"/>
        <w:gridCol w:w="2845"/>
        <w:gridCol w:w="408"/>
        <w:gridCol w:w="1131"/>
        <w:gridCol w:w="301"/>
        <w:gridCol w:w="1414"/>
        <w:gridCol w:w="1805"/>
        <w:gridCol w:w="1188"/>
      </w:tblGrid>
      <w:tr w:rsidR="00A840E0" w:rsidRPr="00A840E0" w:rsidTr="00A840E0">
        <w:tc>
          <w:tcPr>
            <w:tcW w:w="5000" w:type="pct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բյուջեում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տեղական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ինքնակառավարման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մարմինների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բյուջեների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վրա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ազդեցությունը</w:t>
            </w:r>
          </w:p>
        </w:tc>
      </w:tr>
      <w:tr w:rsidR="00A840E0" w:rsidTr="00A840E0">
        <w:tc>
          <w:tcPr>
            <w:tcW w:w="95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Ցուցանիշներ</w:t>
            </w:r>
            <w:proofErr w:type="spellEnd"/>
          </w:p>
        </w:tc>
        <w:tc>
          <w:tcPr>
            <w:tcW w:w="1956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Ը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նթացիկ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տարի</w:t>
            </w:r>
            <w:proofErr w:type="spellEnd"/>
          </w:p>
        </w:tc>
        <w:tc>
          <w:tcPr>
            <w:tcW w:w="2092" w:type="pct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Հաջորդող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3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տարիները</w:t>
            </w:r>
            <w:proofErr w:type="spellEnd"/>
          </w:p>
        </w:tc>
      </w:tr>
      <w:tr w:rsidR="00A840E0" w:rsidTr="00A840E0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0E0" w:rsidRDefault="00A840E0">
            <w:pPr>
              <w:spacing w:after="0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1956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2024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թ.</w:t>
            </w:r>
          </w:p>
        </w:tc>
        <w:tc>
          <w:tcPr>
            <w:tcW w:w="76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20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5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թ.</w:t>
            </w: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2026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թ.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20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7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թ.</w:t>
            </w:r>
          </w:p>
        </w:tc>
      </w:tr>
      <w:tr w:rsidR="00A840E0" w:rsidTr="00A840E0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0E0" w:rsidRDefault="00A840E0">
            <w:pPr>
              <w:spacing w:after="0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12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Ըստ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 xml:space="preserve"> 20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24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 xml:space="preserve">թ. հաստատված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բյուջեի</w:t>
            </w:r>
            <w:proofErr w:type="spellEnd"/>
          </w:p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հազ.դրամ</w:t>
            </w:r>
            <w:proofErr w:type="spellEnd"/>
          </w:p>
        </w:tc>
        <w:tc>
          <w:tcPr>
            <w:tcW w:w="68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Փոփոխու</w:t>
            </w:r>
            <w:proofErr w:type="spellEnd"/>
          </w:p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թյունը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24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 xml:space="preserve">թ. հաստատված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բյուջեում</w:t>
            </w:r>
            <w:proofErr w:type="spellEnd"/>
          </w:p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հազ.դրամ</w:t>
            </w:r>
            <w:proofErr w:type="spellEnd"/>
          </w:p>
        </w:tc>
        <w:tc>
          <w:tcPr>
            <w:tcW w:w="76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Փոփոխությունն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ընթացիկ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տար-վա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համեմատ</w:t>
            </w:r>
            <w:proofErr w:type="spellEnd"/>
          </w:p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հազ.դրամ</w:t>
            </w:r>
            <w:proofErr w:type="spellEnd"/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Փոփոխությունն</w:t>
            </w:r>
            <w:proofErr w:type="spellEnd"/>
          </w:p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ընթացիկ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տար-վա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համեմատ</w:t>
            </w:r>
            <w:proofErr w:type="spellEnd"/>
          </w:p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հազ.դրամ</w:t>
            </w:r>
            <w:proofErr w:type="spellEnd"/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Փոփոխու</w:t>
            </w:r>
            <w:proofErr w:type="spellEnd"/>
          </w:p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թյունն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ընթացիկ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տարվա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համեմա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տ</w:t>
            </w:r>
          </w:p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հազ.դրամ</w:t>
            </w:r>
            <w:proofErr w:type="spellEnd"/>
          </w:p>
        </w:tc>
      </w:tr>
      <w:tr w:rsidR="00A840E0" w:rsidTr="00A840E0">
        <w:tc>
          <w:tcPr>
            <w:tcW w:w="95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1</w:t>
            </w:r>
          </w:p>
        </w:tc>
        <w:tc>
          <w:tcPr>
            <w:tcW w:w="12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2</w:t>
            </w:r>
          </w:p>
        </w:tc>
        <w:tc>
          <w:tcPr>
            <w:tcW w:w="68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3</w:t>
            </w:r>
          </w:p>
        </w:tc>
        <w:tc>
          <w:tcPr>
            <w:tcW w:w="76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4</w:t>
            </w: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5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6</w:t>
            </w:r>
          </w:p>
        </w:tc>
      </w:tr>
      <w:tr w:rsidR="00A840E0" w:rsidTr="00A840E0">
        <w:trPr>
          <w:trHeight w:val="409"/>
        </w:trPr>
        <w:tc>
          <w:tcPr>
            <w:tcW w:w="95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1.Եկամուտներ</w:t>
            </w:r>
          </w:p>
        </w:tc>
        <w:tc>
          <w:tcPr>
            <w:tcW w:w="12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68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76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</w:tr>
      <w:tr w:rsidR="00A840E0" w:rsidTr="00A840E0">
        <w:tc>
          <w:tcPr>
            <w:tcW w:w="95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1.1.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բյուջեի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եկամուտներ</w:t>
            </w:r>
            <w:proofErr w:type="spellEnd"/>
          </w:p>
        </w:tc>
        <w:tc>
          <w:tcPr>
            <w:tcW w:w="12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b/>
                <w:bCs/>
                <w:i/>
                <w:iCs/>
                <w:spacing w:val="-8"/>
                <w:sz w:val="24"/>
                <w:szCs w:val="24"/>
              </w:rPr>
            </w:pPr>
          </w:p>
        </w:tc>
        <w:tc>
          <w:tcPr>
            <w:tcW w:w="68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b/>
                <w:bCs/>
                <w:i/>
                <w:iCs/>
                <w:spacing w:val="-8"/>
                <w:sz w:val="24"/>
                <w:szCs w:val="24"/>
              </w:rPr>
            </w:pPr>
          </w:p>
        </w:tc>
        <w:tc>
          <w:tcPr>
            <w:tcW w:w="76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b/>
                <w:bCs/>
                <w:i/>
                <w:iCs/>
                <w:spacing w:val="-8"/>
                <w:sz w:val="24"/>
                <w:szCs w:val="24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b/>
                <w:bCs/>
                <w:i/>
                <w:iCs/>
                <w:spacing w:val="-8"/>
                <w:sz w:val="24"/>
                <w:szCs w:val="24"/>
              </w:rPr>
            </w:pP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b/>
                <w:bCs/>
                <w:i/>
                <w:iCs/>
                <w:spacing w:val="-8"/>
                <w:sz w:val="24"/>
                <w:szCs w:val="24"/>
              </w:rPr>
            </w:pPr>
          </w:p>
        </w:tc>
      </w:tr>
      <w:tr w:rsidR="00A840E0" w:rsidTr="00A840E0">
        <w:tc>
          <w:tcPr>
            <w:tcW w:w="95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1.2. ՏԻՄ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եկամուտներ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</w:p>
        </w:tc>
        <w:tc>
          <w:tcPr>
            <w:tcW w:w="12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68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76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</w:tr>
      <w:tr w:rsidR="00A840E0" w:rsidTr="00A840E0">
        <w:tc>
          <w:tcPr>
            <w:tcW w:w="95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lastRenderedPageBreak/>
              <w:t xml:space="preserve">2.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Ծախսեր</w:t>
            </w:r>
            <w:proofErr w:type="spellEnd"/>
          </w:p>
        </w:tc>
        <w:tc>
          <w:tcPr>
            <w:tcW w:w="12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Calibri"/>
                <w:b/>
                <w:bCs/>
                <w:sz w:val="24"/>
                <w:szCs w:val="24"/>
              </w:rPr>
              <w:t>,</w:t>
            </w: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341</w:t>
            </w:r>
            <w:r>
              <w:rPr>
                <w:rFonts w:ascii="GHEA Grapalat" w:hAnsi="GHEA Grapalat" w:cs="Calibri"/>
                <w:b/>
                <w:bCs/>
                <w:sz w:val="24"/>
                <w:szCs w:val="24"/>
              </w:rPr>
              <w:t>,</w:t>
            </w: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256</w:t>
            </w:r>
            <w:r>
              <w:rPr>
                <w:rFonts w:ascii="GHEA Grapalat" w:hAnsi="GHEA Grapalat" w:cs="Calibri"/>
                <w:b/>
                <w:bCs/>
                <w:sz w:val="24"/>
                <w:szCs w:val="24"/>
              </w:rPr>
              <w:t>.</w:t>
            </w: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4 </w:t>
            </w: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այդ թվում՝</w:t>
            </w:r>
          </w:p>
          <w:p w:rsidR="00A840E0" w:rsidRDefault="00A840E0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sz w:val="24"/>
                <w:szCs w:val="24"/>
              </w:rPr>
              <w:t xml:space="preserve">1017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«11001.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Արփա-Սևան թունելի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ընփացիկ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շահագործում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պահպանում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միջոցառում՝ 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300</w:t>
            </w:r>
            <w:r>
              <w:rPr>
                <w:rFonts w:ascii="GHEA Grapalat" w:hAnsi="GHEA Grapalat"/>
                <w:b/>
                <w:sz w:val="24"/>
                <w:szCs w:val="24"/>
              </w:rPr>
              <w:t>,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հազ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դրամ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>)</w:t>
            </w:r>
          </w:p>
          <w:p w:rsidR="00A840E0" w:rsidRDefault="00A840E0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2) </w:t>
            </w:r>
            <w:r>
              <w:rPr>
                <w:rFonts w:ascii="GHEA Grapalat" w:hAnsi="GHEA Grapalat"/>
                <w:sz w:val="24"/>
                <w:szCs w:val="24"/>
              </w:rPr>
              <w:t xml:space="preserve">1155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»11003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Սևանա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լճում և դրա ջրահավաք ավազանում ձկան և խեցգետնի պաշարների հաշվառում» </w:t>
            </w:r>
            <w:r>
              <w:rPr>
                <w:rFonts w:ascii="GHEA Grapalat" w:hAnsi="GHEA Grapalat"/>
                <w:sz w:val="24"/>
                <w:szCs w:val="24"/>
              </w:rPr>
              <w:t>մ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իջոցառում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՝ 15</w:t>
            </w:r>
            <w:r>
              <w:rPr>
                <w:rFonts w:ascii="GHEA Grapalat" w:hAnsi="GHEA Grapalat"/>
                <w:b/>
                <w:sz w:val="24"/>
                <w:szCs w:val="24"/>
              </w:rPr>
              <w:t>,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452.2 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հազ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դրամ</w:t>
            </w:r>
            <w:proofErr w:type="spellEnd"/>
          </w:p>
          <w:p w:rsidR="00A840E0" w:rsidRDefault="00A840E0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3)</w:t>
            </w:r>
            <w:r>
              <w:rPr>
                <w:rFonts w:ascii="GHEA Grapalat" w:hAnsi="GHEA Grapalat" w:cs="GHEA Grapalat"/>
                <w:sz w:val="24"/>
                <w:szCs w:val="24"/>
              </w:rPr>
              <w:t xml:space="preserve"> 1155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12004. «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Սևանի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իշխանի պաշարների վերականգնման և ձկնաբուծության զարգացման հիմնադրամ»-ի առողջացման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ուղղված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աջակցություն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»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միջոցառում՝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495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700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հազ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դրամ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  <w:p w:rsidR="00A840E0" w:rsidRDefault="00A840E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4) 1155 ծրագրի «11004 «Սևան ազգային պարկի»  կառավարում»  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միջոցառում՝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431,979.4 հազ. դրամ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:rsidR="00A840E0" w:rsidRDefault="00A840E0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5)  1155 ծրագրի «11002. 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Սևանա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լճի ջրածածկ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անտառտնկարկների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մաքրում»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միրոցառում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՝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98,124.8 հազ. դրամ 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2024թ. մաքրման ենթակա ջրածածկ տարածքներ՝ 382,42 հա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8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lastRenderedPageBreak/>
              <w:t>(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>172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,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>512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.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)</w:t>
            </w:r>
          </w:p>
        </w:tc>
        <w:tc>
          <w:tcPr>
            <w:tcW w:w="76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(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>142,503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.5)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 xml:space="preserve">   </w:t>
            </w:r>
          </w:p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(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>142,503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.5)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 xml:space="preserve">   </w:t>
            </w:r>
          </w:p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(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>142,503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.5)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 xml:space="preserve">   </w:t>
            </w:r>
          </w:p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</w:pPr>
          </w:p>
        </w:tc>
      </w:tr>
      <w:tr w:rsidR="00A840E0" w:rsidTr="00A840E0">
        <w:tc>
          <w:tcPr>
            <w:tcW w:w="95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lastRenderedPageBreak/>
              <w:t>2.1. պետական բյուջեի ծախսեր</w:t>
            </w:r>
          </w:p>
        </w:tc>
        <w:tc>
          <w:tcPr>
            <w:tcW w:w="12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Calibri"/>
                <w:bCs/>
                <w:sz w:val="24"/>
                <w:szCs w:val="24"/>
              </w:rPr>
              <w:t>,</w:t>
            </w: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341</w:t>
            </w:r>
            <w:r>
              <w:rPr>
                <w:rFonts w:ascii="GHEA Grapalat" w:hAnsi="GHEA Grapalat" w:cs="Calibri"/>
                <w:bCs/>
                <w:sz w:val="24"/>
                <w:szCs w:val="24"/>
              </w:rPr>
              <w:t>,</w:t>
            </w: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256.4</w:t>
            </w:r>
          </w:p>
        </w:tc>
        <w:tc>
          <w:tcPr>
            <w:tcW w:w="68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(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>172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,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>512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.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)</w:t>
            </w:r>
          </w:p>
        </w:tc>
        <w:tc>
          <w:tcPr>
            <w:tcW w:w="76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(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>142,503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.5)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 xml:space="preserve">   </w:t>
            </w:r>
          </w:p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(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>142,503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.5)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 xml:space="preserve">   </w:t>
            </w:r>
          </w:p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</w:pP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(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>142,503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.5)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 xml:space="preserve">   </w:t>
            </w:r>
          </w:p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</w:pPr>
          </w:p>
        </w:tc>
      </w:tr>
      <w:tr w:rsidR="00A840E0" w:rsidTr="00A840E0">
        <w:tc>
          <w:tcPr>
            <w:tcW w:w="95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2.2. ՏԻՄ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բյուջեի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ծախսեր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</w:p>
        </w:tc>
        <w:tc>
          <w:tcPr>
            <w:tcW w:w="12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-</w:t>
            </w:r>
          </w:p>
        </w:tc>
        <w:tc>
          <w:tcPr>
            <w:tcW w:w="68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-</w:t>
            </w:r>
          </w:p>
        </w:tc>
        <w:tc>
          <w:tcPr>
            <w:tcW w:w="76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-</w:t>
            </w: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-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-</w:t>
            </w:r>
          </w:p>
        </w:tc>
      </w:tr>
      <w:tr w:rsidR="00A840E0" w:rsidTr="00A840E0">
        <w:trPr>
          <w:trHeight w:val="1422"/>
        </w:trPr>
        <w:tc>
          <w:tcPr>
            <w:tcW w:w="95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Ֆիսկալ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ազդեցության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գնահատական</w:t>
            </w:r>
            <w:proofErr w:type="spellEnd"/>
          </w:p>
        </w:tc>
        <w:tc>
          <w:tcPr>
            <w:tcW w:w="12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68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76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</w:tr>
      <w:tr w:rsidR="00A840E0" w:rsidTr="00A840E0">
        <w:tc>
          <w:tcPr>
            <w:tcW w:w="95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3.1.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բյուջե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</w:p>
        </w:tc>
        <w:tc>
          <w:tcPr>
            <w:tcW w:w="12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68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76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</w:tr>
      <w:tr w:rsidR="00A840E0" w:rsidTr="00A840E0">
        <w:tc>
          <w:tcPr>
            <w:tcW w:w="952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3.3. ՏԻՄ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բյուջե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</w:p>
        </w:tc>
        <w:tc>
          <w:tcPr>
            <w:tcW w:w="1269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688" w:type="pct"/>
            <w:gridSpan w:val="2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764" w:type="pct"/>
            <w:gridSpan w:val="2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</w:tr>
      <w:tr w:rsidR="00A840E0" w:rsidTr="00A840E0">
        <w:tc>
          <w:tcPr>
            <w:tcW w:w="952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4.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Եկամուտների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ծախսերի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հաշվարկների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մանրամասն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ներկայացում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անհրաժեշտության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դեպքում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կարող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ներկայացվել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lastRenderedPageBreak/>
              <w:t>հավելվածի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տեսքով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):</w:t>
            </w:r>
          </w:p>
        </w:tc>
        <w:tc>
          <w:tcPr>
            <w:tcW w:w="4048" w:type="pct"/>
            <w:gridSpan w:val="7"/>
            <w:vMerge w:val="restar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</w:tr>
      <w:tr w:rsidR="00A840E0" w:rsidTr="00A840E0">
        <w:tc>
          <w:tcPr>
            <w:tcW w:w="952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lastRenderedPageBreak/>
              <w:t xml:space="preserve">4.1.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Եկամուտների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գնահատում</w:t>
            </w:r>
            <w:proofErr w:type="spellEnd"/>
          </w:p>
        </w:tc>
        <w:tc>
          <w:tcPr>
            <w:tcW w:w="0" w:type="auto"/>
            <w:gridSpan w:val="7"/>
            <w:vMerge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  <w:hideMark/>
          </w:tcPr>
          <w:p w:rsidR="00A840E0" w:rsidRDefault="00A840E0">
            <w:pPr>
              <w:spacing w:after="0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</w:tr>
      <w:tr w:rsidR="00A840E0" w:rsidTr="00A840E0">
        <w:tc>
          <w:tcPr>
            <w:tcW w:w="952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4.2.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Ծախսերի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գնահատում</w:t>
            </w:r>
            <w:proofErr w:type="spellEnd"/>
          </w:p>
        </w:tc>
        <w:tc>
          <w:tcPr>
            <w:tcW w:w="1452" w:type="pct"/>
            <w:gridSpan w:val="2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Calibri"/>
                <w:bCs/>
                <w:sz w:val="24"/>
                <w:szCs w:val="24"/>
              </w:rPr>
              <w:t>,</w:t>
            </w: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341</w:t>
            </w:r>
            <w:r>
              <w:rPr>
                <w:rFonts w:ascii="GHEA Grapalat" w:hAnsi="GHEA Grapalat" w:cs="Calibri"/>
                <w:bCs/>
                <w:sz w:val="24"/>
                <w:szCs w:val="24"/>
              </w:rPr>
              <w:t>,</w:t>
            </w: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256.4</w:t>
            </w:r>
          </w:p>
        </w:tc>
        <w:tc>
          <w:tcPr>
            <w:tcW w:w="639" w:type="pct"/>
            <w:gridSpan w:val="2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(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>172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,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>512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.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)</w:t>
            </w:r>
          </w:p>
        </w:tc>
        <w:tc>
          <w:tcPr>
            <w:tcW w:w="628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(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>142,503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.5)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 xml:space="preserve">   </w:t>
            </w:r>
          </w:p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806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(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>142,503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.5)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 xml:space="preserve">   </w:t>
            </w:r>
          </w:p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(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>142,503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.5)</w:t>
            </w: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 xml:space="preserve">   </w:t>
            </w:r>
          </w:p>
          <w:p w:rsidR="00A840E0" w:rsidRDefault="00A840E0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</w:pPr>
          </w:p>
        </w:tc>
      </w:tr>
      <w:tr w:rsidR="00A840E0" w:rsidTr="00A840E0">
        <w:trPr>
          <w:trHeight w:val="1295"/>
        </w:trPr>
        <w:tc>
          <w:tcPr>
            <w:tcW w:w="95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40E0" w:rsidRDefault="00A840E0">
            <w:pPr>
              <w:spacing w:after="0"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5.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Այլ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տեղեկություններ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եթե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այդպիսիք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)</w:t>
            </w:r>
          </w:p>
        </w:tc>
        <w:tc>
          <w:tcPr>
            <w:tcW w:w="4048" w:type="pct"/>
            <w:gridSpan w:val="7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840E0" w:rsidRDefault="00A840E0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</w:p>
        </w:tc>
      </w:tr>
    </w:tbl>
    <w:p w:rsidR="00A840E0" w:rsidRDefault="00A840E0" w:rsidP="00A840E0">
      <w:pPr>
        <w:spacing w:after="0" w:line="360" w:lineRule="auto"/>
        <w:ind w:left="-2" w:firstLine="722"/>
        <w:jc w:val="both"/>
        <w:rPr>
          <w:rFonts w:ascii="GHEA Grapalat" w:eastAsia="Times New Roman" w:hAnsi="GHEA Grapalat" w:cs="GHEA Grapalat"/>
          <w:i/>
          <w:spacing w:val="-8"/>
          <w:sz w:val="24"/>
          <w:szCs w:val="24"/>
          <w:lang w:val="hy-AM"/>
        </w:rPr>
      </w:pPr>
    </w:p>
    <w:p w:rsidR="00A840E0" w:rsidRDefault="00A840E0" w:rsidP="00A840E0">
      <w:pPr>
        <w:spacing w:after="0" w:line="360" w:lineRule="auto"/>
        <w:ind w:left="-2" w:firstLine="722"/>
        <w:jc w:val="both"/>
        <w:rPr>
          <w:rFonts w:ascii="GHEA Grapalat" w:eastAsia="Times New Roman" w:hAnsi="GHEA Grapalat" w:cs="GHEA Grapalat"/>
          <w:i/>
          <w:spacing w:val="-8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i/>
          <w:spacing w:val="-8"/>
          <w:sz w:val="24"/>
          <w:szCs w:val="24"/>
          <w:lang w:val="hy-AM"/>
        </w:rPr>
        <w:t xml:space="preserve">6.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eastAsia="Times New Roman" w:hAnsi="GHEA Grapalat" w:cs="GHEA Grapalat"/>
          <w:i/>
          <w:spacing w:val="-8"/>
          <w:sz w:val="24"/>
          <w:szCs w:val="24"/>
          <w:lang w:val="hy-AM"/>
        </w:rPr>
        <w:t>ռազմավարություններ</w:t>
      </w:r>
      <w:proofErr w:type="spellEnd"/>
    </w:p>
    <w:p w:rsidR="00A840E0" w:rsidRDefault="00A840E0" w:rsidP="00A840E0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Ներկայացվող նախագիծը չի բխում ռազմավարական փաստաթղթերից։</w:t>
      </w:r>
    </w:p>
    <w:p w:rsidR="00CE39B4" w:rsidRPr="00A840E0" w:rsidRDefault="00CE39B4" w:rsidP="00A840E0">
      <w:pPr>
        <w:rPr>
          <w:lang w:val="hy-AM"/>
        </w:rPr>
      </w:pPr>
      <w:bookmarkStart w:id="0" w:name="_GoBack"/>
      <w:bookmarkEnd w:id="0"/>
    </w:p>
    <w:sectPr w:rsidR="00CE39B4" w:rsidRPr="00A840E0" w:rsidSect="00A020DB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A740C"/>
    <w:multiLevelType w:val="hybridMultilevel"/>
    <w:tmpl w:val="667C3084"/>
    <w:lvl w:ilvl="0" w:tplc="49EC7A1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3E303D7"/>
    <w:multiLevelType w:val="hybridMultilevel"/>
    <w:tmpl w:val="EAE4BF5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6D10F3"/>
    <w:rsid w:val="000200B7"/>
    <w:rsid w:val="000306DB"/>
    <w:rsid w:val="00090B34"/>
    <w:rsid w:val="000B49A1"/>
    <w:rsid w:val="000C1A37"/>
    <w:rsid w:val="001B1092"/>
    <w:rsid w:val="001B3D70"/>
    <w:rsid w:val="001C59EA"/>
    <w:rsid w:val="001E01EF"/>
    <w:rsid w:val="001E0D91"/>
    <w:rsid w:val="001F19FA"/>
    <w:rsid w:val="0020006D"/>
    <w:rsid w:val="0026080C"/>
    <w:rsid w:val="002F0EE1"/>
    <w:rsid w:val="00312675"/>
    <w:rsid w:val="0031625B"/>
    <w:rsid w:val="00366824"/>
    <w:rsid w:val="00412B3C"/>
    <w:rsid w:val="00450033"/>
    <w:rsid w:val="00470BFB"/>
    <w:rsid w:val="004A06C7"/>
    <w:rsid w:val="004E1280"/>
    <w:rsid w:val="005074F4"/>
    <w:rsid w:val="00577173"/>
    <w:rsid w:val="005A20C2"/>
    <w:rsid w:val="005B0983"/>
    <w:rsid w:val="005F1430"/>
    <w:rsid w:val="006306AF"/>
    <w:rsid w:val="00642DED"/>
    <w:rsid w:val="006443E3"/>
    <w:rsid w:val="006D10F3"/>
    <w:rsid w:val="006D150D"/>
    <w:rsid w:val="006E2909"/>
    <w:rsid w:val="00746B4C"/>
    <w:rsid w:val="00757045"/>
    <w:rsid w:val="00793A58"/>
    <w:rsid w:val="007E1332"/>
    <w:rsid w:val="007E291E"/>
    <w:rsid w:val="00810616"/>
    <w:rsid w:val="00816E6C"/>
    <w:rsid w:val="00825014"/>
    <w:rsid w:val="008434CA"/>
    <w:rsid w:val="008651F7"/>
    <w:rsid w:val="00877924"/>
    <w:rsid w:val="00886658"/>
    <w:rsid w:val="00891C87"/>
    <w:rsid w:val="00897A35"/>
    <w:rsid w:val="00897FD6"/>
    <w:rsid w:val="008C0E6D"/>
    <w:rsid w:val="008C5807"/>
    <w:rsid w:val="008E0343"/>
    <w:rsid w:val="008F33F7"/>
    <w:rsid w:val="00906B2D"/>
    <w:rsid w:val="009277FD"/>
    <w:rsid w:val="009711B3"/>
    <w:rsid w:val="009842DE"/>
    <w:rsid w:val="00985A2D"/>
    <w:rsid w:val="00987CB9"/>
    <w:rsid w:val="009C447F"/>
    <w:rsid w:val="009C470B"/>
    <w:rsid w:val="009D35C2"/>
    <w:rsid w:val="009E4EA1"/>
    <w:rsid w:val="009F692A"/>
    <w:rsid w:val="00A020DB"/>
    <w:rsid w:val="00A840E0"/>
    <w:rsid w:val="00AD32A0"/>
    <w:rsid w:val="00AE379E"/>
    <w:rsid w:val="00B86007"/>
    <w:rsid w:val="00BA41CD"/>
    <w:rsid w:val="00BA4504"/>
    <w:rsid w:val="00BB3C0D"/>
    <w:rsid w:val="00C21C42"/>
    <w:rsid w:val="00C2759F"/>
    <w:rsid w:val="00C52733"/>
    <w:rsid w:val="00C66617"/>
    <w:rsid w:val="00C67D86"/>
    <w:rsid w:val="00C72D5C"/>
    <w:rsid w:val="00C80C2D"/>
    <w:rsid w:val="00CA7CCE"/>
    <w:rsid w:val="00CB018F"/>
    <w:rsid w:val="00CB25F1"/>
    <w:rsid w:val="00CC01C3"/>
    <w:rsid w:val="00CE39B4"/>
    <w:rsid w:val="00D04F56"/>
    <w:rsid w:val="00D104F8"/>
    <w:rsid w:val="00D218D0"/>
    <w:rsid w:val="00D53919"/>
    <w:rsid w:val="00DD39F0"/>
    <w:rsid w:val="00DE0A1E"/>
    <w:rsid w:val="00DE7165"/>
    <w:rsid w:val="00E03D90"/>
    <w:rsid w:val="00E06D8A"/>
    <w:rsid w:val="00E35D02"/>
    <w:rsid w:val="00E51192"/>
    <w:rsid w:val="00E72E6F"/>
    <w:rsid w:val="00E86437"/>
    <w:rsid w:val="00EA3606"/>
    <w:rsid w:val="00EB5FA5"/>
    <w:rsid w:val="00F13ECF"/>
    <w:rsid w:val="00F2430C"/>
    <w:rsid w:val="00F4457C"/>
    <w:rsid w:val="00F514B5"/>
    <w:rsid w:val="00FC5C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B0AE44-AE1B-4050-84B6-B06CDEC39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6D10F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link w:val="NormalWeb"/>
    <w:uiPriority w:val="99"/>
    <w:locked/>
    <w:rsid w:val="0020006D"/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8C0E6D"/>
    <w:pPr>
      <w:spacing w:after="0" w:line="240" w:lineRule="auto"/>
    </w:pPr>
    <w:rPr>
      <w:rFonts w:ascii="Times New Roman" w:eastAsia="Calibri" w:hAnsi="Times New Roman" w:cs="Times New Roman"/>
      <w:sz w:val="18"/>
      <w:szCs w:val="18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8C0E6D"/>
    <w:rPr>
      <w:rFonts w:ascii="Times New Roman" w:eastAsia="Calibri" w:hAnsi="Times New Roman" w:cs="Times New Roman"/>
      <w:sz w:val="18"/>
      <w:szCs w:val="18"/>
      <w:lang w:val="en-GB" w:eastAsia="ru-RU"/>
    </w:rPr>
  </w:style>
  <w:style w:type="paragraph" w:styleId="ListParagraph">
    <w:name w:val="List Paragraph"/>
    <w:basedOn w:val="Normal"/>
    <w:uiPriority w:val="34"/>
    <w:qFormat/>
    <w:rsid w:val="00D104F8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6E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E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5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B2A822-1F11-4F1F-9F74-1846C7D46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8</Pages>
  <Words>1157</Words>
  <Characters>8878</Characters>
  <Application>Microsoft Office Word</Application>
  <DocSecurity>0</DocSecurity>
  <Lines>309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nabrahamyan</dc:creator>
  <cp:keywords>https://mul2.gov.am/tasks/1032281/oneclick/3Himnavorum.docx?token=4931cc1d1dafa22b5d95e9a859e86e5c</cp:keywords>
  <dc:description/>
  <cp:lastModifiedBy>Ruzanna Khachatryan</cp:lastModifiedBy>
  <cp:revision>20</cp:revision>
  <cp:lastPrinted>2022-09-27T11:13:00Z</cp:lastPrinted>
  <dcterms:created xsi:type="dcterms:W3CDTF">2023-05-26T12:35:00Z</dcterms:created>
  <dcterms:modified xsi:type="dcterms:W3CDTF">2024-09-25T13:29:00Z</dcterms:modified>
</cp:coreProperties>
</file>