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344" w:rsidRPr="000A66B4" w:rsidRDefault="006F6344" w:rsidP="006F6344">
      <w:pPr>
        <w:shd w:val="clear" w:color="auto" w:fill="FFFFFF"/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0A66B4">
        <w:rPr>
          <w:rFonts w:ascii="GHEA Grapalat" w:hAnsi="GHEA Grapalat"/>
          <w:sz w:val="24"/>
          <w:szCs w:val="24"/>
          <w:lang w:val="hy-AM"/>
        </w:rPr>
        <w:t>Հավելված 2</w:t>
      </w:r>
    </w:p>
    <w:p w:rsidR="006F6344" w:rsidRPr="000A66B4" w:rsidRDefault="006F6344" w:rsidP="000A66B4">
      <w:pPr>
        <w:shd w:val="clear" w:color="auto" w:fill="FFFFFF"/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0A66B4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Հայաստանի Հանրապետության կառավարության</w:t>
      </w:r>
    </w:p>
    <w:p w:rsidR="006F6344" w:rsidRPr="000A66B4" w:rsidRDefault="006F6344" w:rsidP="006F6344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A66B4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_______թվականի_____________-ի N __________որոշման</w:t>
      </w:r>
    </w:p>
    <w:p w:rsidR="006F6344" w:rsidRPr="000A66B4" w:rsidRDefault="006F6344" w:rsidP="006F634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6F6344" w:rsidRPr="000A66B4" w:rsidRDefault="006F6344" w:rsidP="006F634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6F6344" w:rsidRDefault="00E34DB2" w:rsidP="00E34DB2">
      <w:pPr>
        <w:pStyle w:val="ListParagraph"/>
        <w:spacing w:after="0" w:line="360" w:lineRule="auto"/>
        <w:jc w:val="center"/>
        <w:rPr>
          <w:rFonts w:ascii="GHEA Grapalat" w:hAnsi="GHEA Grapalat"/>
          <w:lang w:val="hy-AM"/>
        </w:rPr>
      </w:pPr>
      <w:r w:rsidRPr="000D7BB7">
        <w:rPr>
          <w:rFonts w:ascii="GHEA Grapalat" w:hAnsi="GHEA Grapalat"/>
          <w:bCs/>
          <w:lang w:val="hy-AM"/>
        </w:rPr>
        <w:t>ՀԱՅԱՍՏԱՆԻ ՀԱՆՐԱՊԵՏՈՒԹՅԱՆ ԿԱՌԱՎԱՐՈՒԹՅԱՆ «</w:t>
      </w:r>
      <w:r w:rsidRPr="000D7BB7">
        <w:rPr>
          <w:rFonts w:ascii="GHEA Grapalat" w:hAnsi="GHEA Grapalat"/>
          <w:lang w:val="hy-AM"/>
        </w:rPr>
        <w:t xml:space="preserve">ՄԻՆՉԵՎ 2026 ԹՎԱԿԱՆԸ ԿԱՌՈՒՑՎՈՂ, ՀԻՄՆԱՆՈՐՈԳՎՈՂ ԿԱՄ ՎԵՐԱԿԱՌՈՒՑՎՈՂ </w:t>
      </w:r>
      <w:r>
        <w:rPr>
          <w:rFonts w:ascii="GHEA Grapalat" w:hAnsi="GHEA Grapalat"/>
          <w:lang w:val="hy-AM"/>
        </w:rPr>
        <w:t>5</w:t>
      </w:r>
      <w:r w:rsidRPr="000D7BB7">
        <w:rPr>
          <w:rFonts w:ascii="GHEA Grapalat" w:hAnsi="GHEA Grapalat"/>
          <w:lang w:val="hy-AM"/>
        </w:rPr>
        <w:t xml:space="preserve">00 </w:t>
      </w:r>
      <w:r>
        <w:rPr>
          <w:rFonts w:ascii="GHEA Grapalat" w:hAnsi="GHEA Grapalat"/>
          <w:lang w:val="hy-AM"/>
        </w:rPr>
        <w:t>ՄԱՆԿԱՊԱՐՏԵԶ ԵՎ ՆԱԽԱԿՐԹԱՐԱՆ»</w:t>
      </w:r>
      <w:r w:rsidRPr="000D7BB7">
        <w:rPr>
          <w:rFonts w:ascii="GHEA Grapalat" w:hAnsi="GHEA Grapalat"/>
          <w:lang w:val="hy-AM"/>
        </w:rPr>
        <w:t xml:space="preserve"> ԾՐԱԳՐՈՒՄ ԸՆԴԳՐԿՎԱԾ </w:t>
      </w:r>
      <w:r>
        <w:rPr>
          <w:rFonts w:ascii="GHEA Grapalat" w:hAnsi="GHEA Grapalat"/>
          <w:lang w:val="hy-AM"/>
        </w:rPr>
        <w:t>ՄԱՆԿԱՊԱՐՏԵԶՆԵՐ</w:t>
      </w:r>
      <w:r w:rsidRPr="000D7BB7">
        <w:rPr>
          <w:rFonts w:ascii="GHEA Grapalat" w:hAnsi="GHEA Grapalat"/>
          <w:lang w:val="hy-AM"/>
        </w:rPr>
        <w:t xml:space="preserve">Ի </w:t>
      </w:r>
      <w:r>
        <w:rPr>
          <w:rFonts w:ascii="GHEA Grapalat" w:hAnsi="GHEA Grapalat"/>
          <w:lang w:val="hy-AM"/>
        </w:rPr>
        <w:t>ԵՎ ՆԱԽԱԿՐԹԱՐԱՆՆԵՐԻ</w:t>
      </w:r>
      <w:r w:rsidRPr="000D7BB7">
        <w:rPr>
          <w:rFonts w:ascii="GHEA Grapalat" w:hAnsi="GHEA Grapalat"/>
          <w:lang w:val="hy-AM"/>
        </w:rPr>
        <w:t xml:space="preserve"> ՑԱՆԿԸ ՀԱՍՏԱՏԵԼՈՒ ԵՎ ՑԱՆԿՈՒՄ ԸՆԴԳՐԿՎԱԾ </w:t>
      </w:r>
      <w:r>
        <w:rPr>
          <w:rFonts w:ascii="GHEA Grapalat" w:hAnsi="GHEA Grapalat"/>
          <w:lang w:val="hy-AM"/>
        </w:rPr>
        <w:t>ՄԱՆԿԱՊԱՐՏԵԶՆԵՐ</w:t>
      </w:r>
      <w:r w:rsidRPr="000D7BB7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ԵՎ ՆԱԽԱԿՐԹԱՐԱՆՆԵՐԻ</w:t>
      </w:r>
      <w:r w:rsidRPr="000D7BB7">
        <w:rPr>
          <w:rFonts w:ascii="GHEA Grapalat" w:hAnsi="GHEA Grapalat"/>
          <w:lang w:val="hy-AM"/>
        </w:rPr>
        <w:t xml:space="preserve"> ՀԱՄԱՐ ՍԱՀՄԱՆՎԱԾ ՇԻՆԱՐԱՐԱԿԱՆ ԱՇԽԱՏԱՆՔՆԵՐԻ՝ ԿԱՌՈՒՑՄԱՆ, ՎԵՐԱԿԱՌՈՒՑՄԱՆ ԿԱՄ ՀԻՄՆԱՆՈՐՈԳՄԱՆ ՀԱՄԱՐ ՄԻՋԱՄՏՈՒԹՅԱՆ ԱՍՏԻՃԱՆԻ ԸՆՏՐՈՒԹՅԱՆ ՉԱՓՈՐՈՇԻՉՆԵՐԸ ՍԱՀՄԱՆԵԼՈՒ ՄԱՍԻՆ</w:t>
      </w:r>
    </w:p>
    <w:p w:rsidR="00E34DB2" w:rsidRPr="000A66B4" w:rsidRDefault="00E34DB2" w:rsidP="00E34DB2">
      <w:pPr>
        <w:pStyle w:val="ListParagraph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1988 թվականի ավերիչ երկրաշարժից հետո ամբողջությամբ վերանայվել են երկրաշարժադիմացկուն շինարարության և նախագծմ</w:t>
      </w:r>
      <w:r w:rsidR="000A66B4"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մոտեցումները և դրա արդյունքում դեռևս 1994 թվականին (ՀՀՇՆ II - 2.02- 94 «Սեյսմակայուն շինարարություն. Նախագծման նորմեր»), իսկ հետո նաև 2006 թվականին (ՀՀՇՆ II - 6.02- 2006 «Սեյսմակայուն շինարարություն. Նախագծման նորմեր») մշակվել և ընդունվել են սեյսմակայուն շինարարության նորմատիվատեխնիկական փաստաթղթեր, որոնցով սահմանվել են նոր պահանջներ և վերագնահատվել </w:t>
      </w:r>
      <w:r w:rsidR="000A66B4"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կազմվել է հանրապետության սեյսմոշրջանցման նոր քարտեզ</w:t>
      </w:r>
      <w:r w:rsidR="000A66B4"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Ն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մանատիպ շենքերի նախագծման ու կառուցման համար </w:t>
      </w:r>
      <w:r w:rsidR="000A66B4"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նախկինում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սահմանվել է առնվազն 9 բալ սեյմակայունության պահանջ, իսկ հետո նաև բալային համակարգը վերանայվել է և սեյսմակայուն շինարարության հիմնական ցուցիչ է սահմանվել </w:t>
      </w:r>
      <w:r w:rsidRPr="000A66B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գրունտների սպասվելիք հորիզոնական արագացումների մեծությունները ըստ սեյսմիկ գոտիների,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որոնք երեքն են և ՀՀՇՆ II - 6.02- 2006 «Սեյսմակայուն շինարարություն. Նախագծման նորմեր»-ով ընդուված էին հաշվարկային՝</w:t>
      </w: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2" w:type="dxa"/>
          <w:right w:w="42" w:type="dxa"/>
        </w:tblCellMar>
        <w:tblLook w:val="0000" w:firstRow="0" w:lastRow="0" w:firstColumn="0" w:lastColumn="0" w:noHBand="0" w:noVBand="0"/>
      </w:tblPr>
      <w:tblGrid>
        <w:gridCol w:w="6705"/>
        <w:gridCol w:w="850"/>
        <w:gridCol w:w="851"/>
        <w:gridCol w:w="850"/>
      </w:tblGrid>
      <w:tr w:rsidR="006F6344" w:rsidRPr="000A66B4" w:rsidTr="00715B87">
        <w:trPr>
          <w:jc w:val="center"/>
        </w:trPr>
        <w:tc>
          <w:tcPr>
            <w:tcW w:w="6705" w:type="dxa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Սեյսմիկ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գոտիներ</w:t>
            </w:r>
          </w:p>
        </w:tc>
        <w:tc>
          <w:tcPr>
            <w:tcW w:w="850" w:type="dxa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A66B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851" w:type="dxa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A66B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850" w:type="dxa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A66B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</w:p>
        </w:tc>
      </w:tr>
      <w:tr w:rsidR="006F6344" w:rsidRPr="000A66B4" w:rsidTr="00715B87">
        <w:trPr>
          <w:jc w:val="center"/>
        </w:trPr>
        <w:tc>
          <w:tcPr>
            <w:tcW w:w="6705" w:type="dxa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Գրունտի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հորիզոնական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արագացման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մեծությունը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0A6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a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սմ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վրկ</w:t>
            </w:r>
            <w:r w:rsidRPr="000A66B4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2</w:t>
            </w:r>
          </w:p>
        </w:tc>
        <w:tc>
          <w:tcPr>
            <w:tcW w:w="850" w:type="dxa"/>
            <w:vAlign w:val="center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66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200</w:t>
            </w:r>
          </w:p>
        </w:tc>
        <w:tc>
          <w:tcPr>
            <w:tcW w:w="851" w:type="dxa"/>
            <w:vAlign w:val="center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66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300</w:t>
            </w:r>
          </w:p>
        </w:tc>
        <w:tc>
          <w:tcPr>
            <w:tcW w:w="850" w:type="dxa"/>
            <w:vAlign w:val="center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66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400</w:t>
            </w:r>
          </w:p>
        </w:tc>
      </w:tr>
    </w:tbl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2020 թվականին ընդունվել է նաև ՀՀՇՆ-20.04 «Երկրաշարժադիմացկուն շինարարություն նորմեր. Նախագծման նորմեր»-ը, որով փոփոխություն է կատարվել նաև</w:t>
      </w:r>
      <w:r w:rsidRPr="000A66B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գրունտների սպասվելիք հորիզոնական արագացումների մեծությունները ըստ սեյսմիկ գոտիների ցուցիչում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նորմի 5-րդ գլխի 12-րդ կետով դրանք սահմանվել են հետևյալ կերպ.</w:t>
      </w: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6592"/>
        <w:gridCol w:w="850"/>
        <w:gridCol w:w="851"/>
        <w:gridCol w:w="850"/>
      </w:tblGrid>
      <w:tr w:rsidR="006F6344" w:rsidRPr="000A66B4" w:rsidTr="00715B87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Սեյսմիկ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գոտիներ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</w:p>
        </w:tc>
      </w:tr>
      <w:tr w:rsidR="006F6344" w:rsidRPr="000A66B4" w:rsidTr="00715B87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Գրունտի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հորիզոնական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արագացման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մեծությունը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0A6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a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սմ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վրկ</w:t>
            </w:r>
            <w:r w:rsidRPr="000A66B4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>500</w:t>
            </w:r>
          </w:p>
        </w:tc>
      </w:tr>
    </w:tbl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</w:t>
      </w:r>
      <w:r w:rsidR="000A66B4"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շենքերի կոնստրուկտիվ համակարգերի նախագծման ժամանակ էապես բարձրացել է դրանց ամրության, կոշտության և պատասխանատվության գործակիցների հաշվարկային մեծությունները, ինչի արդյունքում շենքերը նախկին դասակարգումների տերմինաբանության կիրառման դեպքում պետք է դիմակայեն 9 բալից ավել սեյսմիկ ազդեցությունների:</w:t>
      </w: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Ներկայում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ս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գործում 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նաև ՀՀՇՆ 20-06-2014 «Շենքերի և կառուցվածքների վերակառուցում, վերականգնում և ուժեղացում. հիմնական դրույթներ» շինարարական նորմերը: Նշված նորմատիվատեխնիկական փաստաթուղթը սահմանում է նաև գոյություն ունեցող շենք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ե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րին շինարարական միջամտության նվազագույն թույլատրելի մակարդակը, որով ի թիվս այլ գործառնական նշանակության շենքերի, </w:t>
      </w:r>
      <w:r w:rsidR="00BA3B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նախադպրոցական ուսումնական հաստատությունների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 նախատեսված է սեյսմակայունության բարձրացման պարտադիր պահանջ: Ընդ որում, ի թիվս այլ պարտադիր կոնստրուկտիվ միջամտության պայմանների, սահմաված է </w:t>
      </w:r>
      <w:r w:rsidRPr="000A66B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սեյսմազինվածության բարձրացման քանակական գնահատման՝ սեյսմազինվածության KCB  գործակիցը, որը բավարարում է 0,5 ≤ KCB &lt; 1 պայմանին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Նշված գործակցի միջակայքի ընտրությունը վերապահված է Պատվիրատուին, սակայն 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անհրաժեշտ է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հաշվի առնել շենքի փաստացի տեխնիկական վիճակը և գործառնական նշանակությամբ շենքը շահագործելու հանգամանքը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  <w:r w:rsidR="000358D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Ն</w:t>
      </w:r>
      <w:r w:rsidR="000358DD" w:rsidRPr="000358D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ախադպրոցական ուսումնական հաստատություն</w:t>
      </w:r>
      <w:r w:rsidR="000358D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ների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վերակառուցման դեպքում, կախված տնտեսական ազդեցության և ֆինանսական միջոցների սղության հանգամանքներից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տարբեր տարիների ընտրվել են թույլատրելի ավելի ցածր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0.5 և դրան մոտ գործակիցներ, սակայն հաշվի առնելով նման շենքային հաստատությունների կարևորությունը և պատասխանատվության բարձր աստիճանը առավել ցանկալի է ընտրել և հաշվարկել KCB=1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գործակիցը, որի կիրառման դեպքում շինարարական միջամտության աստիճանը հավասարվում է </w:t>
      </w:r>
      <w:r w:rsidRPr="000A66B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ուժեղացման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մակարդակին: 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Գոյություն ունեցող շենքի ուժեղացում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միջամտությունը նույնպես սահմանված է նույն նորմատիվատեխնիկական փաստաթղթի 3-րդ </w:t>
      </w:r>
      <w:r w:rsidR="000358DD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կետի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այն է</w:t>
      </w:r>
    </w:p>
    <w:p w:rsidR="006F6344" w:rsidRPr="000A66B4" w:rsidRDefault="006F6344" w:rsidP="006F634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ուժեղացում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– շինարարական աշխատանքների և միջոցառումների համալիր, ուղղված շենքի կամ կառուցվածքի կոնստրուկտիվ տարրերի վերակառուցման միջոցով սեյսմազինվածությունը գործող նորմատիվ պահանջներին համապատասխանեցմանը</w:t>
      </w:r>
    </w:p>
    <w:p w:rsidR="006F6344" w:rsidRPr="000A66B4" w:rsidRDefault="006F6344" w:rsidP="006F6344">
      <w:pP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Վերակառուցման խնդիրները և արդյունքները</w:t>
      </w: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Գոյություն ունեցող շենքերի վերակառուցման, սեյսմազինվածության բարձացման կամ ուժեղացման գործընթացների իրականացման ժամանակ առաջնային ուսումնասիրվում են շենքի տեխնիկական վիճակը՝ համաձայն նույն կարգի և այլ նորմատիվատեխնիկական պահանջների: Դրա արդյունքներով կազմվում է եզրակացություն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շենքի վնասվածության աստիճանի վերաբերյալ ու սահմանվում են շինարարական միջամտության պարտադիր միջոցառումներ: Նշված եզրակացության ու Պատվիրատուի առաջադրանքի հիման վրա կազմվում են տվյալ օբյեկտի վերակառուցման նախագծանախահաշվային փաստաթղթեր: 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րպես կանոն, շինարարական աշխատանքների ընթացքում առաջանում են բազմաթիվ խնդիրներ՝ մասնավորապես կոնստրուկցիաների բացումների ժամանակ ի հայտ են գալիս նոր հանգամանքներ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կապված նախկինում թերի իրականացված հանգույցների, անորակ շինաշխատանքների, այլ նմանատիպ խնդիրների հետ, որոնք էապես թանկացնում են և երկարացնում են շինարարական աշխատանքների ընթացքը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ընդհուպ հանգեցնելով մինչև շինարարական աշխատանքների դադարի, վերանախագծման ու անգամ գոյություն ունեցող շենքի քանդման անհրաժեշտության: Ցանկացած պարագայում որևէ սեյմազինվածության բարձրացման միջոցառում չի կարող ապահովել շենքի կոնստրուկտիվ համակարգի համարժեքություն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նոր կառուցվող շենքերի կոսնտրուկտիվ լուծումների հետ: Եվս մեկ անգամ պետք է նշել, որ նշված հանգամանքի առաջացման կամ հանգման համար էական գործոն է հանդիսանում սեյսմիկ ուժերի ազդեցության գնահատման ամբողջական վերանայումը նախկին ԽՍՀՄ տարիների նորմատիվ սահմանումների համեմատությամբ և բնականաբար դրա արդյունքում ամբողջությամբ վերանայված մոտեցումների հանրագումարում նոր նորմատիվատեխնիկական փաստաթղթերը շատ ավելի խիստ ու հուսալի պահանջներ են սահմանում նախագծման ու կառուցման գործընթացների համար: </w:t>
      </w:r>
      <w:bookmarkStart w:id="0" w:name="_GoBack"/>
      <w:bookmarkEnd w:id="0"/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Ներկայում ՀՀ քաղաքաշինության կոմիտեն վերանայում է բնագավառի քաղաքականությունը, քննարկում է նշված պահանջի վերանայման անհրաժեշտությունը՝ հետագայում վերակառուցման թուլյլատրելի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ցածր մակարդակի բացառման պահանջի սահմանման հնարավորությամբ:</w:t>
      </w:r>
      <w:r w:rsidRPr="000A66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Վերակառուցման աշխատանքների դեպքում, կոնստրուկտիվ տարրերի ուժեղացման հանգամանքով պայմանավորված, առաջանում են նոր կոնստրուկտիվ տարրեր՝ մասնավորապես լրացուցիչ դիաֆրագմաներ, պիլոններ, շրջանակներ և այլն, դրանք մեծապես սահմանափակում են հատակագծային լուծումները և գերակշիռ դեպքերում թույլ չեն տալիս իրականացնել ազատ հատակագծում և արդյունքում ժամանակակից կրթական հաստատությունների ձևավորում: Հատկապես այս սահմանափակումներն անլուծելի խնդիրներ են առաջացնելու այն դեպքերում, երբ տվյալ տարածքում կամ համայնքում նախատեսվում է կառուցել նոր կրթահամալիրներ, որոնք իրենց կառուցվածքով չունեն նախադեպ և հանդիսանալու են դպրոց և մանկապարտեզի համատեղված մոդելներ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A66B4"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կրթահամալիրներ</w:t>
      </w:r>
      <w:r w:rsidR="000A66B4"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 նախագծային լուծումներով ապահովելով դրանց միաժամանակյա սահմանազատումը և պարտադիր կապը միմյանց հետ, ինչը վերակառուցման դեպքում </w:t>
      </w:r>
      <w:r w:rsidR="000358D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անհ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նար է: </w:t>
      </w:r>
    </w:p>
    <w:p w:rsidR="006F6344" w:rsidRPr="000A66B4" w:rsidRDefault="006F6344" w:rsidP="006F6344">
      <w:pP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Տեխնիկատնտեսական հիմնավորումներ</w:t>
      </w: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Առկա տարբեր մեթոդական ցուցումների, նախկինում տարբեր պատվիրատուների կողմից իրականացված նմանատիպ շինարարական ծրագրերի վերլուծությունների արդյունքում ձևավորված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արձանագրումներով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սահմանված է, որ եթե վերակառուցման շինարարական աշխատանքների արժեքը գերազանցում է կառուցման արժեքի 70%-ը ապա վերակառուցում անելը նպատակահարմար չի դիտարկվում: Բազմաթիվ վերլուծություններ և փաստացի իրականացված նմանատիպ ծրագրերի փորձը ցույց է տալիս, որ հիմնականում վերակառուցման աշխատանքների արժեքը մոտենում է նշված սահմանաչափին կամ գերազանցում է այն, իսկ եթե հաշվի առնենք այն հանգամանքը, որ գրեթե բոլոր դեպքերում սեյսմազինվածության բարձացման մակարդակի KCB գործակիցը ընտրված է եղել 0.5 կամ դրան մոտ, և որ վերը նշված հիմնավորումների դեպքում գերադասելի է ընդունել 1-ին մոտ կամ մեկ, ապա ակնհայտ է դառնում, որ տեխնիկատնտեսական տեսանկյունից առավել գերադասելի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է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 շենքերի կառուցումը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հատկապես որ վերակառուցման աշխատանքների դեպքում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կոնստրուկտիվ տարրերի ուժեղացման հանգամանքով պայմանավորված, առաջանում են նոր կոնստրուկտիվ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տարրեր,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մասնավորապես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լրացուցիչ դիաֆրագմաներ, պիլոններ, շրջանակներ և այլն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Դ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րանք մեծապես սահմանափակում են հատակագծային լուծումները և գերակշիռ դեպքերում թույլ չեն տալիս իրականացնել ազատ հատակագծում և արդյունքում ժամանակակից կրթական հաստատությունների ձևավորում: Վերակառուցման աշխատանքների ժամանակ նաև, որպես կանոն, ի հայտ եկած նոր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հանգամանքներով պայմանավորված, ավելանում են շինարարական աշխատանքների համար նախատեսված ծախսերը 10-20 տոկոսի չափով, որը ևս խնդիրներ է առաջացնում նախնական պլանավորման և հետագայում անհրաժեշտ ֆինանսական միջոցներ ներգ</w:t>
      </w:r>
      <w:r w:rsidR="00734A41">
        <w:rPr>
          <w:rFonts w:ascii="GHEA Grapalat" w:hAnsi="GHEA Grapalat"/>
          <w:sz w:val="24"/>
          <w:szCs w:val="24"/>
          <w:shd w:val="clear" w:color="auto" w:fill="FFFFFF"/>
          <w:lang w:val="hy-AM"/>
        </w:rPr>
        <w:t>ր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ավելու տեսակետից: Վերոնշյալ կրթական կենտրոնների ձևավորումը, որը հնարավոր է միայն նոր շենքերի կառուցման դեպքերում, հանգեցնում է ֆինանսական միջոցների էական տնտեսման, քանի որ որոշ ֆունկցիոնալ պարտադիր սենյակներ մեկտեղվում են և դրանց կրկնության անհրաժեշտությունը բացակայում է, ինչն էլ ապահովում է ավելի քիչ մակերեսներ նախատեսելու և համապատասխանաբար ֆինանսական միջոցների տնտեսման հնարավորություն:</w:t>
      </w:r>
    </w:p>
    <w:p w:rsidR="006F6344" w:rsidRPr="000A66B4" w:rsidRDefault="006F6344" w:rsidP="006F6344">
      <w:pP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Նոր կառուցվող շենքերի առավելությունները</w:t>
      </w: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Գոյություն ունեցող շենքերի փոխարեն նոր կրթական հաստատություններ նախագծելու և կառուցելու դեպքում հնարավոր է լինում ապահովել դրանց սեսմակայունության ամենաբարձր սահմանված մակարդակը, էներգախնայող և էներգաարդյունավետ լուծումների նախատեսումը, և,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ինչ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ևս շատ կարևոր է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ճարտարապետական արդի լուծումներով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թե հատակագծային և թե գունային, կրթության կազմակերպման արդի պահանջների ու մոտեցումների կիրառման համար անհրաժեշտ պայմանների ապահովումը: Պետք է հաշվի առնել նաև այն հանգամանքը, որ շատ դեպքերում առկա են լինում նաև գրունտային ջրեր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վերակառուցման դեպքում գոյություն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ունեցո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ղ շենքի հիմնատակերը և հիմքեը մասնակի հնարավոր չի լինում ջրամեկուսացնել, ինչն էլ իր հերթին հանգեցնում է դրանց շարունակաբար անթույլատրելի քայքայմանը: Նվազագույնի են հասցվում նաև շինարարության ընթացքում չնախատեսված ծախսերի առաջացման ու ժամկետների երկարաձգման ռիսկերը: Ժամկետների կառավարման կանխատեսելիությունը ևս էական գործոն է հանդիսանում նշված ծրագրերի իրականացման փուլերում, քանի որ հիմնականում նոր կառուցվող շենքերը նախատեսվել են գոյություն ունեցող կրթական հաստատությունների տարածքներում և այդ տարածքների սահմանափակ լինելու հանգամանքով պայմանավորված հանգեցնելու են առկա շենքերի ապամոնտաժման անհրաժեշտության: Այլ կերպ ասած, երկու դեպքում էլ շինարարական աշխատանքների ժամանակ առկա շենքերը պետք է ամբողջությամբ ազատվեն, իսկ կառուցման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դեպք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ում նախատեսված ժամկետների պահպանումը, ի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տարբերությու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վերակառուցման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դեպք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ի, առավել իրատեսական է: Վերակառուցման դեպքում դրանց ժամկետները երկարաձգվում են տարբեր լրացուցիչ ուսումնասիրությունների և դրանց արդյունքում նոր նախագծային լուծումներ մշակելու անհրաժեշտությամբ պայմանավորված:</w:t>
      </w:r>
    </w:p>
    <w:p w:rsidR="006F6344" w:rsidRPr="000A66B4" w:rsidRDefault="006F6344" w:rsidP="006F6344">
      <w:pP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Եզրահանգումներ</w:t>
      </w: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Հաշվի առնելով վերոգրյալը, ինչպես նաև կրթության բովանդակությանը, ժամանակակից նորմերին ու պահանջներին համապատասխան՝ կրթական հաստատությունների նոր շենքային պայմաններ ունենալու հրամայականը՝ խիստ նպատակահարմար է դիտարկվում նոր շենքերի նախագծման ու կառուցման մոտեցման կիրառումը։ Բացառություն կարող են կազմել այն դեպքերը, երբ շենքերը կառուցվել են 2000-ական թվականներին և դրանց տեխնիկական վիճակը գնահատվում է լավ կամ գերազանց: Նման դեպքերում կնախատեսվեն մասնակի հարդարման և անհրաժեշտ բացակայող ենթակառուցվածնքների</w:t>
      </w:r>
      <w:r w:rsidR="00DF52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կառուցման անհատական նախագծային լուծումներ:</w:t>
      </w:r>
    </w:p>
    <w:p w:rsidR="006F6344" w:rsidRPr="000A66B4" w:rsidRDefault="006F6344" w:rsidP="006F634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6F6344" w:rsidRPr="000A66B4" w:rsidRDefault="006F6344" w:rsidP="006F634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12C76" w:rsidRPr="000A66B4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0A66B4" w:rsidSect="005842C2">
      <w:pgSz w:w="12240" w:h="15840"/>
      <w:pgMar w:top="426" w:right="758" w:bottom="709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A50E75"/>
    <w:multiLevelType w:val="hybridMultilevel"/>
    <w:tmpl w:val="8C94B51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344"/>
    <w:rsid w:val="000358DD"/>
    <w:rsid w:val="000A66B4"/>
    <w:rsid w:val="006C0B77"/>
    <w:rsid w:val="006F6344"/>
    <w:rsid w:val="00734A41"/>
    <w:rsid w:val="008242FF"/>
    <w:rsid w:val="008257B1"/>
    <w:rsid w:val="00870751"/>
    <w:rsid w:val="00922C48"/>
    <w:rsid w:val="00B915B7"/>
    <w:rsid w:val="00BA3BC9"/>
    <w:rsid w:val="00D95A6F"/>
    <w:rsid w:val="00DF52C2"/>
    <w:rsid w:val="00E34DB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5EA2E0-BFD4-490C-8914-077DBC292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34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6F634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qFormat/>
    <w:locked/>
    <w:rsid w:val="006F6344"/>
    <w:rPr>
      <w:lang w:val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F634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F634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1611</Words>
  <Characters>9186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2023-11-29T07:33:00Z</dcterms:created>
  <dcterms:modified xsi:type="dcterms:W3CDTF">2024-09-20T13:05:00Z</dcterms:modified>
</cp:coreProperties>
</file>