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7EF" w:rsidRDefault="00615BC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8257EF" w:rsidRDefault="00615BC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ՀԱՅԱՍՏԱՆԻ ՀԱՆՐԱՊԵՏՈՒԹՅԱՆ 2024 ԹՎԱԿԱՆԻ ՊԵՏԱԿԱՆ ԲՅՈՒՋԵԻ ՄԱՍԻՆ» ՕՐԵՆՔՈՒՄ ՎԵՐԱԲԱՇԽՈՒՄ  ԵՎ  </w:t>
      </w:r>
      <w:r w:rsidR="006578E9">
        <w:rPr>
          <w:rFonts w:ascii="GHEA Grapalat" w:hAnsi="GHEA Grapalat" w:cs="Sylfaen"/>
          <w:b/>
          <w:bCs/>
          <w:color w:val="000000" w:themeColor="text1"/>
          <w:lang w:val="en-US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ՀԱՅԱՍՏԱՆԻ ՀԱՆՐԱՊԵՏՈՒԹՅԱՆ ԿԱՌԱՎԱՐՈՒԹՅԱՆ 2023 ԹՎԱԿԱՆԻ ԴԵԿՏԵՄԲԵՐԻ 28-Ի N 2323-Ն ՈՐՈՇՄԱՆ ՄԵՋ ՓՈՓՈԽՈՒԹՅՈՒՆ</w:t>
      </w:r>
      <w:r w:rsidR="006578E9">
        <w:rPr>
          <w:rFonts w:ascii="GHEA Grapalat" w:hAnsi="GHEA Grapalat" w:cs="Sylfaen"/>
          <w:b/>
          <w:bCs/>
          <w:color w:val="000000" w:themeColor="text1"/>
          <w:lang w:val="en-US"/>
        </w:rPr>
        <w:t>ՆԵՐ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960C3F">
        <w:rPr>
          <w:rFonts w:ascii="GHEA Grapalat" w:hAnsi="GHEA Grapalat" w:cs="Sylfaen"/>
          <w:b/>
          <w:bCs/>
          <w:color w:val="000000" w:themeColor="text1"/>
          <w:lang w:val="en-US"/>
        </w:rPr>
        <w:t xml:space="preserve">ԿԱՏԱՐԵԼՈՒ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ԵՎ </w:t>
      </w:r>
      <w:r w:rsidR="00960C3F">
        <w:rPr>
          <w:rFonts w:ascii="GHEA Grapalat" w:hAnsi="GHEA Grapalat" w:cs="Sylfaen"/>
          <w:b/>
          <w:bCs/>
          <w:color w:val="000000" w:themeColor="text1"/>
          <w:lang w:val="en-US"/>
        </w:rPr>
        <w:t>ԱՇԽԱՏԱՆՔԻ Ե</w:t>
      </w:r>
      <w:bookmarkStart w:id="0" w:name="_GoBack"/>
      <w:bookmarkEnd w:id="0"/>
      <w:r w:rsidR="00796136">
        <w:rPr>
          <w:rFonts w:ascii="GHEA Grapalat" w:hAnsi="GHEA Grapalat" w:cs="Sylfaen"/>
          <w:b/>
          <w:bCs/>
          <w:color w:val="000000" w:themeColor="text1"/>
          <w:lang w:val="en-US"/>
        </w:rPr>
        <w:t xml:space="preserve">Վ ՍՈՑԻԱԼԱԿԱՆ ՀԱՐՑԵՐԻ ՆԱԽԱՐԱՐՈՒԹՅԱՆԸ ԳՈՒՄԱՐ ՀԱՏԿԱՑՆԵԼՈՒ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ՄԱՍԻՆ»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5"/>
        <w:gridCol w:w="6225"/>
      </w:tblGrid>
      <w:tr w:rsidR="008257EF">
        <w:trPr>
          <w:tblCellSpacing w:w="0" w:type="dxa"/>
        </w:trPr>
        <w:tc>
          <w:tcPr>
            <w:tcW w:w="7375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8257EF" w:rsidRDefault="00615BC2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ՀՀ ֆինանսների նախարարություն</w:t>
            </w: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:rsidR="008257EF" w:rsidRDefault="00796136" w:rsidP="00796136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16</w:t>
            </w:r>
            <w:r w:rsidR="00615BC2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.1</w:t>
            </w: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615BC2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.2024թ.</w:t>
            </w:r>
          </w:p>
        </w:tc>
      </w:tr>
      <w:tr w:rsidR="008257EF">
        <w:trPr>
          <w:tblCellSpacing w:w="0" w:type="dxa"/>
        </w:trPr>
        <w:tc>
          <w:tcPr>
            <w:tcW w:w="7375" w:type="dxa"/>
            <w:vMerge/>
            <w:shd w:val="clear" w:color="auto" w:fill="D9D9D9" w:themeFill="background1" w:themeFillShade="D9"/>
            <w:vAlign w:val="center"/>
            <w:hideMark/>
          </w:tcPr>
          <w:p w:rsidR="008257EF" w:rsidRDefault="008257EF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:rsidR="008257EF" w:rsidRPr="00796136" w:rsidRDefault="0079613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6136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01/34-2/26340-2024</w:t>
            </w:r>
          </w:p>
        </w:tc>
      </w:tr>
      <w:tr w:rsidR="008257EF" w:rsidRPr="00CC695B">
        <w:trPr>
          <w:trHeight w:val="800"/>
          <w:tblCellSpacing w:w="0" w:type="dxa"/>
        </w:trPr>
        <w:tc>
          <w:tcPr>
            <w:tcW w:w="7375" w:type="dxa"/>
            <w:shd w:val="clear" w:color="auto" w:fill="FFFFFF"/>
          </w:tcPr>
          <w:p w:rsidR="00796136" w:rsidRDefault="00796136" w:rsidP="00796136">
            <w:pPr>
              <w:spacing w:line="276" w:lineRule="auto"/>
              <w:ind w:left="127" w:right="277" w:firstLine="440"/>
              <w:jc w:val="both"/>
              <w:rPr>
                <w:rFonts w:ascii="Cambria Math" w:hAnsi="Cambria Math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Ուսումնասիրելով Ձեր 03.12.2024թ. N ՆՄ/ԱՄ-2/36765-2024 գրությամբ ներկայացված ««Հայաստանի Հանրապետության 2024 թվականի պետական բյուջեի մասին» օրենքում վերաբաշխում և Հայաստանի Հանրապետության կառավարության 2023 թվականի դեկտեմբերի 28-ի N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2323-Ն որոշման մեջ փոփոխություններ և Աշխատանքի և սոցիալական հարցերի նախարարությանը գումար հատկացնելու մասին» ՀՀ կառավարության որոշման նախագիծը, որով առաջարկվում է ՀՀ Կառավարության պահուստային ֆոնդից 38.2 մլրդ դրամ հատկացնել 1102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Կենսաթոշակային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ապահովություն</w:t>
            </w:r>
            <w:r>
              <w:rPr>
                <w:rFonts w:ascii="GHEA Grapalat" w:hAnsi="GHEA Grapalat"/>
                <w:lang w:val="hy-AM"/>
              </w:rPr>
              <w:t xml:space="preserve"> ծրագրի 12005. Կուտակային հատկացումներ մասնակցի կենսաթոշակային հաշվին միջոցառմանը, ապահովվելով նշված միջոցառման ծախսերի ամբողջական կատարումը՝ հայտնում ենք հետևյալը</w:t>
            </w:r>
            <w:r>
              <w:rPr>
                <w:rFonts w:ascii="Cambria Math" w:hAnsi="Cambria Math"/>
                <w:lang w:val="hy-AM"/>
              </w:rPr>
              <w:t>․</w:t>
            </w:r>
          </w:p>
          <w:p w:rsidR="00796136" w:rsidRDefault="00796136" w:rsidP="00796136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ընդունումը կհանգեցնի «ՀՀ 2024 թվականի պետական բյուջեի մասին» օրենքով նախատեսված «ՀՀ կառավարության պահուստային ֆոնդ» ծախսային ծրագրի տարեկան ճշտված չափաքանակի գերազանցմանը՝ «Պահուստային միջոցներ» հոդվածով: Հետևաբար, </w:t>
            </w:r>
            <w:r>
              <w:rPr>
                <w:rFonts w:ascii="GHEA Grapalat" w:hAnsi="GHEA Grapalat"/>
                <w:lang w:val="hy-AM"/>
              </w:rPr>
              <w:lastRenderedPageBreak/>
              <w:t>առաջարկում ենք խմբագրել ՀՀ Կառավարության պահուստային ֆոնդից նախատեսվող հատկացման գումարների հոդվածները՝ մասնավորապես, ՀՀ կառավարության պահուստային ֆոնդի «պահուստային միջոցներ» հոդվածից նախատեսել 1.0 մլրդ դրամ, իսկ «շենքեր և շինություններ» հոդվածից՝ 37.2 մլրդ դրամ:</w:t>
            </w:r>
          </w:p>
          <w:p w:rsidR="00CC695B" w:rsidRDefault="00CC695B" w:rsidP="00796136">
            <w:pPr>
              <w:spacing w:line="276" w:lineRule="auto"/>
              <w:ind w:left="127" w:right="277" w:firstLine="440"/>
              <w:jc w:val="both"/>
              <w:rPr>
                <w:rFonts w:ascii="GHEA Grapalat" w:hAnsi="GHEA Grapalat" w:cstheme="minorBidi"/>
                <w:lang w:val="hy-AM"/>
              </w:rPr>
            </w:pPr>
          </w:p>
          <w:p w:rsidR="00796136" w:rsidRDefault="00796136" w:rsidP="00796136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նախագծին կից ներկայացված հիմնավորման մեջ նշվում է, որ ոչ ֆինանսական արդյունքային ցուցանիշի ավելացման անհրաժեշտություն չկա, քանի որ շահառուների փաստացի թվաքանակը համապատասխանում է ծրագրային ցուցանիշին, այնինչ Ձեր կողմից ներկայացված ՀՀ 2024թ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>պետական բյուջեի ինն ամիսների հաշվետվության ամբողջական փաթեթում «Մասնակիցների թիվ մարդ» արդյունքի չափորոշիչի փաստացի թիվը կազմել է  538,465՝ տարեկան պլանի 475,881-ի փոխարեն։ Այդ կապակցությամբ խնդրում ենք հիմնավորման մեջ ներկայացնել շահառուների թվաքանակի աճի հանգամանքները, ինչպես նաև համապատասխան հավելվածներում ներառել նաև ոչ ֆինանսական արդյունքային ցուցանիշները։</w:t>
            </w:r>
          </w:p>
          <w:p w:rsidR="008257EF" w:rsidRDefault="008257EF">
            <w:pPr>
              <w:spacing w:line="276" w:lineRule="auto"/>
              <w:ind w:left="165" w:right="165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5" w:type="dxa"/>
            <w:shd w:val="clear" w:color="auto" w:fill="FFFFFF"/>
          </w:tcPr>
          <w:p w:rsidR="008257EF" w:rsidRDefault="008257E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8257EF" w:rsidRDefault="008257E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8257EF" w:rsidRDefault="008257E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8257EF" w:rsidRDefault="008257E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D71C4" w:rsidRPr="00D400C1" w:rsidRDefault="007D71C4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8257EF" w:rsidRPr="00D400C1" w:rsidRDefault="00796136" w:rsidP="00796136">
            <w:pPr>
              <w:spacing w:line="360" w:lineRule="auto"/>
              <w:ind w:left="260" w:right="165" w:hanging="142"/>
              <w:rPr>
                <w:rFonts w:ascii="GHEA Grapalat" w:hAnsi="GHEA Grapalat"/>
                <w:color w:val="000000"/>
                <w:lang w:val="hy-AM" w:eastAsia="en-US"/>
              </w:rPr>
            </w:pPr>
            <w:r w:rsidRPr="00D400C1">
              <w:rPr>
                <w:rFonts w:ascii="GHEA Grapalat" w:hAnsi="GHEA Grapalat"/>
                <w:color w:val="000000"/>
                <w:lang w:val="hy-AM" w:eastAsia="en-US"/>
              </w:rPr>
              <w:t>Ընդունվել է, խմբագրվել է</w:t>
            </w:r>
            <w:r w:rsidR="007D71C4" w:rsidRPr="00D400C1">
              <w:rPr>
                <w:rFonts w:ascii="GHEA Grapalat" w:hAnsi="GHEA Grapalat"/>
                <w:color w:val="000000"/>
                <w:lang w:val="hy-AM" w:eastAsia="en-US"/>
              </w:rPr>
              <w:t>:</w:t>
            </w:r>
          </w:p>
          <w:p w:rsidR="00796136" w:rsidRPr="00D400C1" w:rsidRDefault="00796136" w:rsidP="00796136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96136" w:rsidRPr="00CC695B" w:rsidRDefault="00D400C1" w:rsidP="00D400C1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D400C1">
              <w:rPr>
                <w:rFonts w:ascii="GHEA Grapalat" w:hAnsi="GHEA Grapalat"/>
                <w:color w:val="000000"/>
                <w:lang w:val="hy-AM" w:eastAsia="en-US"/>
              </w:rPr>
              <w:t>Ը</w:t>
            </w:r>
            <w:r w:rsidRPr="00CC695B">
              <w:rPr>
                <w:rFonts w:ascii="GHEA Grapalat" w:hAnsi="GHEA Grapalat"/>
                <w:color w:val="000000"/>
                <w:lang w:val="hy-AM" w:eastAsia="en-US"/>
              </w:rPr>
              <w:t>նդունվել է ի գիտություն:</w:t>
            </w:r>
          </w:p>
          <w:p w:rsidR="00D400C1" w:rsidRPr="00CC695B" w:rsidRDefault="00D400C1" w:rsidP="00D400C1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CC695B">
              <w:rPr>
                <w:rFonts w:ascii="GHEA Grapalat" w:hAnsi="GHEA Grapalat"/>
                <w:color w:val="000000"/>
                <w:lang w:val="hy-AM" w:eastAsia="en-US"/>
              </w:rPr>
              <w:t xml:space="preserve">Հարցը քննարկելիս հարկ է նկատի ունենալ, որ </w:t>
            </w:r>
            <w:r w:rsidRPr="00D400C1">
              <w:rPr>
                <w:rFonts w:ascii="GHEA Grapalat" w:hAnsi="GHEA Grapalat"/>
                <w:lang w:val="hy-AM"/>
              </w:rPr>
              <w:t>այս</w:t>
            </w:r>
            <w:r w:rsidRPr="00CC695B">
              <w:rPr>
                <w:rFonts w:ascii="GHEA Grapalat" w:hAnsi="GHEA Grapalat"/>
                <w:color w:val="000000"/>
                <w:lang w:val="hy-AM" w:eastAsia="en-US"/>
              </w:rPr>
              <w:t xml:space="preserve"> միջոցառման գծով կանխատեսումները կատարվում են Կենտրոնական բանկից ստացված՝ կուտակային բաղադրիչի մասնակիցների և նրանց կենսաթոշակային հաշիվների վերաբերյալ փաստացի տվյալներով, իսկ պետական բյուջեի կատարողականը, որպես կատարող մարմին, ներկայացնում է ՊԵԿ-ը՝ իր տեղեկատվական շտեմարանում առկա՝ պարտադիր կուտակային բաղադրիչի մասնակիցների և նրանց անունից (օգտին) կատարված սոցիալական վճարների, կուտակային հատկացումների մասին տվյալներով:</w:t>
            </w:r>
          </w:p>
          <w:p w:rsidR="00D400C1" w:rsidRPr="00CC695B" w:rsidRDefault="00D400C1" w:rsidP="00D400C1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CC695B">
              <w:rPr>
                <w:rFonts w:ascii="GHEA Grapalat" w:hAnsi="GHEA Grapalat"/>
                <w:color w:val="000000"/>
                <w:lang w:val="hy-AM" w:eastAsia="en-US"/>
              </w:rPr>
              <w:t>Ընդ որում, ՊԵԿ-ի տվյալները վերաբերում են մարված կուտակային բաղադրիչի պարտադիր մասնա</w:t>
            </w:r>
            <w:r w:rsidR="00960F4D" w:rsidRPr="00CC695B">
              <w:rPr>
                <w:rFonts w:ascii="GHEA Grapalat" w:hAnsi="GHEA Grapalat"/>
                <w:color w:val="000000"/>
                <w:lang w:val="hy-AM" w:eastAsia="en-US"/>
              </w:rPr>
              <w:t>կիցների թվին՝ ըստ հաշվետու ամսվա</w:t>
            </w:r>
            <w:r w:rsidRPr="00CC695B">
              <w:rPr>
                <w:rFonts w:ascii="GHEA Grapalat" w:hAnsi="GHEA Grapalat"/>
                <w:color w:val="000000"/>
                <w:lang w:val="hy-AM" w:eastAsia="en-US"/>
              </w:rPr>
              <w:t xml:space="preserve"> (սոցիալական վճարների) անձնավորված հաշվարկների:</w:t>
            </w:r>
          </w:p>
          <w:p w:rsidR="00D400C1" w:rsidRPr="00CC695B" w:rsidRDefault="00CC695B" w:rsidP="00D400C1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ՊԵԿ-ի ներկայացրած տեղեկատվության մեջ առկա է տվյալ այն </w:t>
            </w:r>
            <w:r w:rsidR="00D400C1" w:rsidRPr="00CC695B">
              <w:rPr>
                <w:rFonts w:ascii="GHEA Grapalat" w:hAnsi="GHEA Grapalat"/>
                <w:color w:val="000000"/>
                <w:lang w:val="hy-AM" w:eastAsia="en-US"/>
              </w:rPr>
              <w:t>անձանց թվաքանակ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ի մասին</w:t>
            </w:r>
            <w:r w:rsidR="00D400C1" w:rsidRPr="00CC695B">
              <w:rPr>
                <w:rFonts w:ascii="GHEA Grapalat" w:hAnsi="GHEA Grapalat"/>
                <w:color w:val="000000"/>
                <w:lang w:val="hy-AM" w:eastAsia="en-US"/>
              </w:rPr>
              <w:t xml:space="preserve"> տվյալները</w:t>
            </w:r>
            <w:r w:rsidR="002D3610">
              <w:rPr>
                <w:rFonts w:ascii="GHEA Grapalat" w:hAnsi="GHEA Grapalat"/>
                <w:color w:val="000000"/>
                <w:lang w:val="hy-AM" w:eastAsia="en-US"/>
              </w:rPr>
              <w:t>, ում</w:t>
            </w:r>
            <w:r w:rsidR="00D400C1" w:rsidRPr="00CC695B">
              <w:rPr>
                <w:rFonts w:ascii="GHEA Grapalat" w:hAnsi="GHEA Grapalat"/>
                <w:color w:val="000000"/>
                <w:lang w:val="hy-AM" w:eastAsia="en-US"/>
              </w:rPr>
              <w:t xml:space="preserve"> կուտակային հատկացումները Օրենքի 9-րդ հոդվածով սահմանված կարգով </w:t>
            </w:r>
            <w:r w:rsidR="00D400C1" w:rsidRPr="00CC695B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հաշվետու ամսվա ընթացքում փոխանցվել է մասնակիցների ռեեստրը վարողին և մոտ է Կենտրոնական բանկից ստացված տվյալներին:</w:t>
            </w:r>
          </w:p>
          <w:p w:rsidR="00D400C1" w:rsidRPr="00CC695B" w:rsidRDefault="00D400C1" w:rsidP="00960F4D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CC695B">
              <w:rPr>
                <w:rFonts w:ascii="GHEA Grapalat" w:hAnsi="GHEA Grapalat"/>
                <w:color w:val="000000"/>
                <w:lang w:val="hy-AM" w:eastAsia="en-US"/>
              </w:rPr>
              <w:t>Ըստ այդմ, առկա է կանխատեսման և փաստացի ցուցանիշների համար հիմք ընդունվող փաստացի տվյալները համադրելի դարձնելու խնդիր, ինչին անդրադարձ կկատարվի առաջիկայում:</w:t>
            </w:r>
          </w:p>
        </w:tc>
      </w:tr>
    </w:tbl>
    <w:p w:rsidR="008257EF" w:rsidRDefault="008257EF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</w:p>
    <w:sectPr w:rsidR="008257EF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25B6709"/>
    <w:multiLevelType w:val="hybridMultilevel"/>
    <w:tmpl w:val="1EA4D9FC"/>
    <w:lvl w:ilvl="0" w:tplc="C44879E8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0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EF"/>
    <w:rsid w:val="0003383C"/>
    <w:rsid w:val="00152604"/>
    <w:rsid w:val="00211BC7"/>
    <w:rsid w:val="002D3610"/>
    <w:rsid w:val="00301DF0"/>
    <w:rsid w:val="004D2F88"/>
    <w:rsid w:val="0050711D"/>
    <w:rsid w:val="00615BC2"/>
    <w:rsid w:val="006578E9"/>
    <w:rsid w:val="0067031F"/>
    <w:rsid w:val="00691258"/>
    <w:rsid w:val="00796136"/>
    <w:rsid w:val="007D71C4"/>
    <w:rsid w:val="00810F7D"/>
    <w:rsid w:val="008257EF"/>
    <w:rsid w:val="00960C3F"/>
    <w:rsid w:val="00960F4D"/>
    <w:rsid w:val="00C609D9"/>
    <w:rsid w:val="00C72D29"/>
    <w:rsid w:val="00CA1180"/>
    <w:rsid w:val="00CC695B"/>
    <w:rsid w:val="00D400C1"/>
    <w:rsid w:val="00D526F1"/>
    <w:rsid w:val="00E82DAA"/>
    <w:rsid w:val="00E8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81154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mechtexChar">
    <w:name w:val="mechtex Char"/>
    <w:link w:val="mechtex"/>
    <w:locked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8523D-C470-46D3-B6B4-CF85F5559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3</cp:revision>
  <cp:lastPrinted>2021-11-29T08:49:00Z</cp:lastPrinted>
  <dcterms:created xsi:type="dcterms:W3CDTF">2024-12-17T12:42:00Z</dcterms:created>
  <dcterms:modified xsi:type="dcterms:W3CDTF">2024-12-17T12:42:00Z</dcterms:modified>
</cp:coreProperties>
</file>