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15F" w:rsidRPr="00EB7209" w:rsidRDefault="00B4415F" w:rsidP="00B4415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B4415F" w:rsidRDefault="00B4415F" w:rsidP="00B4415F">
      <w:pPr>
        <w:spacing w:after="0" w:line="360" w:lineRule="auto"/>
        <w:ind w:right="26"/>
        <w:jc w:val="center"/>
        <w:rPr>
          <w:rFonts w:ascii="GHEA Grapalat" w:hAnsi="GHEA Grapalat"/>
          <w:b/>
          <w:sz w:val="24"/>
          <w:szCs w:val="24"/>
        </w:rPr>
      </w:pPr>
      <w:r w:rsidRPr="006145EF">
        <w:rPr>
          <w:rFonts w:ascii="GHEA Grapalat" w:hAnsi="GHEA Grapalat"/>
          <w:b/>
          <w:sz w:val="24"/>
          <w:szCs w:val="24"/>
        </w:rPr>
        <w:t xml:space="preserve">«ՀԱՅԱՍՏԱՆԻ ՀԱՆՐԱՊԵՏՈՒԹՅԱՆ ԿԱՌԱՎԱՐՈՒԹՅԱՆ 2015 ԹՎԱԿԱՆԻ ՄԱՐՏԻ 19-Ի N 596-Ն ՈՐՈՇՄԱՆ ՄԵՋ </w:t>
      </w:r>
      <w:r>
        <w:rPr>
          <w:rFonts w:ascii="GHEA Grapalat" w:hAnsi="GHEA Grapalat"/>
          <w:b/>
          <w:sz w:val="24"/>
          <w:szCs w:val="24"/>
        </w:rPr>
        <w:t>ԼՐԱՑՈՒՄՆԵՐ</w:t>
      </w:r>
      <w:r w:rsidRPr="006145EF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ԵՎ</w:t>
      </w:r>
      <w:r w:rsidRPr="006145EF">
        <w:rPr>
          <w:rFonts w:ascii="GHEA Grapalat" w:hAnsi="GHEA Grapalat"/>
          <w:b/>
          <w:sz w:val="24"/>
          <w:szCs w:val="24"/>
        </w:rPr>
        <w:t xml:space="preserve"> ՓՈՓՈԽՈՒԹՅՈՒՆ</w:t>
      </w:r>
      <w:r>
        <w:rPr>
          <w:rFonts w:ascii="GHEA Grapalat" w:hAnsi="GHEA Grapalat"/>
          <w:b/>
          <w:sz w:val="24"/>
          <w:szCs w:val="24"/>
        </w:rPr>
        <w:t xml:space="preserve">ՆԵՐ </w:t>
      </w:r>
      <w:r w:rsidRPr="006145EF">
        <w:rPr>
          <w:rFonts w:ascii="GHEA Grapalat" w:hAnsi="GHEA Grapalat"/>
          <w:b/>
          <w:sz w:val="24"/>
          <w:szCs w:val="24"/>
        </w:rPr>
        <w:t xml:space="preserve">ԿԱՏԱՐԵԼՈՒ ՄԱՍԻՆ» ՀԱՅԱՍՏԱՆԻ ՀԱՆՐԱՊԵՏՈՒԹՅԱՆ ԿԱՌԱՎԱՐՈՒԹՅԱՆ ՈՐՈՇՄԱՆ ՆԱԽԱԳԾԻ </w:t>
      </w:r>
    </w:p>
    <w:p w:rsidR="00B4415F" w:rsidRDefault="00B4415F" w:rsidP="00B4415F">
      <w:pPr>
        <w:spacing w:after="0" w:line="360" w:lineRule="auto"/>
        <w:ind w:right="26"/>
        <w:jc w:val="center"/>
        <w:rPr>
          <w:rFonts w:ascii="GHEA Grapalat" w:hAnsi="GHEA Grapalat"/>
          <w:b/>
          <w:sz w:val="24"/>
          <w:szCs w:val="24"/>
        </w:rPr>
      </w:pPr>
    </w:p>
    <w:p w:rsidR="00B4415F" w:rsidRPr="00EB7209" w:rsidRDefault="00B4415F" w:rsidP="00B4415F">
      <w:pPr>
        <w:spacing w:after="0" w:line="360" w:lineRule="auto"/>
        <w:ind w:right="26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u w:val="single"/>
        </w:rPr>
      </w:pPr>
    </w:p>
    <w:p w:rsidR="00B4415F" w:rsidRPr="00851EDE" w:rsidRDefault="00B4415F" w:rsidP="00B4415F">
      <w:pPr>
        <w:pStyle w:val="ListParagraph"/>
        <w:numPr>
          <w:ilvl w:val="0"/>
          <w:numId w:val="1"/>
        </w:numPr>
        <w:tabs>
          <w:tab w:val="left" w:pos="90"/>
          <w:tab w:val="left" w:pos="270"/>
          <w:tab w:val="left" w:pos="990"/>
        </w:tabs>
        <w:spacing w:after="200" w:line="360" w:lineRule="auto"/>
        <w:ind w:left="-270" w:right="26" w:hanging="90"/>
        <w:jc w:val="both"/>
        <w:rPr>
          <w:rFonts w:ascii="GHEA Grapalat" w:hAnsi="GHEA Grapalat" w:cs="Sylfaen"/>
          <w:szCs w:val="24"/>
        </w:rPr>
      </w:pPr>
      <w:r w:rsidRPr="00851EDE">
        <w:rPr>
          <w:rFonts w:ascii="GHEA Grapalat" w:hAnsi="GHEA Grapalat" w:cs="GHEA Grapalat"/>
          <w:b/>
          <w:bCs/>
          <w:iCs/>
          <w:szCs w:val="24"/>
        </w:rPr>
        <w:t>Անհրաժեշտությունը</w:t>
      </w:r>
    </w:p>
    <w:p w:rsidR="00B4415F" w:rsidRPr="006A02F3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683F82">
        <w:rPr>
          <w:rFonts w:ascii="GHEA Grapalat" w:hAnsi="GHEA Grapalat" w:cs="GHEA Grapalat"/>
          <w:sz w:val="24"/>
          <w:szCs w:val="24"/>
        </w:rPr>
        <w:t>Նախագծի ընդունումը պայմանավորված 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կառավարության 2015 թվականի մարտի 19-ի </w:t>
      </w:r>
      <w:r w:rsidRPr="00FC5C60">
        <w:rPr>
          <w:rFonts w:ascii="GHEA Grapalat" w:hAnsi="GHEA Grapalat" w:cs="GHEA Grapalat"/>
          <w:sz w:val="24"/>
          <w:szCs w:val="24"/>
          <w:lang w:val="hy-AM"/>
        </w:rPr>
        <w:t>N 596-Ն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որոշմամբ ըստ ռիսկայության աստիճանի էլեկտրամոբիլիների լիցքավորման կայանների դասակարգման</w:t>
      </w:r>
      <w:r>
        <w:rPr>
          <w:rFonts w:ascii="GHEA Grapalat" w:hAnsi="GHEA Grapalat" w:cs="GHEA Grapalat"/>
          <w:sz w:val="24"/>
          <w:szCs w:val="24"/>
        </w:rPr>
        <w:t xml:space="preserve">,  շինարարական օբյեկտների տեխնիկական պայմանների ձեռքբերման արդյունավետության բարձրացման, բջջային կապի կայանների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GHEA Grapalat"/>
          <w:sz w:val="24"/>
          <w:szCs w:val="24"/>
        </w:rPr>
        <w:t xml:space="preserve">տեղադրման պայմանների պարզեցման, </w:t>
      </w:r>
      <w:r w:rsidRPr="006A02F3">
        <w:rPr>
          <w:rFonts w:ascii="GHEA Grapalat" w:hAnsi="GHEA Grapalat" w:cs="GHEA Grapalat"/>
          <w:bCs/>
          <w:sz w:val="24"/>
          <w:szCs w:val="24"/>
        </w:rPr>
        <w:t>լիցենզավորում չպահանջող աշխատանքներ կատարող</w:t>
      </w:r>
      <w:r w:rsidRPr="006A02F3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 xml:space="preserve">ֆիզիկական անձանց համար </w:t>
      </w:r>
      <w:r w:rsidRPr="006A02F3">
        <w:rPr>
          <w:rFonts w:ascii="GHEA Grapalat" w:hAnsi="GHEA Grapalat" w:cs="GHEA Grapalat"/>
          <w:sz w:val="24"/>
          <w:szCs w:val="24"/>
        </w:rPr>
        <w:t>քաղաքաշինական էլեկտրոնային թույլտվությունների</w:t>
      </w:r>
      <w:r w:rsidRPr="006A02F3">
        <w:rPr>
          <w:rFonts w:ascii="Calibri" w:hAnsi="Calibri" w:cs="Calibri"/>
          <w:sz w:val="24"/>
          <w:szCs w:val="24"/>
        </w:rPr>
        <w:t> </w:t>
      </w:r>
      <w:r w:rsidRPr="006A02F3">
        <w:rPr>
          <w:rFonts w:ascii="GHEA Grapalat" w:hAnsi="GHEA Grapalat" w:cs="GHEA Grapalat"/>
          <w:sz w:val="24"/>
          <w:szCs w:val="24"/>
        </w:rPr>
        <w:t>համակարգից</w:t>
      </w:r>
      <w:r>
        <w:rPr>
          <w:rFonts w:ascii="GHEA Grapalat" w:hAnsi="GHEA Grapalat" w:cs="GHEA Grapalat"/>
          <w:sz w:val="24"/>
          <w:szCs w:val="24"/>
        </w:rPr>
        <w:t xml:space="preserve"> օգտվելու հասանելության ապահովման անհրաժեշտությամբ</w:t>
      </w:r>
      <w:r w:rsidRPr="00683F82">
        <w:rPr>
          <w:rFonts w:ascii="GHEA Grapalat" w:hAnsi="GHEA Grapalat" w:cs="GHEA Grapalat"/>
          <w:sz w:val="24"/>
          <w:szCs w:val="24"/>
        </w:rPr>
        <w:t xml:space="preserve">: </w:t>
      </w:r>
    </w:p>
    <w:p w:rsidR="00B4415F" w:rsidRPr="006A02F3" w:rsidRDefault="00B4415F" w:rsidP="00B4415F">
      <w:pPr>
        <w:spacing w:after="0" w:line="360" w:lineRule="auto"/>
        <w:ind w:right="26"/>
        <w:jc w:val="both"/>
        <w:rPr>
          <w:rFonts w:ascii="GHEA Grapalat" w:hAnsi="GHEA Grapalat" w:cs="GHEA Grapalat"/>
          <w:sz w:val="24"/>
          <w:szCs w:val="24"/>
        </w:rPr>
      </w:pPr>
    </w:p>
    <w:p w:rsidR="00B4415F" w:rsidRPr="00D20287" w:rsidRDefault="00B4415F" w:rsidP="00B4415F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right="26"/>
        <w:jc w:val="both"/>
        <w:rPr>
          <w:rFonts w:ascii="GHEA Grapalat" w:eastAsiaTheme="minorHAnsi" w:hAnsi="GHEA Grapalat" w:cs="GHEA Grapalat"/>
          <w:szCs w:val="24"/>
          <w:lang w:val="en-US"/>
        </w:rPr>
      </w:pPr>
      <w:r w:rsidRPr="00D20287">
        <w:rPr>
          <w:rFonts w:ascii="GHEA Grapalat" w:eastAsiaTheme="minorHAnsi" w:hAnsi="GHEA Grapalat" w:cs="GHEA Grapalat"/>
          <w:szCs w:val="24"/>
          <w:lang w:val="en-US"/>
        </w:rPr>
        <w:t>Ընթացիկ իրավիճակը և խնդիրները</w:t>
      </w:r>
    </w:p>
    <w:p w:rsidR="00B4415F" w:rsidRPr="00D20287" w:rsidRDefault="00B4415F" w:rsidP="00B4415F">
      <w:pPr>
        <w:tabs>
          <w:tab w:val="left" w:pos="900"/>
        </w:tabs>
        <w:spacing w:line="360" w:lineRule="auto"/>
        <w:ind w:right="26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</w:rPr>
      </w:pPr>
      <w:r w:rsidRPr="00D20287">
        <w:rPr>
          <w:rFonts w:ascii="GHEA Grapalat" w:hAnsi="GHEA Grapalat" w:cs="GHEA Grapalat"/>
          <w:b/>
          <w:bCs/>
          <w:i/>
          <w:iCs/>
          <w:sz w:val="24"/>
          <w:szCs w:val="24"/>
        </w:rPr>
        <w:t>Կարգավորման ենթակա հիմնախնդիրների  վերաբերյալ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 xml:space="preserve">Հայաստանի Հանրապետությունում շինարարության օբյեկտները, ելնելով դրանց ծավալից, նշանակությունից, կարևորությունից ու բարդությունից, ինչպես նաև մարդկանց և շրջակա միջավայրի անվտանգությունից, ըստ ռիսկայնության աստիճանի դասակարգվում են Հայաստանի Հանրապետության կառավարության 2015 թվականի մարտի 19-ի N 596-Ն որոշմամբ (այսուհետ՝ Որոշում) հաստատված կարգով, որտեղ էլեկտրամոբիլների լիցքավորման կայանները, ինչպես նաև բջջային կապի կայաններն ըստ ռիսկայնության աստիճանի հստակ դասակագված չեն, իսկ ՀՀ պետական և համայնքային բյուջեների հաշվին իրականացվող շինարարական ծրագրերի համար  պատվիրատուների կողմից ձեռքբերման ենթակա </w:t>
      </w:r>
      <w:r w:rsidRPr="00D20287">
        <w:rPr>
          <w:rFonts w:ascii="GHEA Grapalat" w:hAnsi="GHEA Grapalat" w:cs="GHEA Grapalat"/>
          <w:sz w:val="24"/>
          <w:szCs w:val="24"/>
        </w:rPr>
        <w:lastRenderedPageBreak/>
        <w:t xml:space="preserve">մատակարար կազմակերպությունների ինժեներական հաղորդակցուղիների տեխնիկական պայմանների մասով առկա չեն պարտադիր պահանջներ։ 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b/>
          <w:bCs/>
          <w:sz w:val="24"/>
          <w:szCs w:val="24"/>
        </w:rPr>
      </w:pPr>
      <w:r w:rsidRPr="00D20287">
        <w:rPr>
          <w:rFonts w:ascii="GHEA Grapalat" w:hAnsi="GHEA Grapalat" w:cs="GHEA Grapalat"/>
          <w:b/>
          <w:bCs/>
          <w:sz w:val="24"/>
          <w:szCs w:val="24"/>
        </w:rPr>
        <w:t>1.</w:t>
      </w:r>
      <w:r w:rsidRPr="00D20287">
        <w:rPr>
          <w:rFonts w:ascii="GHEA Grapalat" w:hAnsi="GHEA Grapalat" w:cs="GHEA Grapalat"/>
          <w:b/>
          <w:bCs/>
          <w:sz w:val="24"/>
          <w:szCs w:val="24"/>
        </w:rPr>
        <w:tab/>
        <w:t>Մատակարար կազմակերպությունների ինժեներական հաղորդակցուղիների տեխնիկական պայմանների տրամադրման վերաբերյալ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>Կարգավորումը բխում է քաղաքաշինական ծրագրերի կապալառու կազմակերպությունների (նախագծողների և շինարարների) դժգոհություններից, այդ ծրագրերի կատարման չհիմնավորված ու երկարաձգվող ժամկետներից, որոնք պայմանավորված են մինչնախագծային փուլում ձեռքբերման ենթակա ելակետային տվյալների/տեխնիկական պայմաններով: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 xml:space="preserve">Վերջիններս պատվիրատուների մի մասի կողմից չեն տրամադրվում ծրագրի կատարողներին, ինչն էլ խնդրահարույց է դարձնում շինարարական ծրագրի նախագծման աշխատանքների մեկնարկը՝ ըստ հաստատված ժամանակացույցի: 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>Նախագծով սահմանվել է պարտադիր պահանջ պետական և համայնքային  (այդ թվում` սուբվենցիոն ծրագրերի մասով) պատվիրատուների համար՝ համայնքներից ինժեներական հաղորդակցուղիների տեխնիկական պայմանները ձեռք բերելու և նախագծման թույլտվության (ճարտարապետահատակագծային առաջադրանքի) հետ մեկտեղ դրանք նախագծողներին տրամադրելու  վերաբերյալ: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b/>
          <w:bCs/>
          <w:sz w:val="24"/>
          <w:szCs w:val="24"/>
        </w:rPr>
      </w:pPr>
      <w:r w:rsidRPr="00D20287">
        <w:rPr>
          <w:rFonts w:ascii="GHEA Grapalat" w:hAnsi="GHEA Grapalat" w:cs="GHEA Grapalat"/>
          <w:b/>
          <w:bCs/>
          <w:sz w:val="24"/>
          <w:szCs w:val="24"/>
        </w:rPr>
        <w:t xml:space="preserve">2. Ավտոմոբիլների էլեկտրալիցքավորման կայանների տեղակայման վերաբերյալ 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 xml:space="preserve">Ըստ ռիսկայնության աստիճանի ավտոմեքենաների լիցքավորման կայանների դասակագրումը սահմանված է Որոշման 4-րդ հավելվածում, որի 2-րդ ցանկի 3-րդ կետի 1-ին ենթակետի &lt;գ&gt; պարբերության համաձայն առևտրի, հանրային սննդի և կենցաղային սպասարկման շենքերն ու շինությունները,  բացառությամբ՝ վառելիքի լիցքավորման կայանների դասվում են միջին ռիսկայնության աստիճանի  (II կատեգորիայի) օբյեկտների թվին, իսկ վերը նշված հավելվածի 3-րդ ցանկի 4-րդ կետի 1-ին ենթակետի &lt;թ&gt; պարբերության համաձայն ըստ ռիսկայնության աստիճանի  բենզալցակայանները և գազալցակայանները դասվում են բարձր </w:t>
      </w:r>
      <w:r w:rsidRPr="00D20287">
        <w:rPr>
          <w:rFonts w:ascii="GHEA Grapalat" w:hAnsi="GHEA Grapalat" w:cs="GHEA Grapalat"/>
          <w:sz w:val="24"/>
          <w:szCs w:val="24"/>
        </w:rPr>
        <w:lastRenderedPageBreak/>
        <w:t>ռիսկայնության աստիճանի (IV կատեգորիայի) օբյեկտներին թվին։ Սակայն, էլեկտրալիցքավորման կայանների ռիսկայնության աստիճանի մասով հստակ իրավակարգավորումները բացակայում են։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>Նախագծով նախատեսվել է էլեկտրալիցքավորման կայանների տեղադրման դասակարգված մոտեցում՝ ստորգետնյա և վերգետնյա հանրային տարածքներում այն ապահովելու նպատակով: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>Ստորգետնյա տարածքների համար կարգավորումները կպահանջեն բարձր ռիսկայնության օբյեկտներին բնորոշ փաստաթղթային հիմնավորում, ինչը պայմանավորված է քաղաքացիական պաշտպանության պաշտպանական սենքերի տեղակայման անհրաժեշտությամբ՝ հիմնականում շենքերի և շինությունների որմնախարսխային և նկուղային հարկաբաժիններում, որոնք պահանջում են հատուկ կարգավորումներ, շահագրգիռ  պետական մարմինների նախագծային փաստաթղթերի համաձայնեցումներ, դրանց քաղաքաշինական պարզ ու  պետական համալիր փորձաքննության եզրակացություններ՝ համաձայն ՀՀ կառավարության 19.03.2015թ N596-Ն որոշմամբ հաստատված կարգի: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b/>
          <w:bCs/>
          <w:sz w:val="24"/>
          <w:szCs w:val="24"/>
        </w:rPr>
      </w:pPr>
      <w:r w:rsidRPr="00D20287">
        <w:rPr>
          <w:rFonts w:ascii="GHEA Grapalat" w:hAnsi="GHEA Grapalat" w:cs="GHEA Grapalat"/>
          <w:b/>
          <w:bCs/>
          <w:sz w:val="24"/>
          <w:szCs w:val="24"/>
        </w:rPr>
        <w:t>3. Բջջային կապի կայանքների տեղակայման վերաբերյալ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>Խնդրի կարգավորման պահանջարկը ներկայացվել է հանրային շարժական բջջային կապի օպերատորների («Յուքոմ» ՓԲ, «ՄՏՍ Հայաստան» ՓԲ և «Տելեկոմ Արմենիա» ԲԲ ընկերությունների) կողմից կապի ոլորտին առնչվող օրենսդրական փոփոխությունների առաջարկությունների՝ բջջային կապի բազային կայանքների տեղադրման քաղաքաշինական ընթացակարգերի պարզեցման համար: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 xml:space="preserve">Նախագծով նշված աշխատանքները՝ որոնք վերաբերում են բնակելի նշանակության օբյեկտների շենքերում տվյալ կապի միջոցի ապահովման համար բջջային կայանքի տեղադրման և նորոգման/արդիականացման խնդրին, դասակարգվել են որպես միջինից բարձր ռիսկայնության աշխատանքներ, դիտարկելով փոքրածավալ և իրականացման համար ոչ բարդ, պայմանով, որ դրանք  կնախատեսվեն սահմանված կարգով՝ ՀՀ առողջապահության նախարարի 2006 թվականի օգոստոսի 16-ի N 933-Ն հրամանով հաստատված N2.1.8-010-06 </w:t>
      </w:r>
      <w:r w:rsidRPr="00D20287">
        <w:rPr>
          <w:rFonts w:ascii="GHEA Grapalat" w:hAnsi="GHEA Grapalat" w:cs="GHEA Grapalat"/>
          <w:sz w:val="24"/>
          <w:szCs w:val="24"/>
        </w:rPr>
        <w:lastRenderedPageBreak/>
        <w:t>սանիտարական կանոններին և նորմերին համապատասխան  նախապես մշակված և հաստատված բջջային կայանքի տեղադրման նախագծերով: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 xml:space="preserve"> 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b/>
          <w:bCs/>
          <w:sz w:val="24"/>
          <w:szCs w:val="24"/>
        </w:rPr>
      </w:pPr>
      <w:r w:rsidRPr="00D20287">
        <w:rPr>
          <w:rFonts w:ascii="GHEA Grapalat" w:hAnsi="GHEA Grapalat" w:cs="GHEA Grapalat"/>
          <w:b/>
          <w:bCs/>
          <w:sz w:val="24"/>
          <w:szCs w:val="24"/>
        </w:rPr>
        <w:t>4. Ֆիզիկական անձանց համար էլեկտրոնային թույլտվությունների համակարգից օգտվելու հասանելության վերաբերյալ</w:t>
      </w:r>
    </w:p>
    <w:p w:rsidR="00B4415F" w:rsidRPr="00D20287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</w:p>
    <w:p w:rsidR="00B4415F" w:rsidRPr="00E8549D" w:rsidRDefault="00B4415F" w:rsidP="00B4415F">
      <w:pPr>
        <w:spacing w:after="0" w:line="360" w:lineRule="auto"/>
        <w:ind w:left="-810" w:right="26" w:firstLine="450"/>
        <w:jc w:val="both"/>
        <w:rPr>
          <w:rFonts w:ascii="GHEA Grapalat" w:hAnsi="GHEA Grapalat" w:cs="GHEA Grapalat"/>
          <w:sz w:val="24"/>
          <w:szCs w:val="24"/>
        </w:rPr>
      </w:pPr>
      <w:r w:rsidRPr="00D20287">
        <w:rPr>
          <w:rFonts w:ascii="GHEA Grapalat" w:hAnsi="GHEA Grapalat" w:cs="GHEA Grapalat"/>
          <w:sz w:val="24"/>
          <w:szCs w:val="24"/>
        </w:rPr>
        <w:t>Կարգավորումը վերաբերում Որոշման հավելված 5-ում ներկայացված ավարտական ակտի (շահագործման թույլտվության), ավարտված շինարարական օբյեկտը շահագործման ընդունող հանձնաժողովի ակտի օրինակելի ձևերում միջին ռիսկայնության աստիճանի օբյեկտների համար օրինակելի ձևերում որոշակի տողերի պարզեցված լրացումներին և ՀՀ կառավարության 22.09.2023թ N1615-Ն որոշմանը կատարված հղումներին:</w:t>
      </w:r>
    </w:p>
    <w:p w:rsidR="00B4415F" w:rsidRDefault="00B4415F" w:rsidP="00B4415F">
      <w:pPr>
        <w:spacing w:after="0" w:line="360" w:lineRule="auto"/>
        <w:ind w:left="-810" w:right="26" w:firstLine="54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</w:p>
    <w:p w:rsidR="00B4415F" w:rsidRPr="007D746B" w:rsidRDefault="00B4415F" w:rsidP="00B4415F">
      <w:pPr>
        <w:spacing w:after="0" w:line="360" w:lineRule="auto"/>
        <w:ind w:left="-810" w:right="26" w:firstLine="540"/>
        <w:jc w:val="both"/>
        <w:rPr>
          <w:rFonts w:ascii="GHEA Grapalat" w:hAnsi="GHEA Grapalat" w:cs="GHEA Grapalat"/>
          <w:b/>
          <w:bCs/>
          <w:iCs/>
          <w:sz w:val="24"/>
          <w:szCs w:val="24"/>
        </w:rPr>
      </w:pPr>
      <w:r>
        <w:rPr>
          <w:rFonts w:ascii="GHEA Grapalat" w:hAnsi="GHEA Grapalat" w:cs="GHEA Grapalat"/>
          <w:b/>
          <w:bCs/>
          <w:iCs/>
          <w:sz w:val="24"/>
          <w:szCs w:val="24"/>
        </w:rPr>
        <w:t>3.</w:t>
      </w:r>
      <w:r w:rsidRPr="007D746B">
        <w:rPr>
          <w:rFonts w:ascii="GHEA Grapalat" w:hAnsi="GHEA Grapalat" w:cs="GHEA Grapalat"/>
          <w:b/>
          <w:bCs/>
          <w:iCs/>
          <w:sz w:val="24"/>
          <w:szCs w:val="24"/>
        </w:rPr>
        <w:t>Առաջակվող լուծումները</w:t>
      </w:r>
    </w:p>
    <w:p w:rsidR="00B4415F" w:rsidRDefault="00B4415F" w:rsidP="00B4415F">
      <w:pPr>
        <w:spacing w:after="0" w:line="360" w:lineRule="auto"/>
        <w:ind w:left="-810" w:right="26" w:firstLine="540"/>
        <w:jc w:val="both"/>
        <w:rPr>
          <w:rFonts w:ascii="GHEA Grapalat" w:hAnsi="GHEA Grapalat" w:cs="GHEA Grapalat"/>
          <w:bCs/>
          <w:iCs/>
          <w:sz w:val="24"/>
          <w:szCs w:val="24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Հաշվի առնելով </w:t>
      </w:r>
      <w:r>
        <w:rPr>
          <w:rFonts w:ascii="GHEA Grapalat" w:hAnsi="GHEA Grapalat" w:cs="GHEA Grapalat"/>
          <w:bCs/>
          <w:iCs/>
          <w:sz w:val="24"/>
          <w:szCs w:val="24"/>
        </w:rPr>
        <w:t>վերը նշվածը, Կոմիտեն նախաձեռնել է հիմնական փոփոխությունների օրենսդրական փաթեթի մշակում՝ ՀՀ կառավարության 2015 թվականի մարտի 19-ի N596-Ն որոշման կարգավորումների շրջանակներում:</w:t>
      </w:r>
    </w:p>
    <w:p w:rsidR="00B4415F" w:rsidRPr="005C1361" w:rsidRDefault="00B4415F" w:rsidP="00B4415F">
      <w:pPr>
        <w:pStyle w:val="ListParagraph"/>
        <w:numPr>
          <w:ilvl w:val="0"/>
          <w:numId w:val="5"/>
        </w:numPr>
        <w:spacing w:line="360" w:lineRule="auto"/>
        <w:ind w:right="26"/>
        <w:jc w:val="both"/>
        <w:rPr>
          <w:rFonts w:ascii="GHEA Grapalat" w:hAnsi="GHEA Grapalat" w:cs="GHEA Grapalat"/>
          <w:bCs/>
          <w:iCs/>
          <w:szCs w:val="24"/>
          <w:lang w:val="hy-AM"/>
        </w:rPr>
      </w:pPr>
      <w:r w:rsidRPr="005C1361">
        <w:rPr>
          <w:rFonts w:ascii="GHEA Grapalat" w:hAnsi="GHEA Grapalat" w:cs="GHEA Grapalat"/>
          <w:bCs/>
          <w:iCs/>
          <w:szCs w:val="24"/>
          <w:lang w:val="hy-AM"/>
        </w:rPr>
        <w:t>ըստ ռիսկայության աստիճանի</w:t>
      </w:r>
      <w:r w:rsidRPr="005C1361">
        <w:rPr>
          <w:rFonts w:ascii="GHEA Grapalat" w:hAnsi="GHEA Grapalat" w:cs="GHEA Grapalat"/>
          <w:bCs/>
          <w:iCs/>
          <w:szCs w:val="24"/>
        </w:rPr>
        <w:t xml:space="preserve"> և նախատեսվող հատակագծային լուծումների՝</w:t>
      </w:r>
      <w:r w:rsidRPr="005C1361">
        <w:rPr>
          <w:rFonts w:ascii="GHEA Grapalat" w:hAnsi="GHEA Grapalat" w:cs="GHEA Grapalat"/>
          <w:bCs/>
          <w:iCs/>
          <w:szCs w:val="24"/>
          <w:lang w:val="hy-AM"/>
        </w:rPr>
        <w:t xml:space="preserve"> էլեկտրամոբիլիների լիցքավորման </w:t>
      </w:r>
      <w:r w:rsidRPr="005C1361">
        <w:rPr>
          <w:rFonts w:ascii="GHEA Grapalat" w:hAnsi="GHEA Grapalat" w:cs="GHEA Grapalat"/>
          <w:bCs/>
          <w:iCs/>
          <w:szCs w:val="24"/>
        </w:rPr>
        <w:t xml:space="preserve">վերգետնյա և ստորգետնյա </w:t>
      </w:r>
      <w:r w:rsidRPr="005C1361">
        <w:rPr>
          <w:rFonts w:ascii="GHEA Grapalat" w:hAnsi="GHEA Grapalat" w:cs="GHEA Grapalat"/>
          <w:bCs/>
          <w:iCs/>
          <w:szCs w:val="24"/>
          <w:lang w:val="hy-AM"/>
        </w:rPr>
        <w:t xml:space="preserve">կայանների </w:t>
      </w:r>
      <w:r>
        <w:rPr>
          <w:rFonts w:ascii="GHEA Grapalat" w:hAnsi="GHEA Grapalat" w:cs="GHEA Grapalat"/>
          <w:bCs/>
          <w:iCs/>
          <w:szCs w:val="24"/>
          <w:lang w:val="en-US"/>
        </w:rPr>
        <w:t xml:space="preserve">տեղադրման </w:t>
      </w:r>
      <w:r w:rsidRPr="005C1361">
        <w:rPr>
          <w:rFonts w:ascii="GHEA Grapalat" w:hAnsi="GHEA Grapalat" w:cs="GHEA Grapalat"/>
          <w:bCs/>
          <w:iCs/>
          <w:szCs w:val="24"/>
          <w:lang w:val="hy-AM"/>
        </w:rPr>
        <w:t>դասակարգում</w:t>
      </w:r>
      <w:r>
        <w:rPr>
          <w:rFonts w:ascii="GHEA Grapalat" w:hAnsi="GHEA Grapalat" w:cs="GHEA Grapalat"/>
          <w:bCs/>
          <w:iCs/>
          <w:szCs w:val="24"/>
          <w:lang w:val="en-US"/>
        </w:rPr>
        <w:t>,</w:t>
      </w:r>
    </w:p>
    <w:p w:rsidR="00B4415F" w:rsidRPr="005C1361" w:rsidRDefault="00B4415F" w:rsidP="00B4415F">
      <w:pPr>
        <w:pStyle w:val="ListParagraph"/>
        <w:numPr>
          <w:ilvl w:val="0"/>
          <w:numId w:val="5"/>
        </w:numPr>
        <w:spacing w:line="360" w:lineRule="auto"/>
        <w:ind w:right="26"/>
        <w:jc w:val="both"/>
        <w:rPr>
          <w:rFonts w:ascii="GHEA Grapalat" w:hAnsi="GHEA Grapalat" w:cs="GHEA Grapalat"/>
          <w:bCs/>
          <w:iCs/>
          <w:szCs w:val="24"/>
          <w:lang w:val="hy-AM"/>
        </w:rPr>
      </w:pPr>
      <w:r w:rsidRPr="00C97475">
        <w:rPr>
          <w:rFonts w:ascii="GHEA Grapalat" w:hAnsi="GHEA Grapalat" w:cs="GHEA Grapalat"/>
          <w:bCs/>
          <w:iCs/>
          <w:szCs w:val="24"/>
          <w:lang w:val="hy-AM"/>
        </w:rPr>
        <w:t>ՀՀ պետական և համայնքային բյուջեների միջոցների հաշվին իրականացվող շինարարական ծրագրերի տեխնիկական պայմանների ձեռքբերման համար՝  պետական և համայնքային պատվիրատուներին վերապահվող  պարտադիր պարտավորություններ,</w:t>
      </w:r>
    </w:p>
    <w:p w:rsidR="00B4415F" w:rsidRPr="001600EB" w:rsidRDefault="00B4415F" w:rsidP="00B4415F">
      <w:pPr>
        <w:pStyle w:val="ListParagraph"/>
        <w:numPr>
          <w:ilvl w:val="0"/>
          <w:numId w:val="5"/>
        </w:numPr>
        <w:spacing w:line="360" w:lineRule="auto"/>
        <w:ind w:right="26"/>
        <w:jc w:val="both"/>
        <w:rPr>
          <w:rFonts w:ascii="GHEA Grapalat" w:hAnsi="GHEA Grapalat" w:cs="GHEA Grapalat"/>
          <w:bCs/>
          <w:iCs/>
          <w:szCs w:val="24"/>
          <w:lang w:val="hy-AM"/>
        </w:rPr>
      </w:pPr>
      <w:r w:rsidRPr="00C97475">
        <w:rPr>
          <w:rFonts w:ascii="GHEA Grapalat" w:hAnsi="GHEA Grapalat" w:cs="GHEA Grapalat"/>
          <w:bCs/>
          <w:iCs/>
          <w:szCs w:val="24"/>
          <w:lang w:val="hy-AM"/>
        </w:rPr>
        <w:t xml:space="preserve"> Բնակելի նշանակության շենքերում բ</w:t>
      </w:r>
      <w:r w:rsidRPr="008B6572">
        <w:rPr>
          <w:rFonts w:ascii="GHEA Grapalat" w:hAnsi="GHEA Grapalat" w:cs="GHEA Grapalat"/>
          <w:bCs/>
          <w:iCs/>
          <w:szCs w:val="24"/>
          <w:lang w:val="hy-AM"/>
        </w:rPr>
        <w:t>ջջային կապի</w:t>
      </w:r>
      <w:r w:rsidRPr="00C97475">
        <w:rPr>
          <w:rFonts w:ascii="GHEA Grapalat" w:hAnsi="GHEA Grapalat" w:cs="GHEA Grapalat"/>
          <w:bCs/>
          <w:iCs/>
          <w:szCs w:val="24"/>
          <w:lang w:val="hy-AM"/>
        </w:rPr>
        <w:t xml:space="preserve"> սարքերի տեղադրման, ինչպես նաև  ազատ հողատարածքներում  բազմակի օգտագործման օրինակելի նախագծերով նախատեսված բ</w:t>
      </w:r>
      <w:r w:rsidRPr="008B6572">
        <w:rPr>
          <w:rFonts w:ascii="GHEA Grapalat" w:hAnsi="GHEA Grapalat" w:cs="GHEA Grapalat"/>
          <w:bCs/>
          <w:iCs/>
          <w:szCs w:val="24"/>
          <w:lang w:val="hy-AM"/>
        </w:rPr>
        <w:t>ջջային կապի</w:t>
      </w:r>
      <w:r w:rsidRPr="00C97475">
        <w:rPr>
          <w:rFonts w:ascii="GHEA Grapalat" w:hAnsi="GHEA Grapalat" w:cs="GHEA Grapalat"/>
          <w:bCs/>
          <w:iCs/>
          <w:szCs w:val="24"/>
          <w:lang w:val="hy-AM"/>
        </w:rPr>
        <w:t xml:space="preserve"> դաշտային</w:t>
      </w:r>
      <w:r w:rsidRPr="008B6572">
        <w:rPr>
          <w:rFonts w:ascii="GHEA Grapalat" w:hAnsi="GHEA Grapalat" w:cs="GHEA Grapalat"/>
          <w:bCs/>
          <w:iCs/>
          <w:szCs w:val="24"/>
          <w:lang w:val="hy-AM"/>
        </w:rPr>
        <w:t xml:space="preserve"> կայան</w:t>
      </w:r>
      <w:r w:rsidRPr="00C97475">
        <w:rPr>
          <w:rFonts w:ascii="GHEA Grapalat" w:hAnsi="GHEA Grapalat" w:cs="GHEA Grapalat"/>
          <w:bCs/>
          <w:iCs/>
          <w:szCs w:val="24"/>
          <w:lang w:val="hy-AM"/>
        </w:rPr>
        <w:t>ք</w:t>
      </w:r>
      <w:r w:rsidRPr="008B6572">
        <w:rPr>
          <w:rFonts w:ascii="GHEA Grapalat" w:hAnsi="GHEA Grapalat" w:cs="GHEA Grapalat"/>
          <w:bCs/>
          <w:iCs/>
          <w:szCs w:val="24"/>
          <w:lang w:val="hy-AM"/>
        </w:rPr>
        <w:t>ներ</w:t>
      </w:r>
      <w:r w:rsidRPr="00C97475">
        <w:rPr>
          <w:rFonts w:ascii="GHEA Grapalat" w:hAnsi="GHEA Grapalat" w:cs="GHEA Grapalat"/>
          <w:bCs/>
          <w:iCs/>
          <w:szCs w:val="24"/>
          <w:lang w:val="hy-AM"/>
        </w:rPr>
        <w:t>ի</w:t>
      </w:r>
      <w:r w:rsidRPr="008B6572">
        <w:rPr>
          <w:rFonts w:ascii="GHEA Grapalat" w:hAnsi="GHEA Grapalat" w:cs="GHEA Grapalat"/>
          <w:bCs/>
          <w:iCs/>
          <w:szCs w:val="24"/>
          <w:lang w:val="hy-AM"/>
        </w:rPr>
        <w:t xml:space="preserve"> </w:t>
      </w:r>
      <w:r w:rsidRPr="00C97475">
        <w:rPr>
          <w:rFonts w:ascii="GHEA Grapalat" w:hAnsi="GHEA Grapalat" w:cs="GHEA Grapalat"/>
          <w:bCs/>
          <w:iCs/>
          <w:szCs w:val="24"/>
          <w:lang w:val="hy-AM"/>
        </w:rPr>
        <w:t>տեղադրման/նորոգման/արդիականացման պարզեցված ընթացակարգ</w:t>
      </w:r>
      <w:r w:rsidRPr="008B6572">
        <w:rPr>
          <w:rFonts w:ascii="GHEA Grapalat" w:hAnsi="GHEA Grapalat" w:cs="GHEA Grapalat"/>
          <w:bCs/>
          <w:iCs/>
          <w:szCs w:val="24"/>
          <w:lang w:val="hy-AM"/>
        </w:rPr>
        <w:t xml:space="preserve"> </w:t>
      </w:r>
      <w:r w:rsidRPr="00C97475">
        <w:rPr>
          <w:rFonts w:ascii="GHEA Grapalat" w:hAnsi="GHEA Grapalat" w:cs="GHEA Grapalat"/>
          <w:bCs/>
          <w:iCs/>
          <w:szCs w:val="24"/>
          <w:lang w:val="hy-AM"/>
        </w:rPr>
        <w:t xml:space="preserve">և </w:t>
      </w:r>
      <w:r w:rsidRPr="008B6572">
        <w:rPr>
          <w:rFonts w:ascii="GHEA Grapalat" w:hAnsi="GHEA Grapalat" w:cs="GHEA Grapalat"/>
          <w:bCs/>
          <w:iCs/>
          <w:szCs w:val="24"/>
          <w:lang w:val="hy-AM"/>
        </w:rPr>
        <w:t>ըստ ռիսկայնության աստիճանի</w:t>
      </w:r>
      <w:r w:rsidRPr="00C97475">
        <w:rPr>
          <w:rFonts w:ascii="GHEA Grapalat" w:hAnsi="GHEA Grapalat" w:cs="GHEA Grapalat"/>
          <w:bCs/>
          <w:iCs/>
          <w:szCs w:val="24"/>
          <w:lang w:val="hy-AM"/>
        </w:rPr>
        <w:t xml:space="preserve"> դասակարգում (միջին և միջինից բարձր),</w:t>
      </w:r>
    </w:p>
    <w:p w:rsidR="00B4415F" w:rsidRPr="005C1361" w:rsidRDefault="00B4415F" w:rsidP="00B4415F">
      <w:pPr>
        <w:pStyle w:val="ListParagraph"/>
        <w:numPr>
          <w:ilvl w:val="0"/>
          <w:numId w:val="5"/>
        </w:numPr>
        <w:spacing w:line="360" w:lineRule="auto"/>
        <w:ind w:right="26"/>
        <w:jc w:val="both"/>
        <w:rPr>
          <w:rFonts w:ascii="GHEA Grapalat" w:hAnsi="GHEA Grapalat" w:cs="GHEA Grapalat"/>
          <w:bCs/>
          <w:iCs/>
          <w:szCs w:val="24"/>
          <w:lang w:val="hy-AM"/>
        </w:rPr>
      </w:pPr>
      <w:r w:rsidRPr="00E8549D">
        <w:rPr>
          <w:rFonts w:ascii="GHEA Grapalat" w:hAnsi="GHEA Grapalat" w:cs="GHEA Grapalat"/>
          <w:bCs/>
          <w:iCs/>
          <w:szCs w:val="24"/>
          <w:lang w:val="hy-AM"/>
        </w:rPr>
        <w:lastRenderedPageBreak/>
        <w:t>Ավարտական, շահագործման և ընդունող հանձնաժողովի ակտերի օրինակելի ձևերի լրացման պարզեցված պայմաններ:</w:t>
      </w:r>
    </w:p>
    <w:p w:rsidR="00B4415F" w:rsidRDefault="00B4415F" w:rsidP="00B4415F">
      <w:pPr>
        <w:spacing w:after="0" w:line="360" w:lineRule="auto"/>
        <w:ind w:left="-270" w:right="-365" w:hanging="9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>4.</w:t>
      </w:r>
      <w:r w:rsidRPr="00C56F85"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 xml:space="preserve"> Կապը ռազմավարական փաստաթղթերի հետ</w:t>
      </w:r>
    </w:p>
    <w:p w:rsidR="00B4415F" w:rsidRDefault="00B4415F" w:rsidP="00B4415F">
      <w:pPr>
        <w:pStyle w:val="mechtex"/>
        <w:spacing w:line="360" w:lineRule="auto"/>
        <w:ind w:left="-810" w:firstLine="450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  <w:r w:rsidRPr="00C56F85">
        <w:rPr>
          <w:rFonts w:ascii="GHEA Grapalat" w:hAnsi="GHEA Grapalat" w:cs="Times New Roman"/>
          <w:sz w:val="24"/>
          <w:szCs w:val="20"/>
          <w:lang w:val="af-ZA" w:eastAsia="en-US"/>
        </w:rPr>
        <w:t xml:space="preserve">- </w:t>
      </w:r>
      <w:r>
        <w:rPr>
          <w:rFonts w:ascii="GHEA Grapalat" w:hAnsi="GHEA Grapalat" w:cs="Times New Roman"/>
          <w:sz w:val="24"/>
          <w:szCs w:val="20"/>
          <w:lang w:val="af-ZA" w:eastAsia="en-US"/>
        </w:rPr>
        <w:t>ՀՀ կառավարության 2021 թվականի օգոստոսի 18-ի N 1363-Ա որոշում,</w:t>
      </w:r>
    </w:p>
    <w:p w:rsidR="00B4415F" w:rsidRPr="00275CC4" w:rsidRDefault="00B4415F" w:rsidP="00B4415F">
      <w:pPr>
        <w:pStyle w:val="mechtex"/>
        <w:spacing w:line="360" w:lineRule="auto"/>
        <w:ind w:left="-810" w:firstLine="450"/>
        <w:jc w:val="both"/>
        <w:rPr>
          <w:rFonts w:ascii="GHEA Grapalat" w:hAnsi="GHEA Grapalat" w:cs="Times New Roman"/>
          <w:i/>
          <w:sz w:val="24"/>
          <w:szCs w:val="20"/>
          <w:lang w:val="af-ZA" w:eastAsia="en-US"/>
        </w:rPr>
      </w:pPr>
      <w:r w:rsidRPr="00205321">
        <w:rPr>
          <w:rFonts w:ascii="GHEA Grapalat" w:hAnsi="GHEA Grapalat" w:cs="Times New Roman"/>
          <w:b/>
          <w:sz w:val="24"/>
          <w:szCs w:val="20"/>
          <w:lang w:val="af-ZA" w:eastAsia="en-US"/>
        </w:rPr>
        <w:t>Կետ 2.7</w:t>
      </w:r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r w:rsidRPr="00275CC4">
        <w:rPr>
          <w:rFonts w:ascii="GHEA Grapalat" w:hAnsi="GHEA Grapalat" w:cs="Times New Roman"/>
          <w:i/>
          <w:sz w:val="24"/>
          <w:szCs w:val="20"/>
          <w:lang w:val="af-ZA" w:eastAsia="en-US"/>
        </w:rPr>
        <w:t>Շարունակել քաղաքաշինական գործունեության պետական կարգավորման միջոց հանդիսացող նորմատիվ փաստաթղթերի մշակումն ու շարունակական արդիականացումը, դրանց ներդաշնակեցումը միջազգային նորմերին,.....գործարար միջավայրի բարելավումը ապահովելու նպատակով:</w:t>
      </w:r>
    </w:p>
    <w:p w:rsidR="00B4415F" w:rsidRDefault="00B4415F" w:rsidP="00B4415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-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ՀՀ կառավարության ապրիլի 8-ի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&lt;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ՀՀ քաղաքաշինության բնագավառի ռազմավարական ծրագիրը և ծրագրի իրագործումն ապահովող միջոցառումների ցանկը հաստատելու մասին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&gt;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             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N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531-Լ որոշում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:</w:t>
      </w:r>
    </w:p>
    <w:p w:rsidR="00B4415F" w:rsidRPr="00275CC4" w:rsidRDefault="00B4415F" w:rsidP="00B4415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i/>
          <w:sz w:val="24"/>
          <w:szCs w:val="24"/>
          <w:lang w:val="af-ZA" w:eastAsia="en-US"/>
        </w:rPr>
      </w:pPr>
      <w:r w:rsidRPr="00275CC4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Կետ 13.</w:t>
      </w:r>
      <w:r w:rsidRPr="00275CC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Cs/>
          <w:i/>
          <w:sz w:val="24"/>
          <w:szCs w:val="24"/>
          <w:lang w:val="af-ZA"/>
        </w:rPr>
        <w:t>Հ</w:t>
      </w:r>
      <w:r w:rsidRPr="00275CC4">
        <w:rPr>
          <w:rFonts w:ascii="GHEA Grapalat" w:eastAsiaTheme="minorHAnsi" w:hAnsi="GHEA Grapalat"/>
          <w:bCs/>
          <w:i/>
          <w:sz w:val="24"/>
          <w:szCs w:val="24"/>
          <w:lang w:val="af-ZA"/>
        </w:rPr>
        <w:t>իմնական ուղղությունների համար անհրաժեշտ գործողությունների համախումբը կամ նախապայմանը հետևյալն է՝</w:t>
      </w:r>
    </w:p>
    <w:p w:rsidR="00B4415F" w:rsidRPr="00205321" w:rsidRDefault="00B4415F" w:rsidP="00B4415F">
      <w:pPr>
        <w:shd w:val="clear" w:color="auto" w:fill="FFFFFF"/>
        <w:spacing w:after="0" w:line="360" w:lineRule="auto"/>
        <w:ind w:left="-810" w:firstLine="450"/>
        <w:jc w:val="both"/>
        <w:rPr>
          <w:rFonts w:ascii="GHEA Grapalat" w:hAnsi="GHEA Grapalat"/>
          <w:bCs/>
          <w:i/>
          <w:sz w:val="24"/>
          <w:szCs w:val="24"/>
          <w:lang w:val="af-ZA"/>
        </w:rPr>
      </w:pPr>
      <w:r>
        <w:rPr>
          <w:rFonts w:ascii="GHEA Grapalat" w:hAnsi="GHEA Grapalat"/>
          <w:bCs/>
          <w:i/>
          <w:sz w:val="24"/>
          <w:szCs w:val="24"/>
          <w:lang w:val="af-ZA"/>
        </w:rPr>
        <w:t>-</w:t>
      </w:r>
      <w:r w:rsidRPr="00205321">
        <w:rPr>
          <w:rFonts w:ascii="GHEA Grapalat" w:hAnsi="GHEA Grapalat"/>
          <w:bCs/>
          <w:i/>
          <w:sz w:val="24"/>
          <w:szCs w:val="24"/>
          <w:lang w:val="af-ZA"/>
        </w:rPr>
        <w:t xml:space="preserve"> ոլորտի օրենսդրական, ենթաօրենսդրական ակտերի, նորմատիվատեխնիկական փաստաթղթերի համակարգի արդիականացումը</w:t>
      </w:r>
      <w:r>
        <w:rPr>
          <w:rFonts w:ascii="GHEA Grapalat" w:hAnsi="GHEA Grapalat"/>
          <w:bCs/>
          <w:i/>
          <w:sz w:val="24"/>
          <w:szCs w:val="24"/>
          <w:lang w:val="af-ZA"/>
        </w:rPr>
        <w:t>:</w:t>
      </w:r>
    </w:p>
    <w:p w:rsidR="00B4415F" w:rsidRDefault="00B4415F" w:rsidP="00B4415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Միաժամանակ հարկ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է նշել, որ 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&lt;</w:t>
      </w:r>
      <w:r w:rsidRPr="00BB6E9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Հայաստանի Հանրապետության կառավարության 2015 թվականի մարտի 19-ի N 596-Ն որոշման մեջ 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լրացումներ</w:t>
      </w:r>
      <w:r w:rsidRPr="00BB6E9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և</w:t>
      </w:r>
      <w:r w:rsidRPr="00BB6E9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փոփոխություն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BB6E9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կատարելու մասին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&gt;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                                    </w:t>
      </w:r>
      <w:r w:rsidRPr="00EA6B9F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Հայաստանի Հանրապետության </w:t>
      </w:r>
      <w:r w:rsidRPr="00EA6B9F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կառավարության որոշման նախագծի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ընդունման կապակցությամբ լրացուցիչ ֆինանսական միջոցների անհրաժեշտություն, պետական բյուջեի եկամուտներում  և ծախսերում փոփոխություններ չեն սպասվում։</w:t>
      </w:r>
    </w:p>
    <w:p w:rsidR="00B4415F" w:rsidRDefault="00B4415F" w:rsidP="00B4415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Նախագծի ընդունումը չի հանգեցնում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լրացուցիչ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ֆինանսական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միջոցների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անհրաժեշտության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և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պետական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բյուջեի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եկամուտներում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և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ծախսերում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50DE3">
        <w:rPr>
          <w:rFonts w:ascii="GHEA Grapalat" w:eastAsiaTheme="minorHAnsi" w:hAnsi="GHEA Grapalat"/>
          <w:bCs/>
          <w:sz w:val="24"/>
          <w:szCs w:val="24"/>
          <w:lang w:eastAsia="en-US"/>
        </w:rPr>
        <w:t>փոփոխությունների</w:t>
      </w:r>
      <w:r w:rsidRPr="00E8549D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:</w:t>
      </w:r>
    </w:p>
    <w:p w:rsidR="00B4415F" w:rsidRDefault="00B4415F" w:rsidP="00B4415F">
      <w:pPr>
        <w:pStyle w:val="mechtex"/>
        <w:spacing w:line="360" w:lineRule="auto"/>
        <w:ind w:left="-270" w:firstLine="54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</w:p>
    <w:p w:rsidR="00B4415F" w:rsidRPr="00D50DE3" w:rsidRDefault="00B4415F" w:rsidP="00B4415F">
      <w:pPr>
        <w:spacing w:line="360" w:lineRule="auto"/>
        <w:ind w:right="26"/>
        <w:jc w:val="both"/>
        <w:rPr>
          <w:rFonts w:ascii="GHEA Grapalat" w:hAnsi="GHEA Grapalat" w:cs="GHEA Grapalat"/>
          <w:b/>
          <w:bCs/>
          <w:lang w:val="fr-FR"/>
        </w:rPr>
      </w:pPr>
      <w:r w:rsidRPr="00E8549D">
        <w:rPr>
          <w:rFonts w:ascii="GHEA Grapalat" w:hAnsi="GHEA Grapalat" w:cs="GHEA Grapalat"/>
          <w:b/>
          <w:bCs/>
          <w:lang w:val="af-ZA"/>
        </w:rPr>
        <w:t>5.</w:t>
      </w:r>
      <w:r w:rsidRPr="00D50DE3">
        <w:rPr>
          <w:rFonts w:ascii="GHEA Grapalat" w:hAnsi="GHEA Grapalat" w:cs="GHEA Grapalat"/>
          <w:b/>
          <w:bCs/>
          <w:lang w:val="hy-AM"/>
        </w:rPr>
        <w:t>Նախագծի</w:t>
      </w:r>
      <w:r w:rsidRPr="00D50DE3">
        <w:rPr>
          <w:rFonts w:ascii="GHEA Grapalat" w:hAnsi="GHEA Grapalat" w:cs="GHEA Grapalat"/>
          <w:b/>
          <w:bCs/>
          <w:lang w:val="fr-FR"/>
        </w:rPr>
        <w:t xml:space="preserve"> </w:t>
      </w:r>
      <w:r w:rsidRPr="00D50DE3">
        <w:rPr>
          <w:rFonts w:ascii="GHEA Grapalat" w:hAnsi="GHEA Grapalat" w:cs="GHEA Grapalat"/>
          <w:b/>
          <w:bCs/>
          <w:lang w:val="hy-AM"/>
        </w:rPr>
        <w:t>մշակման</w:t>
      </w:r>
      <w:r w:rsidRPr="00D50DE3">
        <w:rPr>
          <w:rFonts w:ascii="GHEA Grapalat" w:hAnsi="GHEA Grapalat" w:cs="GHEA Grapalat"/>
          <w:b/>
          <w:bCs/>
          <w:lang w:val="fr-FR"/>
        </w:rPr>
        <w:t xml:space="preserve"> </w:t>
      </w:r>
      <w:r w:rsidRPr="00D50DE3">
        <w:rPr>
          <w:rFonts w:ascii="GHEA Grapalat" w:hAnsi="GHEA Grapalat" w:cs="GHEA Grapalat"/>
          <w:b/>
          <w:bCs/>
          <w:lang w:val="hy-AM"/>
        </w:rPr>
        <w:t>գործընթացում</w:t>
      </w:r>
      <w:r w:rsidRPr="00D50DE3">
        <w:rPr>
          <w:rFonts w:ascii="GHEA Grapalat" w:hAnsi="GHEA Grapalat" w:cs="GHEA Grapalat"/>
          <w:b/>
          <w:bCs/>
          <w:lang w:val="fr-FR"/>
        </w:rPr>
        <w:t xml:space="preserve"> </w:t>
      </w:r>
      <w:r w:rsidRPr="00D50DE3">
        <w:rPr>
          <w:rFonts w:ascii="GHEA Grapalat" w:hAnsi="GHEA Grapalat" w:cs="GHEA Grapalat"/>
          <w:b/>
          <w:bCs/>
          <w:lang w:val="hy-AM"/>
        </w:rPr>
        <w:t>ներգրավված</w:t>
      </w:r>
      <w:r w:rsidRPr="00D50DE3">
        <w:rPr>
          <w:rFonts w:ascii="GHEA Grapalat" w:hAnsi="GHEA Grapalat" w:cs="GHEA Grapalat"/>
          <w:b/>
          <w:bCs/>
          <w:lang w:val="fr-FR"/>
        </w:rPr>
        <w:t xml:space="preserve"> </w:t>
      </w:r>
      <w:r w:rsidRPr="00D50DE3">
        <w:rPr>
          <w:rFonts w:ascii="GHEA Grapalat" w:hAnsi="GHEA Grapalat" w:cs="GHEA Grapalat"/>
          <w:b/>
          <w:bCs/>
          <w:lang w:val="hy-AM"/>
        </w:rPr>
        <w:t>ինստիտուտները</w:t>
      </w:r>
      <w:r w:rsidRPr="00D50DE3">
        <w:rPr>
          <w:rFonts w:ascii="GHEA Grapalat" w:hAnsi="GHEA Grapalat" w:cs="GHEA Grapalat"/>
          <w:b/>
          <w:bCs/>
          <w:lang w:val="fr-FR"/>
        </w:rPr>
        <w:t xml:space="preserve"> </w:t>
      </w:r>
      <w:r w:rsidRPr="00D50DE3">
        <w:rPr>
          <w:rFonts w:ascii="GHEA Grapalat" w:hAnsi="GHEA Grapalat" w:cs="GHEA Grapalat"/>
          <w:b/>
          <w:bCs/>
          <w:lang w:val="hy-AM"/>
        </w:rPr>
        <w:t>և</w:t>
      </w:r>
      <w:r w:rsidRPr="00D50DE3">
        <w:rPr>
          <w:rFonts w:ascii="GHEA Grapalat" w:hAnsi="GHEA Grapalat" w:cs="GHEA Grapalat"/>
          <w:b/>
          <w:bCs/>
          <w:lang w:val="fr-FR"/>
        </w:rPr>
        <w:t xml:space="preserve"> </w:t>
      </w:r>
      <w:r w:rsidRPr="00D50DE3">
        <w:rPr>
          <w:rFonts w:ascii="GHEA Grapalat" w:hAnsi="GHEA Grapalat" w:cs="GHEA Grapalat"/>
          <w:b/>
          <w:bCs/>
          <w:lang w:val="hy-AM"/>
        </w:rPr>
        <w:t>անձինք</w:t>
      </w:r>
    </w:p>
    <w:p w:rsidR="00B4415F" w:rsidRDefault="00B4415F" w:rsidP="00B4415F">
      <w:pPr>
        <w:shd w:val="clear" w:color="auto" w:fill="FFFFFF"/>
        <w:spacing w:after="0" w:line="360" w:lineRule="auto"/>
        <w:ind w:left="-540" w:firstLine="180"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Նախագիծը մշակվել է </w:t>
      </w:r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ՀՀ քաղաքաշինության կոմիտեի </w:t>
      </w:r>
      <w:r>
        <w:rPr>
          <w:rFonts w:ascii="GHEA Grapalat" w:hAnsi="GHEA Grapalat" w:cs="GHEA Grapalat"/>
          <w:sz w:val="24"/>
          <w:szCs w:val="24"/>
          <w:lang w:val="es-ES" w:eastAsia="ru-RU"/>
        </w:rPr>
        <w:t>կողմից:</w:t>
      </w:r>
    </w:p>
    <w:p w:rsidR="00B4415F" w:rsidRPr="003102DF" w:rsidRDefault="00B4415F" w:rsidP="00B4415F">
      <w:pPr>
        <w:shd w:val="clear" w:color="auto" w:fill="FFFFFF"/>
        <w:spacing w:after="0" w:line="360" w:lineRule="auto"/>
        <w:ind w:hanging="90"/>
        <w:jc w:val="both"/>
        <w:rPr>
          <w:rFonts w:ascii="GHEA Grapalat" w:hAnsi="GHEA Grapalat" w:cs="GHEA Grapalat"/>
          <w:sz w:val="16"/>
          <w:szCs w:val="16"/>
          <w:lang w:val="es-ES" w:eastAsia="ru-RU"/>
        </w:rPr>
      </w:pPr>
    </w:p>
    <w:p w:rsidR="00B4415F" w:rsidRPr="00E8549D" w:rsidRDefault="00B4415F" w:rsidP="00B4415F">
      <w:pPr>
        <w:shd w:val="clear" w:color="auto" w:fill="FFFFFF"/>
        <w:spacing w:line="360" w:lineRule="auto"/>
        <w:jc w:val="both"/>
        <w:rPr>
          <w:rFonts w:ascii="GHEA Grapalat" w:hAnsi="GHEA Grapalat" w:cs="GHEA Grapalat"/>
          <w:b/>
          <w:bCs/>
          <w:lang w:val="es-ES"/>
        </w:rPr>
      </w:pPr>
      <w:r w:rsidRPr="00E8549D">
        <w:rPr>
          <w:rFonts w:ascii="GHEA Grapalat" w:hAnsi="GHEA Grapalat" w:cs="GHEA Grapalat"/>
          <w:b/>
          <w:bCs/>
          <w:lang w:val="es-ES"/>
        </w:rPr>
        <w:t>6.</w:t>
      </w:r>
      <w:r w:rsidRPr="00D50DE3">
        <w:rPr>
          <w:rFonts w:ascii="GHEA Grapalat" w:hAnsi="GHEA Grapalat" w:cs="GHEA Grapalat"/>
          <w:b/>
          <w:bCs/>
        </w:rPr>
        <w:t>Ակնկալվող</w:t>
      </w:r>
      <w:r w:rsidRPr="00D50DE3">
        <w:rPr>
          <w:rFonts w:ascii="GHEA Grapalat" w:hAnsi="GHEA Grapalat" w:cs="GHEA Grapalat"/>
          <w:b/>
          <w:bCs/>
          <w:lang w:val="fr-FR"/>
        </w:rPr>
        <w:t xml:space="preserve"> </w:t>
      </w:r>
      <w:r w:rsidRPr="00D50DE3">
        <w:rPr>
          <w:rFonts w:ascii="GHEA Grapalat" w:hAnsi="GHEA Grapalat" w:cs="GHEA Grapalat"/>
          <w:b/>
          <w:bCs/>
        </w:rPr>
        <w:t>արդյունքը</w:t>
      </w:r>
    </w:p>
    <w:p w:rsidR="00B4415F" w:rsidRPr="001F0060" w:rsidRDefault="00B4415F" w:rsidP="00B4415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hy-AM" w:eastAsia="en-US"/>
        </w:rPr>
      </w:pPr>
      <w:r>
        <w:rPr>
          <w:rFonts w:ascii="GHEA Grapalat" w:eastAsiaTheme="minorHAnsi" w:hAnsi="GHEA Grapalat"/>
          <w:bCs/>
          <w:sz w:val="24"/>
          <w:szCs w:val="24"/>
          <w:lang w:eastAsia="en-US"/>
        </w:rPr>
        <w:lastRenderedPageBreak/>
        <w:t>Շինարարական</w:t>
      </w:r>
      <w:r w:rsidRPr="00E8549D">
        <w:rPr>
          <w:rFonts w:ascii="GHEA Grapalat" w:eastAsiaTheme="minorHAnsi" w:hAnsi="GHEA Grapalat"/>
          <w:bCs/>
          <w:sz w:val="24"/>
          <w:szCs w:val="24"/>
          <w:lang w:val="es-ES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eastAsia="en-US"/>
        </w:rPr>
        <w:t>ծրագրերի</w:t>
      </w:r>
      <w:r w:rsidRPr="00E8549D">
        <w:rPr>
          <w:rFonts w:ascii="GHEA Grapalat" w:eastAsiaTheme="minorHAnsi" w:hAnsi="GHEA Grapalat"/>
          <w:bCs/>
          <w:sz w:val="24"/>
          <w:szCs w:val="24"/>
          <w:lang w:val="es-ES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eastAsia="en-US"/>
        </w:rPr>
        <w:t>իրագործման</w:t>
      </w:r>
      <w:r w:rsidRPr="00E8549D">
        <w:rPr>
          <w:rFonts w:ascii="GHEA Grapalat" w:eastAsiaTheme="minorHAnsi" w:hAnsi="GHEA Grapalat"/>
          <w:bCs/>
          <w:sz w:val="24"/>
          <w:szCs w:val="24"/>
          <w:lang w:val="es-ES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eastAsia="en-US"/>
        </w:rPr>
        <w:t>արդյունավետություն</w:t>
      </w:r>
      <w:r w:rsidRPr="00E8549D">
        <w:rPr>
          <w:rFonts w:ascii="GHEA Grapalat" w:eastAsiaTheme="minorHAnsi" w:hAnsi="GHEA Grapalat"/>
          <w:bCs/>
          <w:sz w:val="24"/>
          <w:szCs w:val="24"/>
          <w:lang w:val="es-ES" w:eastAsia="en-US"/>
        </w:rPr>
        <w:t xml:space="preserve">, </w:t>
      </w:r>
      <w:r>
        <w:rPr>
          <w:rFonts w:ascii="GHEA Grapalat" w:eastAsiaTheme="minorHAnsi" w:hAnsi="GHEA Grapalat"/>
          <w:bCs/>
          <w:sz w:val="24"/>
          <w:szCs w:val="24"/>
          <w:lang w:eastAsia="en-US"/>
        </w:rPr>
        <w:t>ընթացակարգերի</w:t>
      </w:r>
      <w:r w:rsidRPr="00E8549D">
        <w:rPr>
          <w:rFonts w:ascii="GHEA Grapalat" w:eastAsiaTheme="minorHAnsi" w:hAnsi="GHEA Grapalat"/>
          <w:bCs/>
          <w:sz w:val="24"/>
          <w:szCs w:val="24"/>
          <w:lang w:val="es-ES" w:eastAsia="en-US"/>
        </w:rPr>
        <w:t xml:space="preserve"> </w:t>
      </w:r>
      <w:r>
        <w:rPr>
          <w:rFonts w:ascii="GHEA Grapalat" w:eastAsiaTheme="minorHAnsi" w:hAnsi="GHEA Grapalat"/>
          <w:bCs/>
          <w:sz w:val="24"/>
          <w:szCs w:val="24"/>
          <w:lang w:eastAsia="en-US"/>
        </w:rPr>
        <w:t>պարզեցում</w:t>
      </w:r>
      <w:r>
        <w:rPr>
          <w:rFonts w:ascii="GHEA Grapalat" w:eastAsiaTheme="minorHAnsi" w:hAnsi="GHEA Grapalat"/>
          <w:bCs/>
          <w:sz w:val="24"/>
          <w:szCs w:val="24"/>
          <w:lang w:val="hy-AM" w:eastAsia="en-US"/>
        </w:rPr>
        <w:t>։</w:t>
      </w:r>
    </w:p>
    <w:p w:rsidR="00B4415F" w:rsidRDefault="00B4415F" w:rsidP="00B4415F">
      <w:pPr>
        <w:pStyle w:val="mechtex"/>
        <w:spacing w:line="360" w:lineRule="auto"/>
        <w:jc w:val="both"/>
        <w:rPr>
          <w:rFonts w:ascii="GHEA Grapalat" w:eastAsiaTheme="minorHAnsi" w:hAnsi="GHEA Grapalat"/>
          <w:bCs/>
          <w:sz w:val="24"/>
          <w:szCs w:val="24"/>
          <w:lang w:val="hy-AM" w:eastAsia="en-US"/>
        </w:rPr>
      </w:pPr>
    </w:p>
    <w:p w:rsidR="00B4415F" w:rsidRDefault="00B4415F" w:rsidP="00B4415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val="hy-AM" w:eastAsia="en-US"/>
        </w:rPr>
      </w:pPr>
    </w:p>
    <w:p w:rsidR="001F0060" w:rsidRPr="00B4415F" w:rsidRDefault="001F0060" w:rsidP="00B4415F">
      <w:bookmarkStart w:id="0" w:name="_GoBack"/>
      <w:bookmarkEnd w:id="0"/>
    </w:p>
    <w:sectPr w:rsidR="001F0060" w:rsidRPr="00B4415F" w:rsidSect="003102DF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E0C3A"/>
    <w:multiLevelType w:val="hybridMultilevel"/>
    <w:tmpl w:val="4A7CCBA6"/>
    <w:lvl w:ilvl="0" w:tplc="D00CFC86">
      <w:start w:val="1"/>
      <w:numFmt w:val="decimal"/>
      <w:lvlText w:val="%1."/>
      <w:lvlJc w:val="left"/>
      <w:pPr>
        <w:ind w:left="12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1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7A2B27CB"/>
    <w:multiLevelType w:val="hybridMultilevel"/>
    <w:tmpl w:val="81204786"/>
    <w:lvl w:ilvl="0" w:tplc="C116FD9A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60"/>
    <w:rsid w:val="00000C95"/>
    <w:rsid w:val="000028FF"/>
    <w:rsid w:val="00021592"/>
    <w:rsid w:val="00030BDA"/>
    <w:rsid w:val="000371C9"/>
    <w:rsid w:val="00041CAC"/>
    <w:rsid w:val="000539A5"/>
    <w:rsid w:val="00084565"/>
    <w:rsid w:val="00090D96"/>
    <w:rsid w:val="00095F91"/>
    <w:rsid w:val="000C6A3A"/>
    <w:rsid w:val="000F4011"/>
    <w:rsid w:val="00127237"/>
    <w:rsid w:val="00131C44"/>
    <w:rsid w:val="00154767"/>
    <w:rsid w:val="00155EF1"/>
    <w:rsid w:val="001600EB"/>
    <w:rsid w:val="00161EF9"/>
    <w:rsid w:val="001C7BB4"/>
    <w:rsid w:val="001F0060"/>
    <w:rsid w:val="001F0FBE"/>
    <w:rsid w:val="001F1DF4"/>
    <w:rsid w:val="0020172B"/>
    <w:rsid w:val="00205321"/>
    <w:rsid w:val="0021659C"/>
    <w:rsid w:val="00220EBF"/>
    <w:rsid w:val="002334A4"/>
    <w:rsid w:val="00275CC4"/>
    <w:rsid w:val="002A2EFC"/>
    <w:rsid w:val="002C4F45"/>
    <w:rsid w:val="002D0BFC"/>
    <w:rsid w:val="002F7FDF"/>
    <w:rsid w:val="003102DF"/>
    <w:rsid w:val="003238C0"/>
    <w:rsid w:val="003374D3"/>
    <w:rsid w:val="00342110"/>
    <w:rsid w:val="00356CF2"/>
    <w:rsid w:val="003E559D"/>
    <w:rsid w:val="0040700E"/>
    <w:rsid w:val="004379E5"/>
    <w:rsid w:val="004558B0"/>
    <w:rsid w:val="00455BE4"/>
    <w:rsid w:val="00461F86"/>
    <w:rsid w:val="00465BFE"/>
    <w:rsid w:val="0048512D"/>
    <w:rsid w:val="00497A23"/>
    <w:rsid w:val="004A2733"/>
    <w:rsid w:val="004A2A38"/>
    <w:rsid w:val="004F5369"/>
    <w:rsid w:val="004F67DF"/>
    <w:rsid w:val="004F72D5"/>
    <w:rsid w:val="00504C49"/>
    <w:rsid w:val="00534B68"/>
    <w:rsid w:val="00541011"/>
    <w:rsid w:val="005419BD"/>
    <w:rsid w:val="005532B3"/>
    <w:rsid w:val="0059039F"/>
    <w:rsid w:val="005A3EC8"/>
    <w:rsid w:val="005C1361"/>
    <w:rsid w:val="005C598E"/>
    <w:rsid w:val="005E1EEE"/>
    <w:rsid w:val="006145EF"/>
    <w:rsid w:val="00630409"/>
    <w:rsid w:val="00641028"/>
    <w:rsid w:val="00641785"/>
    <w:rsid w:val="006417DF"/>
    <w:rsid w:val="00644F7B"/>
    <w:rsid w:val="00651147"/>
    <w:rsid w:val="00651D95"/>
    <w:rsid w:val="00683F82"/>
    <w:rsid w:val="00697881"/>
    <w:rsid w:val="006A02F3"/>
    <w:rsid w:val="006A687D"/>
    <w:rsid w:val="006A7C3B"/>
    <w:rsid w:val="006B7EA0"/>
    <w:rsid w:val="006C0A3B"/>
    <w:rsid w:val="006C667F"/>
    <w:rsid w:val="006D6783"/>
    <w:rsid w:val="00700B14"/>
    <w:rsid w:val="00716738"/>
    <w:rsid w:val="007307D7"/>
    <w:rsid w:val="00754C5F"/>
    <w:rsid w:val="007674D7"/>
    <w:rsid w:val="00784960"/>
    <w:rsid w:val="007A6515"/>
    <w:rsid w:val="007C51B1"/>
    <w:rsid w:val="007D0B3A"/>
    <w:rsid w:val="007D746B"/>
    <w:rsid w:val="007E06B1"/>
    <w:rsid w:val="0081134C"/>
    <w:rsid w:val="00820830"/>
    <w:rsid w:val="00851EDE"/>
    <w:rsid w:val="00854A97"/>
    <w:rsid w:val="0088221F"/>
    <w:rsid w:val="008B6572"/>
    <w:rsid w:val="008D0223"/>
    <w:rsid w:val="008F3D1B"/>
    <w:rsid w:val="009B0644"/>
    <w:rsid w:val="009C446C"/>
    <w:rsid w:val="009D7BF9"/>
    <w:rsid w:val="009F1F13"/>
    <w:rsid w:val="00A20646"/>
    <w:rsid w:val="00A34F13"/>
    <w:rsid w:val="00A465BA"/>
    <w:rsid w:val="00A56BEF"/>
    <w:rsid w:val="00A94B22"/>
    <w:rsid w:val="00AA1C3B"/>
    <w:rsid w:val="00AD2C70"/>
    <w:rsid w:val="00AF0385"/>
    <w:rsid w:val="00AF3769"/>
    <w:rsid w:val="00B032A9"/>
    <w:rsid w:val="00B1101F"/>
    <w:rsid w:val="00B14DF9"/>
    <w:rsid w:val="00B179A0"/>
    <w:rsid w:val="00B244FF"/>
    <w:rsid w:val="00B42D39"/>
    <w:rsid w:val="00B4415F"/>
    <w:rsid w:val="00B723D2"/>
    <w:rsid w:val="00B7455C"/>
    <w:rsid w:val="00BA255A"/>
    <w:rsid w:val="00BB6E94"/>
    <w:rsid w:val="00BC5F2B"/>
    <w:rsid w:val="00BC6D0F"/>
    <w:rsid w:val="00BE0C9F"/>
    <w:rsid w:val="00BF4169"/>
    <w:rsid w:val="00BF752D"/>
    <w:rsid w:val="00C02B28"/>
    <w:rsid w:val="00C234F7"/>
    <w:rsid w:val="00C26B0A"/>
    <w:rsid w:val="00C37940"/>
    <w:rsid w:val="00C56F85"/>
    <w:rsid w:val="00C632E5"/>
    <w:rsid w:val="00C661F9"/>
    <w:rsid w:val="00CC6C18"/>
    <w:rsid w:val="00CD3A60"/>
    <w:rsid w:val="00CE50DA"/>
    <w:rsid w:val="00CF1E31"/>
    <w:rsid w:val="00CF4B28"/>
    <w:rsid w:val="00D245F3"/>
    <w:rsid w:val="00D37067"/>
    <w:rsid w:val="00D50DE3"/>
    <w:rsid w:val="00D80222"/>
    <w:rsid w:val="00D83B11"/>
    <w:rsid w:val="00DB6C87"/>
    <w:rsid w:val="00DE34A9"/>
    <w:rsid w:val="00DE7F6B"/>
    <w:rsid w:val="00DF3AB2"/>
    <w:rsid w:val="00DF5234"/>
    <w:rsid w:val="00E046C3"/>
    <w:rsid w:val="00E05B04"/>
    <w:rsid w:val="00E1642F"/>
    <w:rsid w:val="00E16682"/>
    <w:rsid w:val="00E53CD7"/>
    <w:rsid w:val="00E54578"/>
    <w:rsid w:val="00E62A7F"/>
    <w:rsid w:val="00E62E11"/>
    <w:rsid w:val="00E67BA4"/>
    <w:rsid w:val="00E8260E"/>
    <w:rsid w:val="00E87157"/>
    <w:rsid w:val="00E947E0"/>
    <w:rsid w:val="00EA6B9F"/>
    <w:rsid w:val="00EB16B3"/>
    <w:rsid w:val="00EB7209"/>
    <w:rsid w:val="00EC018C"/>
    <w:rsid w:val="00EC739A"/>
    <w:rsid w:val="00EF7048"/>
    <w:rsid w:val="00F635F0"/>
    <w:rsid w:val="00F66405"/>
    <w:rsid w:val="00F902EC"/>
    <w:rsid w:val="00FC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DBF8CD-A70F-4928-BA5D-2D4B6169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6A02F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C5F2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2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CBCD6-C19C-41DC-95AD-DD49C2DFD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6</Pages>
  <Words>831</Words>
  <Characters>6904</Characters>
  <Application>Microsoft Office Word</Application>
  <DocSecurity>0</DocSecurity>
  <Lines>142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https://mul2.gov.am/tasks/1130776/oneclick?token=d4e39f18e73faef24952f931d54aced8</cp:keywords>
  <dc:description/>
  <cp:lastModifiedBy>Ashot Tsormutyan</cp:lastModifiedBy>
  <cp:revision>59</cp:revision>
  <dcterms:created xsi:type="dcterms:W3CDTF">2024-05-23T05:15:00Z</dcterms:created>
  <dcterms:modified xsi:type="dcterms:W3CDTF">2025-04-09T10:49:00Z</dcterms:modified>
</cp:coreProperties>
</file>