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0F87C" w14:textId="7C5D9686" w:rsidR="001B184E" w:rsidRPr="002D365A" w:rsidRDefault="00373911" w:rsidP="00E50222">
      <w:pPr>
        <w:widowControl w:val="0"/>
        <w:jc w:val="center"/>
        <w:textAlignment w:val="baseline"/>
        <w:rPr>
          <w:rFonts w:ascii="GHEA Grapalat" w:hAnsi="GHEA Grapalat" w:cs="Sylfaen"/>
          <w:b/>
          <w:lang w:val="hy-AM"/>
        </w:rPr>
      </w:pPr>
      <w:r w:rsidRPr="002D365A">
        <w:rPr>
          <w:rFonts w:ascii="GHEA Grapalat" w:hAnsi="GHEA Grapalat" w:cs="Sylfaen"/>
          <w:b/>
          <w:lang w:val="hy-AM"/>
        </w:rPr>
        <w:t>ԱՄՓՈՓԱԹԵՐԹ</w:t>
      </w:r>
    </w:p>
    <w:p w14:paraId="4A2BBD00" w14:textId="1E012CBA" w:rsidR="001C575E" w:rsidRPr="00997FD1" w:rsidRDefault="001C575E" w:rsidP="00E50222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1C575E">
        <w:rPr>
          <w:rFonts w:ascii="GHEA Grapalat" w:hAnsi="GHEA Grapalat" w:cs="Sylfaen"/>
          <w:b/>
          <w:lang w:val="hy-AM"/>
        </w:rPr>
        <w:t>«ՀԱՅԱՍՏԱՆԻ ՀԱՆՐԱՊԵՏՈՒԹՅԱՆ ԵՎ ՃԱՊՈՆԻԱՅԻ ՄԻՋԵՎ ԵԿԱՄՈՒՏՆԵՐԻ ԿՐԿՆԱԿԻ ՀԱՐԿՈՒՄԸ ԲԱՑԱՌԵԼՈՒ ԵՎ ՀԱՐԿՈՒՄԻՑ ԽՈՒՍԱՓԵԼՆ ՈՒ ՇՐՋԱՆՑԵԼԸ ԿԱՆԽԵԼՈՒ ՄԱՍԻՆ» ԿՈՆՎԵՆՑԻԱ</w:t>
      </w:r>
      <w:r>
        <w:rPr>
          <w:rFonts w:ascii="GHEA Grapalat" w:hAnsi="GHEA Grapalat" w:cs="Sylfaen"/>
          <w:b/>
          <w:lang w:val="hy-AM"/>
        </w:rPr>
        <w:t>ՅԻ</w:t>
      </w: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5196" w:type="dxa"/>
        <w:tblInd w:w="279" w:type="dxa"/>
        <w:tblLook w:val="04A0" w:firstRow="1" w:lastRow="0" w:firstColumn="1" w:lastColumn="0" w:noHBand="0" w:noVBand="1"/>
      </w:tblPr>
      <w:tblGrid>
        <w:gridCol w:w="11326"/>
        <w:gridCol w:w="3870"/>
      </w:tblGrid>
      <w:tr w:rsidR="001B184E" w14:paraId="0481034F" w14:textId="77777777" w:rsidTr="00E50222">
        <w:tc>
          <w:tcPr>
            <w:tcW w:w="11326" w:type="dxa"/>
            <w:vMerge w:val="restart"/>
            <w:shd w:val="clear" w:color="auto" w:fill="D9D9D9" w:themeFill="background1" w:themeFillShade="D9"/>
          </w:tcPr>
          <w:p w14:paraId="0FF9C001" w14:textId="6DEA2798" w:rsidR="001B184E" w:rsidRDefault="002E59E7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7B479737" w14:textId="3D70B1BE" w:rsidR="001B184E" w:rsidRPr="00510CAD" w:rsidRDefault="004328CE" w:rsidP="004328C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14</w:t>
            </w:r>
            <w:r w:rsidR="00F32FF4">
              <w:rPr>
                <w:rFonts w:ascii="GHEA Grapalat" w:hAnsi="GHEA Grapalat"/>
                <w:bCs/>
                <w:lang w:val="hy-AM"/>
              </w:rPr>
              <w:t>.0</w:t>
            </w:r>
            <w:r>
              <w:rPr>
                <w:rFonts w:ascii="GHEA Grapalat" w:hAnsi="GHEA Grapalat"/>
                <w:bCs/>
                <w:lang w:val="hy-AM"/>
              </w:rPr>
              <w:t>1</w:t>
            </w:r>
            <w:r w:rsidR="002E59E7">
              <w:rPr>
                <w:rFonts w:ascii="GHEA Grapalat" w:hAnsi="GHEA Grapalat"/>
                <w:bCs/>
                <w:lang w:val="hy-AM"/>
              </w:rPr>
              <w:t>.202</w:t>
            </w:r>
            <w:r>
              <w:rPr>
                <w:rFonts w:ascii="GHEA Grapalat" w:hAnsi="GHEA Grapalat"/>
                <w:bCs/>
                <w:lang w:val="hy-AM"/>
              </w:rPr>
              <w:t>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E50222">
        <w:tc>
          <w:tcPr>
            <w:tcW w:w="11326" w:type="dxa"/>
            <w:vMerge/>
            <w:shd w:val="clear" w:color="auto" w:fill="D9D9D9" w:themeFill="background1" w:themeFillShade="D9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14:paraId="0DEDB115" w14:textId="5920698E" w:rsidR="00F32FF4" w:rsidRPr="009F164B" w:rsidRDefault="004328CE" w:rsidP="00F32FF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№ </w:t>
            </w:r>
            <w:r w:rsidRPr="004328CE">
              <w:rPr>
                <w:rFonts w:ascii="GHEA Grapalat" w:hAnsi="GHEA Grapalat" w:cs="GHEA Grapalat"/>
                <w:lang w:val="hy-AM"/>
              </w:rPr>
              <w:t>1111/1674-25</w:t>
            </w:r>
          </w:p>
          <w:p w14:paraId="1B8C1D93" w14:textId="5CC4B93D" w:rsidR="001B184E" w:rsidRDefault="001B184E" w:rsidP="00F32FF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</w:tr>
      <w:tr w:rsidR="001B184E" w:rsidRPr="00F32FF4" w14:paraId="319297F4" w14:textId="77777777" w:rsidTr="00E50222">
        <w:tc>
          <w:tcPr>
            <w:tcW w:w="11326" w:type="dxa"/>
          </w:tcPr>
          <w:p w14:paraId="290B137A" w14:textId="4ED692D5" w:rsidR="001B184E" w:rsidRPr="00631307" w:rsidRDefault="00F32FF4" w:rsidP="00E50222">
            <w:pPr>
              <w:ind w:firstLine="283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356743">
              <w:rPr>
                <w:rFonts w:ascii="GHEA Grapalat" w:hAnsi="GHEA Grapalat"/>
                <w:lang w:val="hy-AM"/>
              </w:rPr>
              <w:t xml:space="preserve">ամաձայնագրի </w:t>
            </w:r>
            <w:r w:rsidRPr="00356743">
              <w:rPr>
                <w:rFonts w:ascii="GHEA Grapalat" w:hAnsi="GHEA Grapalat" w:cs="Sylfaen"/>
                <w:lang w:val="hy-AM"/>
              </w:rPr>
              <w:t xml:space="preserve">վավերացումը կամ հաստատումը </w:t>
            </w:r>
            <w:r w:rsidRPr="00356743">
              <w:rPr>
                <w:rFonts w:ascii="GHEA Grapalat" w:hAnsi="GHEA Grapalat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</w:tc>
        <w:tc>
          <w:tcPr>
            <w:tcW w:w="3870" w:type="dxa"/>
          </w:tcPr>
          <w:p w14:paraId="0515599D" w14:textId="4EC05317" w:rsidR="00F14285" w:rsidRPr="002E59E7" w:rsidRDefault="002E59E7" w:rsidP="00F1428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F32FF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</w:t>
            </w:r>
            <w:r w:rsidR="0009718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18CBCA5A" w:rsidR="002E59E7" w:rsidRPr="00EF0F53" w:rsidRDefault="002E59E7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2E59E7" w:rsidRPr="00F32FF4" w14:paraId="0E2E97E2" w14:textId="77777777" w:rsidTr="00E50222">
        <w:tc>
          <w:tcPr>
            <w:tcW w:w="11326" w:type="dxa"/>
            <w:vMerge w:val="restart"/>
            <w:shd w:val="clear" w:color="auto" w:fill="D9D9D9" w:themeFill="background1" w:themeFillShade="D9"/>
          </w:tcPr>
          <w:p w14:paraId="28BFB9B9" w14:textId="1F83BD26" w:rsidR="003035A0" w:rsidRDefault="00BF5D8E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2E59E7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2E59E7"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  <w:p w14:paraId="6F638940" w14:textId="77777777" w:rsidR="002E59E7" w:rsidRPr="003035A0" w:rsidRDefault="002E59E7" w:rsidP="003035A0">
            <w:pPr>
              <w:rPr>
                <w:rFonts w:ascii="GHEA Grapalat" w:eastAsiaTheme="minorHAnsi" w:hAnsi="GHEA Grapalat" w:cstheme="minorBidi"/>
                <w:lang w:val="hy-AM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14:paraId="5E44BDB4" w14:textId="3D0D43AB" w:rsidR="002E59E7" w:rsidRPr="007314F9" w:rsidRDefault="004328CE" w:rsidP="004328C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07</w:t>
            </w:r>
            <w:r w:rsidR="002E59E7"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hy-AM"/>
              </w:rPr>
              <w:t>03</w:t>
            </w:r>
            <w:r w:rsidR="002E59E7">
              <w:rPr>
                <w:rFonts w:ascii="GHEA Grapalat" w:hAnsi="GHEA Grapalat"/>
                <w:bCs/>
                <w:lang w:val="hy-AM"/>
              </w:rPr>
              <w:t>.202</w:t>
            </w:r>
            <w:r>
              <w:rPr>
                <w:rFonts w:ascii="GHEA Grapalat" w:hAnsi="GHEA Grapalat"/>
                <w:bCs/>
                <w:lang w:val="hy-AM"/>
              </w:rPr>
              <w:t>5</w:t>
            </w:r>
            <w:r w:rsidR="002E59E7"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E59E7" w:rsidRPr="00F32FF4" w14:paraId="57C45B92" w14:textId="77777777" w:rsidTr="00E50222">
        <w:tc>
          <w:tcPr>
            <w:tcW w:w="11326" w:type="dxa"/>
            <w:vMerge/>
            <w:shd w:val="clear" w:color="auto" w:fill="D9D9D9" w:themeFill="background1" w:themeFillShade="D9"/>
          </w:tcPr>
          <w:p w14:paraId="2C856563" w14:textId="77777777" w:rsidR="002E59E7" w:rsidRPr="00F32FF4" w:rsidRDefault="002E59E7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14:paraId="148F47DB" w14:textId="416FA5DE" w:rsidR="002E59E7" w:rsidRPr="00F32FF4" w:rsidRDefault="00F32FF4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2FF4">
              <w:rPr>
                <w:rFonts w:ascii="GHEA Grapalat" w:hAnsi="GHEA Grapalat" w:cs="Sylfaen"/>
                <w:lang w:val="hy-AM"/>
              </w:rPr>
              <w:t xml:space="preserve">N. </w:t>
            </w:r>
            <w:r w:rsidR="004328CE" w:rsidRPr="004328CE">
              <w:rPr>
                <w:rFonts w:ascii="GHEA Grapalat" w:hAnsi="GHEA Grapalat" w:cs="Sylfaen"/>
                <w:lang w:val="hy-AM"/>
              </w:rPr>
              <w:t>//9326-2025</w:t>
            </w:r>
          </w:p>
        </w:tc>
      </w:tr>
      <w:tr w:rsidR="00D170CC" w:rsidRPr="00E50222" w14:paraId="3BBDA232" w14:textId="77777777" w:rsidTr="00E50222">
        <w:tc>
          <w:tcPr>
            <w:tcW w:w="11326" w:type="dxa"/>
            <w:shd w:val="clear" w:color="auto" w:fill="FFFFFF" w:themeFill="background1"/>
          </w:tcPr>
          <w:p w14:paraId="64A893B0" w14:textId="77777777" w:rsidR="00174C66" w:rsidRPr="003402F0" w:rsidRDefault="00174C66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Կոնվենցիան</w:t>
            </w:r>
            <w:r w:rsidRPr="003402F0">
              <w:rPr>
                <w:rFonts w:ascii="GHEA Grapalat" w:hAnsi="GHEA Grapalat"/>
                <w:lang w:val="hy-AM"/>
              </w:rPr>
              <w:t xml:space="preserve">, թեև չի պարունակում օրենքի փոփոխություն կամ նոր օրենքի ընդունում նախատեսող նորմեր, սակայն </w:t>
            </w:r>
            <w:r>
              <w:rPr>
                <w:rFonts w:ascii="GHEA Grapalat" w:hAnsi="GHEA Grapalat"/>
                <w:lang w:val="hy-AM"/>
              </w:rPr>
              <w:t>Կոնվենցիայում</w:t>
            </w:r>
            <w:r w:rsidRPr="003402F0">
              <w:rPr>
                <w:rFonts w:ascii="GHEA Grapalat" w:hAnsi="GHEA Grapalat"/>
                <w:lang w:val="hy-AM"/>
              </w:rPr>
              <w:t xml:space="preserve"> առկա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3402F0">
              <w:rPr>
                <w:rFonts w:ascii="GHEA Grapalat" w:hAnsi="GHEA Grapalat"/>
                <w:lang w:val="hy-AM"/>
              </w:rPr>
              <w:t xml:space="preserve"> Հայաստանի Հանրապետության օրենսդրությանը հակասող դրույթ</w:t>
            </w:r>
            <w:r>
              <w:rPr>
                <w:rFonts w:ascii="GHEA Grapalat" w:hAnsi="GHEA Grapalat"/>
                <w:lang w:val="hy-AM"/>
              </w:rPr>
              <w:t>ներ</w:t>
            </w:r>
            <w:r w:rsidRPr="003402F0">
              <w:rPr>
                <w:rFonts w:ascii="GHEA Grapalat" w:hAnsi="GHEA Grapalat"/>
                <w:lang w:val="hy-AM"/>
              </w:rPr>
              <w:t>։</w:t>
            </w:r>
          </w:p>
          <w:p w14:paraId="3236A1FA" w14:textId="608B3415" w:rsidR="00174C66" w:rsidRDefault="00174C66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 w:rsidRPr="003402F0">
              <w:rPr>
                <w:rFonts w:ascii="GHEA Grapalat" w:hAnsi="GHEA Grapalat"/>
                <w:lang w:val="hy-AM"/>
              </w:rPr>
              <w:t xml:space="preserve">Մասնավորապես՝ </w:t>
            </w:r>
            <w:r>
              <w:rPr>
                <w:rFonts w:ascii="GHEA Grapalat" w:hAnsi="GHEA Grapalat"/>
                <w:lang w:val="hy-AM"/>
              </w:rPr>
              <w:t xml:space="preserve">Կոնվենցիայի 6-րդ հոդվածի 2-րդ մասի համաձայն՝ </w:t>
            </w:r>
            <w:r w:rsidRPr="007332B0">
              <w:rPr>
                <w:rFonts w:ascii="GHEA Grapalat" w:hAnsi="GHEA Grapalat"/>
                <w:lang w:val="hy-AM"/>
              </w:rPr>
              <w:t xml:space="preserve">«Անշարժ գույք» եզրույթն ունի այն նշանակությունը, որը դրան տրված է այն Պայմանավորվող պետության օրենքով, որտեղ գտնվում է դիտարկվող գույքը: Եզրույթն ամեն դեպքում ներառում է անշարժ գույքին օժանդակ գույքը, գյուղատնտեսությունում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անտառային տնտեսությունում օգտագործվող անասունն ու սարքավորումները, այն իրավունքները, որոնց նկատմամբ կիրառվում են հողային սեփականությանը վերաբերող ընդհանուր օրենսդրության դրույթները, անշարժ գույքի օգտագործման իրավունքը (ուզուֆրուկտը)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օգտակար հանածոների հանքատեղերի, հանքավայրերի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այլ բնական պաշարների մշակման կամ մշակման իրավունքի դիմաց փոխհատուցման կարգով վճարվող փոփոխական կամ հաստատուն վճարումների իրավունքները. նավերը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7332B0">
              <w:rPr>
                <w:rFonts w:ascii="GHEA Grapalat" w:hAnsi="GHEA Grapalat"/>
                <w:lang w:val="hy-AM"/>
              </w:rPr>
              <w:t xml:space="preserve"> օդանավերը որպես անշարժ գույք չեն դիտարկվում:</w:t>
            </w:r>
            <w:r>
              <w:rPr>
                <w:rFonts w:ascii="GHEA Grapalat" w:hAnsi="GHEA Grapalat"/>
                <w:lang w:val="hy-AM"/>
              </w:rPr>
              <w:t xml:space="preserve"> Սույն դրույթը հակասում է </w:t>
            </w:r>
            <w:r w:rsidR="00E50222">
              <w:rPr>
                <w:rFonts w:ascii="GHEA Grapalat" w:hAnsi="GHEA Grapalat"/>
                <w:lang w:val="hy-AM"/>
              </w:rPr>
              <w:t>ՀՀ</w:t>
            </w:r>
            <w:r w:rsidRPr="001512A1">
              <w:rPr>
                <w:rFonts w:ascii="GHEA Grapalat" w:hAnsi="GHEA Grapalat"/>
                <w:lang w:val="hy-AM"/>
              </w:rPr>
              <w:t xml:space="preserve">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227-րդ հոդվածի 1-ին մասին, համաձայն որի՝</w:t>
            </w:r>
            <w:r w:rsidRPr="007332B0">
              <w:rPr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7332B0">
              <w:rPr>
                <w:rFonts w:ascii="GHEA Grapalat" w:hAnsi="GHEA Grapalat"/>
                <w:lang w:val="hy-AM"/>
              </w:rPr>
              <w:t>նշարժ գույքի հարկով հարկման օբյեկտ է համարվում անշարժ գույքը` հողամասերը և (կամ) դրանց բարելավումները:</w:t>
            </w:r>
          </w:p>
          <w:p w14:paraId="69881ACA" w14:textId="6905B512" w:rsidR="00D170CC" w:rsidRDefault="00174C66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Նշված դրույթը հակասում է նաև </w:t>
            </w:r>
            <w:r w:rsidRPr="007332B0">
              <w:rPr>
                <w:rFonts w:ascii="GHEA Grapalat" w:hAnsi="GHEA Grapalat"/>
                <w:lang w:val="hy-AM"/>
              </w:rPr>
              <w:t>ՀՀ քաղաքացիական օրենսգրքի 134-րդ հոդվածի 1-ին մասին, որի համաձայն՝ անշարժ գույք են համարվում այն օբյեկտները, որոնք անհնար է հողից անջատել՝ առանց այդ գույքին կամ հողամասին վնաս պատճառելու կամ դրանց նշանակության փոփոխման, դադարման կամ նպատակային նշանակությամբ հետագա օգտագործման անհնարինության, և «Շարժական գույքի նկատմամբ ապահովված իրավունքների գրանցման մասին» օրենքի 3-րդ հոդվածի 1-ին մասի առաջին կետին, որի համաձայն՝ սարքավորումները, կենդանիները և գույքային իրավունքները համարվում են շարժական գույք:</w:t>
            </w:r>
            <w:r w:rsidR="00E50222">
              <w:rPr>
                <w:rFonts w:ascii="GHEA Grapalat" w:hAnsi="GHEA Grapalat"/>
                <w:lang w:val="hy-AM"/>
              </w:rPr>
              <w:t xml:space="preserve"> </w:t>
            </w:r>
            <w:r w:rsidR="00D170CC">
              <w:rPr>
                <w:rFonts w:ascii="GHEA Grapalat" w:hAnsi="GHEA Grapalat"/>
                <w:lang w:val="hy-AM"/>
              </w:rPr>
              <w:t>Կոնվենցիայի</w:t>
            </w:r>
            <w:r w:rsidR="00D170CC" w:rsidRPr="003402F0">
              <w:rPr>
                <w:rFonts w:ascii="GHEA Grapalat" w:hAnsi="GHEA Grapalat"/>
                <w:lang w:val="hy-AM"/>
              </w:rPr>
              <w:t xml:space="preserve"> 24-րդ հոդվածի 1-ին մասի համաձայն՝ </w:t>
            </w:r>
            <w:r w:rsidR="00D170CC">
              <w:rPr>
                <w:rFonts w:ascii="GHEA Grapalat" w:hAnsi="GHEA Grapalat"/>
                <w:lang w:val="hy-AM"/>
              </w:rPr>
              <w:lastRenderedPageBreak/>
              <w:t>ա</w:t>
            </w:r>
            <w:r w:rsidR="00D170CC" w:rsidRPr="003402F0">
              <w:rPr>
                <w:rFonts w:ascii="GHEA Grapalat" w:hAnsi="GHEA Grapalat"/>
                <w:lang w:val="hy-AM"/>
              </w:rPr>
              <w:t xml:space="preserve">յն դեպքում, երբ անձը գտնում է, որ Պայմանավորվող պետություններից մեկի կամ երկուսի գործողությունները հանգեցնում են կամ կհանգեցնեն իր` սույն Կոնվենցիայի դրույթներին չհամապատասխանող հարկման, նա այդ Պայմանավորվող պետությունների ներպետական օրենքներով նախատեսված իրավական պաշտպանության միջոցներից անկախ կարող է իր գործը ներկայացնել ցանկացած Պայմանավորվող պետության իրավասու մարմին: Գործը պետք է ներկայացվի Կոնվենցիայի դրույթներին չհամապատասխանող հարկման հանգեցնող գործողության մասին առաջին ծանուցումից հետո՝ </w:t>
            </w:r>
            <w:r w:rsidR="00D170CC" w:rsidRPr="00D170CC">
              <w:rPr>
                <w:rFonts w:ascii="GHEA Grapalat" w:hAnsi="GHEA Grapalat"/>
                <w:lang w:val="hy-AM"/>
              </w:rPr>
              <w:t>երեք տարվա ընթացքում</w:t>
            </w:r>
            <w:r w:rsidR="00D170CC" w:rsidRPr="003402F0">
              <w:rPr>
                <w:rFonts w:ascii="GHEA Grapalat" w:hAnsi="GHEA Grapalat"/>
                <w:lang w:val="hy-AM"/>
              </w:rPr>
              <w:t>:</w:t>
            </w:r>
          </w:p>
          <w:p w14:paraId="2578AA2D" w14:textId="199AF716" w:rsidR="00D170CC" w:rsidRDefault="00D170CC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Վերոնշյալ դրույթը հակասում է </w:t>
            </w:r>
            <w:r w:rsidR="00E50222">
              <w:rPr>
                <w:rFonts w:ascii="GHEA Grapalat" w:hAnsi="GHEA Grapalat"/>
                <w:lang w:val="hy-AM"/>
              </w:rPr>
              <w:t>ՀՀ</w:t>
            </w:r>
            <w:r w:rsidRPr="001512A1">
              <w:rPr>
                <w:rFonts w:ascii="GHEA Grapalat" w:hAnsi="GHEA Grapalat"/>
                <w:lang w:val="hy-AM"/>
              </w:rPr>
              <w:t xml:space="preserve"> Հարկային օրենսգրքի</w:t>
            </w:r>
            <w:r>
              <w:rPr>
                <w:rFonts w:ascii="GHEA Grapalat" w:hAnsi="GHEA Grapalat"/>
                <w:lang w:val="hy-AM"/>
              </w:rPr>
              <w:t xml:space="preserve"> 441-րդ հոդվածի 4-րդ մասին, համաձայն որի՝ հ</w:t>
            </w:r>
            <w:r w:rsidRPr="003402F0">
              <w:rPr>
                <w:rFonts w:ascii="GHEA Grapalat" w:hAnsi="GHEA Grapalat"/>
                <w:lang w:val="hy-AM"/>
              </w:rPr>
              <w:t xml:space="preserve">արկային մարմնի ընդունած և ուժի մեջ մտած անհատական իրավական ակտը կարող է բողոքարկվել այն ուժի մեջ մտնելու օրվանից, իսկ հարկային ծառայողի գործողությունները կամ անգործությունը՝ այն կատարելու կամ ցուցաբերելու օրվանից </w:t>
            </w:r>
            <w:r w:rsidRPr="00D170CC">
              <w:rPr>
                <w:rFonts w:ascii="GHEA Grapalat" w:hAnsi="GHEA Grapalat"/>
                <w:lang w:val="hy-AM"/>
              </w:rPr>
              <w:t>երկու ամսվա ընթացքում</w:t>
            </w:r>
            <w:r w:rsidRPr="003402F0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21253E51" w14:textId="77777777" w:rsidR="00D170CC" w:rsidRDefault="00D170CC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Ձեր ուշադրությունն եմ հրավիրում այն հանգամանքին, որ Կոնվենցիայի 24-րդ հոդվածի 1-ին մասով </w:t>
            </w:r>
            <w:r w:rsidRPr="003402F0">
              <w:rPr>
                <w:rFonts w:ascii="GHEA Grapalat" w:hAnsi="GHEA Grapalat"/>
                <w:lang w:val="hy-AM"/>
              </w:rPr>
              <w:t>Պայմանավորվող պետությ</w:t>
            </w:r>
            <w:r>
              <w:rPr>
                <w:rFonts w:ascii="GHEA Grapalat" w:hAnsi="GHEA Grapalat"/>
                <w:lang w:val="hy-AM"/>
              </w:rPr>
              <w:t>ունների</w:t>
            </w:r>
            <w:r w:rsidRPr="003402F0">
              <w:rPr>
                <w:rFonts w:ascii="GHEA Grapalat" w:hAnsi="GHEA Grapalat"/>
                <w:lang w:val="hy-AM"/>
              </w:rPr>
              <w:t xml:space="preserve"> իրավասու մարմի</w:t>
            </w:r>
            <w:r>
              <w:rPr>
                <w:rFonts w:ascii="GHEA Grapalat" w:hAnsi="GHEA Grapalat"/>
                <w:lang w:val="hy-AM"/>
              </w:rPr>
              <w:t xml:space="preserve">ններին իրավունք է ընձեռվում դիտարկել մյուս պայմանավորվող կողմի իրավասու մարմնի կողմից կայացված որոշումը: Նույն հոդվածի 2-րդ մասով իրավասու մարմինը կարող է լուծել տվյալ բողոքը: Սույն դրույթը խնդրահարույց է ՀՀ օրենսդրության տեսանկյունից, քանի որ ՀՀ պետական մարմինները սահմանափակված են Սահմանադրությամբ և օրենքներով իրենց վերապահված լիազորությունների շրջանակով: </w:t>
            </w:r>
          </w:p>
          <w:p w14:paraId="43327A52" w14:textId="77777777" w:rsidR="00D170CC" w:rsidRDefault="00D170CC" w:rsidP="00E50222">
            <w:pPr>
              <w:ind w:firstLine="28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</w:t>
            </w:r>
            <w:r w:rsidRPr="00780D98">
              <w:rPr>
                <w:rFonts w:ascii="GHEA Grapalat" w:hAnsi="GHEA Grapalat"/>
                <w:lang w:val="hy-AM"/>
              </w:rPr>
              <w:t>Կոնվենցիայի 3-րդ հոդվածի 1-ին կետի ժ) ենթակետի i) պարբերությ</w:t>
            </w:r>
            <w:r>
              <w:rPr>
                <w:rFonts w:ascii="GHEA Grapalat" w:hAnsi="GHEA Grapalat"/>
                <w:lang w:val="hy-AM"/>
              </w:rPr>
              <w:t>ան</w:t>
            </w:r>
            <w:r w:rsidRPr="00780D98">
              <w:rPr>
                <w:rFonts w:ascii="GHEA Grapalat" w:hAnsi="GHEA Grapalat"/>
                <w:lang w:val="hy-AM"/>
              </w:rPr>
              <w:t>, 4-րդ հոդվածի 2-րդ կետ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780D98">
              <w:rPr>
                <w:rFonts w:ascii="GHEA Grapalat" w:hAnsi="GHEA Grapalat"/>
                <w:lang w:val="hy-AM"/>
              </w:rPr>
              <w:t>, 14-19-րդ հոդվածներ</w:t>
            </w:r>
            <w:r>
              <w:rPr>
                <w:rFonts w:ascii="GHEA Grapalat" w:hAnsi="GHEA Grapalat"/>
                <w:lang w:val="hy-AM"/>
              </w:rPr>
              <w:t xml:space="preserve">ի և </w:t>
            </w:r>
            <w:r w:rsidRPr="00780D98">
              <w:rPr>
                <w:rFonts w:ascii="GHEA Grapalat" w:hAnsi="GHEA Grapalat"/>
                <w:lang w:val="hy-AM"/>
              </w:rPr>
              <w:t>25-րդ հոդվածի 2-րդ կետ</w:t>
            </w:r>
            <w:r>
              <w:rPr>
                <w:rFonts w:ascii="GHEA Grapalat" w:hAnsi="GHEA Grapalat"/>
                <w:lang w:val="hy-AM"/>
              </w:rPr>
              <w:t>երի վերլուծությունից հետևում է, որ կողմերի պետական մարմինների միջև նախատեսվում է անձնական տվյալների փոխանակում:</w:t>
            </w:r>
          </w:p>
          <w:p w14:paraId="2498317B" w14:textId="73634A9E" w:rsidR="00D170CC" w:rsidRPr="00174C66" w:rsidRDefault="00D170CC" w:rsidP="00E50222">
            <w:pPr>
              <w:ind w:firstLine="283"/>
              <w:jc w:val="both"/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/>
              </w:rPr>
            </w:pPr>
            <w:r w:rsidRPr="00174C66">
              <w:rPr>
                <w:rFonts w:ascii="GHEA Grapalat" w:hAnsi="GHEA Grapalat"/>
                <w:i/>
                <w:lang w:val="hy-AM"/>
              </w:rPr>
              <w:t>Ելնելով վերոգրյալից՝ Կոնվենցիան ենթակա է վավերացման ՀՀ Սահմանադրության 116-րդ հոդվածի 1-ին մասի 1-ին և 5-րդ և «Միջազգային պայմանագրերի մասին» օրենքի 10-րդ հոդվածի 2-րդ մասի 1-ին և 5-րդ կետերով, իսկ Հայաստանի Հանրապետության համար ֆինանսական կամ գույքային պարտավորություններ նախատեսելու դեպքում Կոնվենցիան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870" w:type="dxa"/>
            <w:shd w:val="clear" w:color="auto" w:fill="FFFFFF" w:themeFill="background1"/>
          </w:tcPr>
          <w:p w14:paraId="4D7DA009" w14:textId="51D36D70" w:rsidR="00D170CC" w:rsidRPr="002E59E7" w:rsidRDefault="00D170CC" w:rsidP="00D170C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7DAEF36D" w14:textId="69A67F56" w:rsidR="00D170CC" w:rsidRPr="002E59E7" w:rsidRDefault="00D170CC" w:rsidP="00D170C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Կոնվենցիան ներկայացվում է վավերացման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</w:tr>
      <w:tr w:rsidR="00D170CC" w:rsidRPr="00F32FF4" w14:paraId="44BFB6EF" w14:textId="67DB52A7" w:rsidTr="00E50222">
        <w:trPr>
          <w:trHeight w:val="288"/>
        </w:trPr>
        <w:tc>
          <w:tcPr>
            <w:tcW w:w="11326" w:type="dxa"/>
            <w:vMerge w:val="restart"/>
            <w:shd w:val="clear" w:color="auto" w:fill="D9D9D9" w:themeFill="background1" w:themeFillShade="D9"/>
          </w:tcPr>
          <w:p w14:paraId="28B1B6D4" w14:textId="33742706" w:rsidR="00D170CC" w:rsidRPr="003035A0" w:rsidRDefault="00D170CC" w:rsidP="00D170C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3035A0">
              <w:rPr>
                <w:rFonts w:ascii="GHEA Grapalat" w:hAnsi="GHEA Grapalat" w:cs="Sylfaen"/>
                <w:lang w:val="hy-AM"/>
              </w:rPr>
              <w:t>. ՀՀ տարածքային կառավարման և ենթակառուցվածքների նախարարություն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63FEB31F" w14:textId="72B98CCD" w:rsidR="00D170CC" w:rsidRPr="003035A0" w:rsidRDefault="00D170CC" w:rsidP="00D170C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06</w:t>
            </w:r>
            <w:r w:rsidRPr="008D2815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02</w:t>
            </w:r>
            <w:r w:rsidRPr="008D2815">
              <w:rPr>
                <w:rFonts w:ascii="GHEA Grapalat" w:hAnsi="GHEA Grapalat" w:cs="Sylfaen"/>
                <w:lang w:val="hy-AM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</w:tr>
      <w:tr w:rsidR="00D170CC" w:rsidRPr="00F32FF4" w14:paraId="3953154A" w14:textId="77777777" w:rsidTr="00E50222">
        <w:trPr>
          <w:trHeight w:val="369"/>
        </w:trPr>
        <w:tc>
          <w:tcPr>
            <w:tcW w:w="11326" w:type="dxa"/>
            <w:vMerge/>
            <w:shd w:val="clear" w:color="auto" w:fill="D9D9D9" w:themeFill="background1" w:themeFillShade="D9"/>
          </w:tcPr>
          <w:p w14:paraId="68F00066" w14:textId="77777777" w:rsidR="00D170CC" w:rsidRPr="003035A0" w:rsidRDefault="00D170CC" w:rsidP="00D170C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14:paraId="5A4C39D2" w14:textId="5CA0763C" w:rsidR="00D170CC" w:rsidRPr="008D2815" w:rsidRDefault="00D170CC" w:rsidP="00D170C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№ </w:t>
            </w:r>
            <w:r w:rsidRPr="00EF3A9E">
              <w:rPr>
                <w:rFonts w:ascii="GHEA Grapalat" w:hAnsi="GHEA Grapalat" w:cs="Sylfaen"/>
                <w:lang w:val="hy-AM"/>
              </w:rPr>
              <w:t>ԴԽ//4056-2025</w:t>
            </w:r>
          </w:p>
        </w:tc>
      </w:tr>
      <w:tr w:rsidR="00D170CC" w:rsidRPr="00F32FF4" w14:paraId="29F2337B" w14:textId="77777777" w:rsidTr="00E50222">
        <w:trPr>
          <w:trHeight w:val="928"/>
        </w:trPr>
        <w:tc>
          <w:tcPr>
            <w:tcW w:w="11326" w:type="dxa"/>
            <w:shd w:val="clear" w:color="auto" w:fill="FFFFFF" w:themeFill="background1"/>
          </w:tcPr>
          <w:p w14:paraId="1176E90C" w14:textId="77777777" w:rsidR="00D170CC" w:rsidRDefault="00D170CC" w:rsidP="00D170CC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Համաձայնագրով </w:t>
            </w:r>
            <w:r w:rsidRPr="004E3E97">
              <w:rPr>
                <w:rFonts w:ascii="GHEA Grapalat" w:hAnsi="GHEA Grapalat" w:cs="Sylfaen"/>
                <w:bCs/>
                <w:lang w:val="hy-AM"/>
              </w:rPr>
              <w:t>«Պետական գույքի կառավարման մասին» ՀՀ օրենքի կարգավորման շրջանակում Հայաստանի Հանրապետո</w:t>
            </w:r>
            <w:bookmarkStart w:id="0" w:name="_GoBack"/>
            <w:bookmarkEnd w:id="0"/>
            <w:r w:rsidRPr="004E3E97">
              <w:rPr>
                <w:rFonts w:ascii="GHEA Grapalat" w:hAnsi="GHEA Grapalat" w:cs="Sylfaen"/>
                <w:bCs/>
                <w:lang w:val="hy-AM"/>
              </w:rPr>
              <w:t>ւթյան համար գույքային պարտավորություններ նախատեսող դրույթներ առկա չեն։</w:t>
            </w:r>
          </w:p>
          <w:p w14:paraId="2A91B166" w14:textId="74FFB95C" w:rsidR="00E50222" w:rsidRPr="004E3E97" w:rsidRDefault="00E50222" w:rsidP="00D170CC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870" w:type="dxa"/>
            <w:shd w:val="clear" w:color="auto" w:fill="FFFFFF" w:themeFill="background1"/>
          </w:tcPr>
          <w:p w14:paraId="324F5EBC" w14:textId="392B51EC" w:rsidR="00D170CC" w:rsidRPr="002E59E7" w:rsidRDefault="00D170CC" w:rsidP="00D170C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Ընդունվել է ի գիտություն: </w:t>
            </w:r>
          </w:p>
        </w:tc>
      </w:tr>
      <w:tr w:rsidR="00E50222" w:rsidRPr="00F32FF4" w14:paraId="2CC5467D" w14:textId="77777777" w:rsidTr="00E50222">
        <w:trPr>
          <w:trHeight w:val="395"/>
        </w:trPr>
        <w:tc>
          <w:tcPr>
            <w:tcW w:w="11326" w:type="dxa"/>
            <w:vMerge w:val="restart"/>
            <w:shd w:val="clear" w:color="auto" w:fill="D9D9D9" w:themeFill="background1" w:themeFillShade="D9"/>
          </w:tcPr>
          <w:p w14:paraId="34BAE67F" w14:textId="618F7C48" w:rsidR="00E50222" w:rsidRDefault="00E50222" w:rsidP="00E50222">
            <w:pPr>
              <w:ind w:firstLine="597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4. ՀՀ ֆինանսների նախարարություն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0129699C" w14:textId="77777777" w:rsidR="00E50222" w:rsidRDefault="00E50222" w:rsidP="00D170C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E50222" w:rsidRPr="00F32FF4" w14:paraId="351A61C5" w14:textId="77777777" w:rsidTr="00E50222">
        <w:trPr>
          <w:trHeight w:val="530"/>
        </w:trPr>
        <w:tc>
          <w:tcPr>
            <w:tcW w:w="11326" w:type="dxa"/>
            <w:vMerge/>
            <w:shd w:val="clear" w:color="auto" w:fill="D9D9D9" w:themeFill="background1" w:themeFillShade="D9"/>
          </w:tcPr>
          <w:p w14:paraId="79C80994" w14:textId="77777777" w:rsidR="00E50222" w:rsidRDefault="00E50222" w:rsidP="00D170CC">
            <w:pPr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14:paraId="0A247E9F" w14:textId="77777777" w:rsidR="00E50222" w:rsidRDefault="00E50222" w:rsidP="00D170C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E50222" w:rsidRPr="00E50222" w14:paraId="5157DEEB" w14:textId="77777777" w:rsidTr="00E50222">
        <w:trPr>
          <w:trHeight w:val="928"/>
        </w:trPr>
        <w:tc>
          <w:tcPr>
            <w:tcW w:w="11326" w:type="dxa"/>
            <w:shd w:val="clear" w:color="auto" w:fill="FFFFFF" w:themeFill="background1"/>
          </w:tcPr>
          <w:p w14:paraId="0F31AD2A" w14:textId="77777777" w:rsidR="00E50222" w:rsidRDefault="00E50222" w:rsidP="00E5022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835C11">
              <w:rPr>
                <w:rFonts w:ascii="GHEA Grapalat" w:hAnsi="GHEA Grapalat" w:cs="GHEA Grapalat"/>
                <w:lang w:val="hy-AM"/>
              </w:rPr>
              <w:t>«Հայաստ</w:t>
            </w:r>
            <w:r>
              <w:rPr>
                <w:rFonts w:ascii="GHEA Grapalat" w:hAnsi="GHEA Grapalat" w:cs="GHEA Grapalat"/>
                <w:lang w:val="hy-AM"/>
              </w:rPr>
              <w:t>անի Հանրապետության</w:t>
            </w:r>
            <w:r w:rsidRPr="00835C11">
              <w:rPr>
                <w:rFonts w:ascii="GHEA Grapalat" w:hAnsi="GHEA Grapalat" w:cs="GHEA Grapalat"/>
                <w:lang w:val="hy-AM"/>
              </w:rPr>
              <w:t xml:space="preserve"> և </w:t>
            </w:r>
            <w:r>
              <w:rPr>
                <w:rFonts w:ascii="GHEA Grapalat" w:hAnsi="GHEA Grapalat" w:cs="GHEA Grapalat"/>
                <w:lang w:val="hy-AM"/>
              </w:rPr>
              <w:t>Ճապոնիայի միջև եկա</w:t>
            </w:r>
            <w:r>
              <w:rPr>
                <w:rFonts w:ascii="GHEA Grapalat" w:hAnsi="GHEA Grapalat" w:cs="GHEA Grapalat"/>
                <w:lang w:val="hy-AM"/>
              </w:rPr>
              <w:softHyphen/>
              <w:t>մուտ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ների </w:t>
            </w:r>
            <w:r w:rsidRPr="00835C11">
              <w:rPr>
                <w:rFonts w:ascii="GHEA Grapalat" w:hAnsi="GHEA Grapalat" w:cs="GHEA Grapalat"/>
                <w:lang w:val="hy-AM"/>
              </w:rPr>
              <w:t xml:space="preserve">կրկնակի հարկումը բացառելու և </w:t>
            </w:r>
            <w:r>
              <w:rPr>
                <w:rFonts w:ascii="GHEA Grapalat" w:hAnsi="GHEA Grapalat" w:cs="GHEA Grapalat"/>
                <w:lang w:val="hy-AM"/>
              </w:rPr>
              <w:t>հարկումից խուսա</w:t>
            </w:r>
            <w:r>
              <w:rPr>
                <w:rFonts w:ascii="GHEA Grapalat" w:hAnsi="GHEA Grapalat" w:cs="GHEA Grapalat"/>
                <w:lang w:val="hy-AM"/>
              </w:rPr>
              <w:softHyphen/>
              <w:t xml:space="preserve">փելն ու շրջանցելը կանխելու մասին» կոնվենցիայի (այսուհետ՝ Կոնվենցիա) </w:t>
            </w:r>
            <w:r w:rsidRPr="00041BCB">
              <w:rPr>
                <w:rFonts w:ascii="GHEA Grapalat" w:hAnsi="GHEA Grapalat" w:cs="GHEA Grapalat"/>
                <w:lang w:val="hy-AM"/>
              </w:rPr>
              <w:t>7-րդ հոդվածի 1-ին մասով սահմանվում է, որ Պայ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նավոր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վող պետու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թյան ձեռնարկության շահույթը ենթակա է հարկման միայն այդ պետությունում՝ բացա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ռությամբ այն դեպքերի, երբ ձեռնարկությունն իր ձեռնարկատիրական գործու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նեու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թյունն իրա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կանացնում է մյուս Պայմանավորվող պետությունում՝ այնտեղ գտնվող մշտական հաս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տու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թյան միջոցով:</w:t>
            </w:r>
          </w:p>
          <w:p w14:paraId="7FCCEAC3" w14:textId="77777777" w:rsidR="00E50222" w:rsidRPr="00041BCB" w:rsidRDefault="00E50222" w:rsidP="00E5022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041BCB">
              <w:rPr>
                <w:rFonts w:ascii="GHEA Grapalat" w:hAnsi="GHEA Grapalat" w:cs="GHEA Grapalat"/>
                <w:lang w:val="hy-AM"/>
              </w:rPr>
              <w:t>Մյուս կողմից, ՀՀ հարկային օրենսգրքի 104-րդ հոդվածի 1-ին մասի 3-րդ ենթակետի համա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ձայն՝ ոչ ռեզիդենտ կազմակերպությունների համար շահութահարկով հարկման օբյեկտ է համար</w:t>
            </w:r>
            <w:r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t>վում Հայաստանի Հանրապետության աղբյուրներից ստացվող համախառն եկա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մուտը:</w:t>
            </w:r>
          </w:p>
          <w:p w14:paraId="7357381E" w14:textId="77777777" w:rsidR="00E50222" w:rsidRDefault="00E50222" w:rsidP="00E5022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Այս առումով, Կոնվենցիայի վավերաց</w:t>
            </w:r>
            <w:r w:rsidRPr="00041BCB">
              <w:rPr>
                <w:rFonts w:ascii="GHEA Grapalat" w:hAnsi="GHEA Grapalat" w:cs="GHEA Grapalat"/>
                <w:lang w:val="hy-AM"/>
              </w:rPr>
              <w:t>ման դեպքում, այլ հավասար պայմաններում, սահմա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նափակվում է ոչ ռեզիդենտ կազմակերպությունների կողմից առանց մշտական հաս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տության հայաստանյան աղբյուրներից ստացվող ձեռնար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կատի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րական եկամուտների Հայաստանի Հանրապետությունում հարկման իրավունքը:</w:t>
            </w:r>
          </w:p>
          <w:p w14:paraId="7410CBB5" w14:textId="77777777" w:rsidR="00E50222" w:rsidRPr="00041BCB" w:rsidRDefault="00E50222" w:rsidP="00E5022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041BCB">
              <w:rPr>
                <w:rFonts w:ascii="GHEA Grapalat" w:hAnsi="GHEA Grapalat" w:cs="GHEA Grapalat"/>
                <w:lang w:val="hy-AM"/>
              </w:rPr>
              <w:t>Միևնույն ժամանակ, որոշ պասիվ եկամտատեսակների (օրինակ՝ շահաբաժինների կամ տոկոսներ) մասով թեպետ պահպանվում է եկամուտների աղբյուր երկրի առաջնային հարկ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ման իրավունքը, բայց, այդուհանդերձ, ներդրումների խրախուսման նպատակով նախա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տես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վել են որոշակի պայմաններ, որոնց բավարարման դեպքում այդ եկամտա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տեսակ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ների մասով սահմանված են Հայաստանի Հանրապետության հարկային օրենս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գրքով սահ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ման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 xml:space="preserve">ված հարկման դրույքաչափերից ցածր դրույքաչափեր: </w:t>
            </w:r>
          </w:p>
          <w:p w14:paraId="4363E5DA" w14:textId="77777777" w:rsidR="00E50222" w:rsidRPr="00041BCB" w:rsidRDefault="00E50222" w:rsidP="00E5022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lang w:val="hy-AM"/>
              </w:rPr>
            </w:pPr>
            <w:r w:rsidRPr="00041BCB">
              <w:rPr>
                <w:rFonts w:ascii="GHEA Grapalat" w:hAnsi="GHEA Grapalat" w:cs="GHEA Grapalat"/>
                <w:lang w:val="hy-AM"/>
              </w:rPr>
              <w:t>Հաշվի առնելով վերոգրյալը՝ գտ</w:t>
            </w:r>
            <w:r>
              <w:rPr>
                <w:rFonts w:ascii="GHEA Grapalat" w:hAnsi="GHEA Grapalat" w:cs="GHEA Grapalat"/>
                <w:lang w:val="hy-AM"/>
              </w:rPr>
              <w:t>նում ենք, որ Կոնվենցիայի վավերաց</w:t>
            </w:r>
            <w:r w:rsidRPr="00041BCB">
              <w:rPr>
                <w:rFonts w:ascii="GHEA Grapalat" w:hAnsi="GHEA Grapalat" w:cs="GHEA Grapalat"/>
                <w:lang w:val="hy-AM"/>
              </w:rPr>
              <w:t>ումը, այլ հավա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սար պայմաններում, կարող է հանգեցնել ՀՀ պետական բյուջեի եկամուտների նվա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զեց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 xml:space="preserve">ման:  </w:t>
            </w:r>
          </w:p>
          <w:p w14:paraId="78FD3D59" w14:textId="665E009E" w:rsidR="00E50222" w:rsidRDefault="00E50222" w:rsidP="00E50222">
            <w:pPr>
              <w:spacing w:line="276" w:lineRule="auto"/>
              <w:ind w:firstLine="597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Միաժամանակ, Կոնվենցիայ</w:t>
            </w:r>
            <w:r w:rsidRPr="00041BCB">
              <w:rPr>
                <w:rFonts w:ascii="GHEA Grapalat" w:hAnsi="GHEA Grapalat" w:cs="GHEA Grapalat"/>
                <w:lang w:val="hy-AM"/>
              </w:rPr>
              <w:t>ում Հա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յաս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տանի Հանրապետության համար ֆինանսա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կան պար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տա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վո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րություններ նախատեսող՝ ծախ</w:t>
            </w:r>
            <w:r w:rsidRPr="00041BCB">
              <w:rPr>
                <w:rFonts w:ascii="GHEA Grapalat" w:hAnsi="GHEA Grapalat" w:cs="GHEA Grapalat"/>
                <w:lang w:val="hy-AM"/>
              </w:rPr>
              <w:softHyphen/>
              <w:t>սերի ավելացման հանգեցնող դրույթներ առկա չեն</w:t>
            </w:r>
            <w:r>
              <w:rPr>
                <w:rFonts w:ascii="GHEA Grapalat" w:hAnsi="GHEA Grapalat" w:cs="GHEA Grapalat"/>
                <w:lang w:val="hy-AM"/>
              </w:rPr>
              <w:t xml:space="preserve">: </w:t>
            </w:r>
          </w:p>
        </w:tc>
        <w:tc>
          <w:tcPr>
            <w:tcW w:w="3870" w:type="dxa"/>
            <w:shd w:val="clear" w:color="auto" w:fill="FFFFFF" w:themeFill="background1"/>
          </w:tcPr>
          <w:p w14:paraId="26276B9B" w14:textId="77777777" w:rsidR="00E50222" w:rsidRDefault="00E50222" w:rsidP="00E50222">
            <w:pPr>
              <w:spacing w:line="276" w:lineRule="auto"/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7CB36721" w14:textId="7EAA88C5" w:rsidR="00591440" w:rsidRPr="0023275C" w:rsidRDefault="00591440" w:rsidP="00E50222">
      <w:pPr>
        <w:spacing w:line="276" w:lineRule="auto"/>
        <w:rPr>
          <w:rFonts w:ascii="GHEA Grapalat" w:hAnsi="GHEA Grapalat" w:cs="Sylfaen"/>
          <w:lang w:val="hy-AM" w:eastAsia="en-US"/>
        </w:rPr>
      </w:pPr>
    </w:p>
    <w:sectPr w:rsidR="00591440" w:rsidRPr="0023275C" w:rsidSect="00E50222">
      <w:pgSz w:w="16840" w:h="11907" w:orient="landscape" w:code="9"/>
      <w:pgMar w:top="450" w:right="1138" w:bottom="56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F74ED" w14:textId="77777777" w:rsidR="00DB17C8" w:rsidRDefault="00DB17C8" w:rsidP="000C577F">
      <w:r>
        <w:separator/>
      </w:r>
    </w:p>
  </w:endnote>
  <w:endnote w:type="continuationSeparator" w:id="0">
    <w:p w14:paraId="235500F7" w14:textId="77777777" w:rsidR="00DB17C8" w:rsidRDefault="00DB17C8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04F708" w14:textId="77777777" w:rsidR="00DB17C8" w:rsidRDefault="00DB17C8" w:rsidP="000C577F">
      <w:r>
        <w:separator/>
      </w:r>
    </w:p>
  </w:footnote>
  <w:footnote w:type="continuationSeparator" w:id="0">
    <w:p w14:paraId="6EC4C8A9" w14:textId="77777777" w:rsidR="00DB17C8" w:rsidRDefault="00DB17C8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8477585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7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14393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0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6"/>
  </w:num>
  <w:num w:numId="8">
    <w:abstractNumId w:val="3"/>
  </w:num>
  <w:num w:numId="9">
    <w:abstractNumId w:val="10"/>
  </w:num>
  <w:num w:numId="10">
    <w:abstractNumId w:val="17"/>
  </w:num>
  <w:num w:numId="11">
    <w:abstractNumId w:val="13"/>
  </w:num>
  <w:num w:numId="12">
    <w:abstractNumId w:val="8"/>
  </w:num>
  <w:num w:numId="13">
    <w:abstractNumId w:val="11"/>
  </w:num>
  <w:num w:numId="14">
    <w:abstractNumId w:val="20"/>
  </w:num>
  <w:num w:numId="15">
    <w:abstractNumId w:val="6"/>
  </w:num>
  <w:num w:numId="16">
    <w:abstractNumId w:val="0"/>
  </w:num>
  <w:num w:numId="17">
    <w:abstractNumId w:val="12"/>
  </w:num>
  <w:num w:numId="18">
    <w:abstractNumId w:val="4"/>
  </w:num>
  <w:num w:numId="19">
    <w:abstractNumId w:val="5"/>
  </w:num>
  <w:num w:numId="20">
    <w:abstractNumId w:val="18"/>
  </w:num>
  <w:num w:numId="21">
    <w:abstractNumId w:val="9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2637F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187"/>
    <w:rsid w:val="00097A58"/>
    <w:rsid w:val="000A21B0"/>
    <w:rsid w:val="000B1105"/>
    <w:rsid w:val="000C496B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265C9"/>
    <w:rsid w:val="00142661"/>
    <w:rsid w:val="0014775F"/>
    <w:rsid w:val="00152A0F"/>
    <w:rsid w:val="00154AE7"/>
    <w:rsid w:val="0015689C"/>
    <w:rsid w:val="00161027"/>
    <w:rsid w:val="00174891"/>
    <w:rsid w:val="00174C66"/>
    <w:rsid w:val="00180397"/>
    <w:rsid w:val="00186E7A"/>
    <w:rsid w:val="00187C9E"/>
    <w:rsid w:val="00190986"/>
    <w:rsid w:val="00196928"/>
    <w:rsid w:val="001A2F48"/>
    <w:rsid w:val="001B184E"/>
    <w:rsid w:val="001C575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3991"/>
    <w:rsid w:val="002A3FF5"/>
    <w:rsid w:val="002A48CB"/>
    <w:rsid w:val="002B2D40"/>
    <w:rsid w:val="002B41AC"/>
    <w:rsid w:val="002B5EE3"/>
    <w:rsid w:val="002B701E"/>
    <w:rsid w:val="002D114D"/>
    <w:rsid w:val="002D365A"/>
    <w:rsid w:val="002D48C6"/>
    <w:rsid w:val="002D5CCD"/>
    <w:rsid w:val="002E3339"/>
    <w:rsid w:val="002E59E7"/>
    <w:rsid w:val="002F0E8C"/>
    <w:rsid w:val="002F5622"/>
    <w:rsid w:val="00300D5F"/>
    <w:rsid w:val="003028D5"/>
    <w:rsid w:val="003035A0"/>
    <w:rsid w:val="00305A46"/>
    <w:rsid w:val="00310742"/>
    <w:rsid w:val="00315420"/>
    <w:rsid w:val="0031616D"/>
    <w:rsid w:val="003170A5"/>
    <w:rsid w:val="003249C8"/>
    <w:rsid w:val="003268DE"/>
    <w:rsid w:val="00332960"/>
    <w:rsid w:val="003353BE"/>
    <w:rsid w:val="00343C35"/>
    <w:rsid w:val="00344ED2"/>
    <w:rsid w:val="003477AB"/>
    <w:rsid w:val="00354627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12082"/>
    <w:rsid w:val="00421556"/>
    <w:rsid w:val="00421BC0"/>
    <w:rsid w:val="00425547"/>
    <w:rsid w:val="0042719F"/>
    <w:rsid w:val="004328CE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D0C3B"/>
    <w:rsid w:val="004D3CC7"/>
    <w:rsid w:val="004E3E9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3BDF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64C47"/>
    <w:rsid w:val="006657AC"/>
    <w:rsid w:val="0067750C"/>
    <w:rsid w:val="00693A37"/>
    <w:rsid w:val="006A0E1A"/>
    <w:rsid w:val="006A20BB"/>
    <w:rsid w:val="006B04E9"/>
    <w:rsid w:val="006B48B5"/>
    <w:rsid w:val="006C6BA7"/>
    <w:rsid w:val="006D36C1"/>
    <w:rsid w:val="006D51AE"/>
    <w:rsid w:val="006D5938"/>
    <w:rsid w:val="006D7516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44B9"/>
    <w:rsid w:val="00787480"/>
    <w:rsid w:val="007A3333"/>
    <w:rsid w:val="007A4481"/>
    <w:rsid w:val="007A5D23"/>
    <w:rsid w:val="007B1345"/>
    <w:rsid w:val="007B7AAC"/>
    <w:rsid w:val="007C32D5"/>
    <w:rsid w:val="007C47D0"/>
    <w:rsid w:val="007E7828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2815"/>
    <w:rsid w:val="008D6913"/>
    <w:rsid w:val="008E05AD"/>
    <w:rsid w:val="008E5629"/>
    <w:rsid w:val="008E7744"/>
    <w:rsid w:val="008F7D7F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A1EA0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400F"/>
    <w:rsid w:val="00A4559A"/>
    <w:rsid w:val="00A60E35"/>
    <w:rsid w:val="00A64109"/>
    <w:rsid w:val="00A64A3D"/>
    <w:rsid w:val="00A70A40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65C3C"/>
    <w:rsid w:val="00B7338B"/>
    <w:rsid w:val="00B84CA3"/>
    <w:rsid w:val="00B8601F"/>
    <w:rsid w:val="00B865E6"/>
    <w:rsid w:val="00B87338"/>
    <w:rsid w:val="00B9103E"/>
    <w:rsid w:val="00B9472A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D8E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E2F2C"/>
    <w:rsid w:val="00D0146C"/>
    <w:rsid w:val="00D0366C"/>
    <w:rsid w:val="00D03C1C"/>
    <w:rsid w:val="00D11BA1"/>
    <w:rsid w:val="00D1594D"/>
    <w:rsid w:val="00D170CC"/>
    <w:rsid w:val="00D17810"/>
    <w:rsid w:val="00D2001D"/>
    <w:rsid w:val="00D21578"/>
    <w:rsid w:val="00D21675"/>
    <w:rsid w:val="00D21979"/>
    <w:rsid w:val="00D24C79"/>
    <w:rsid w:val="00D273C1"/>
    <w:rsid w:val="00D37B31"/>
    <w:rsid w:val="00D42962"/>
    <w:rsid w:val="00D43868"/>
    <w:rsid w:val="00D50447"/>
    <w:rsid w:val="00D5240A"/>
    <w:rsid w:val="00D539CC"/>
    <w:rsid w:val="00D56DDD"/>
    <w:rsid w:val="00D641F6"/>
    <w:rsid w:val="00D74F35"/>
    <w:rsid w:val="00D9036B"/>
    <w:rsid w:val="00D97EFA"/>
    <w:rsid w:val="00DA11FD"/>
    <w:rsid w:val="00DA1A19"/>
    <w:rsid w:val="00DA3BF7"/>
    <w:rsid w:val="00DA6B8F"/>
    <w:rsid w:val="00DB17C8"/>
    <w:rsid w:val="00DB1848"/>
    <w:rsid w:val="00DC0863"/>
    <w:rsid w:val="00DE2594"/>
    <w:rsid w:val="00DE47A6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0222"/>
    <w:rsid w:val="00E529D5"/>
    <w:rsid w:val="00E536D1"/>
    <w:rsid w:val="00E56B78"/>
    <w:rsid w:val="00E63EE4"/>
    <w:rsid w:val="00E64E0D"/>
    <w:rsid w:val="00E64FB3"/>
    <w:rsid w:val="00E67C64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3A9E"/>
    <w:rsid w:val="00EF54A3"/>
    <w:rsid w:val="00F02BC8"/>
    <w:rsid w:val="00F0513A"/>
    <w:rsid w:val="00F0720A"/>
    <w:rsid w:val="00F14285"/>
    <w:rsid w:val="00F21B92"/>
    <w:rsid w:val="00F2306F"/>
    <w:rsid w:val="00F32FF4"/>
    <w:rsid w:val="00F3508B"/>
    <w:rsid w:val="00F36164"/>
    <w:rsid w:val="00F36B16"/>
    <w:rsid w:val="00F42BE7"/>
    <w:rsid w:val="00F432E0"/>
    <w:rsid w:val="00F45230"/>
    <w:rsid w:val="00F46D39"/>
    <w:rsid w:val="00F50ABA"/>
    <w:rsid w:val="00F54A5B"/>
    <w:rsid w:val="00F6067D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B66A6"/>
    <w:rsid w:val="00FC1909"/>
    <w:rsid w:val="00FC3E1B"/>
    <w:rsid w:val="00FC5150"/>
    <w:rsid w:val="00FD0FE4"/>
    <w:rsid w:val="00FD1F09"/>
    <w:rsid w:val="00FE0DDE"/>
    <w:rsid w:val="00FE4564"/>
    <w:rsid w:val="00FE5649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70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70CC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70CC"/>
    <w:pPr>
      <w:spacing w:after="200"/>
    </w:pPr>
    <w:rPr>
      <w:rFonts w:ascii="Calibri" w:eastAsia="Calibri" w:hAnsi="Calibr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70CC"/>
    <w:rPr>
      <w:rFonts w:ascii="Calibri" w:eastAsia="Calibri" w:hAnsi="Calibri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C39B2-5B67-4CBE-8F99-2C1349C14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696</Words>
  <Characters>5641</Characters>
  <Application>Microsoft Office Word</Application>
  <DocSecurity>0</DocSecurity>
  <Lines>433</Lines>
  <Paragraphs>150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https:/mul2-minfin.gov.am/tasks/830006/oneclick/bfaa61119d462a716b62e872118a9a86ad91fbb2f69cb33bbf21469e3f5dfc85.docx?token=5b34ef27f13bfb3dcc25d49d29ba835c</cp:keywords>
  <cp:lastModifiedBy>Qristine Grigoryan</cp:lastModifiedBy>
  <cp:revision>2</cp:revision>
  <cp:lastPrinted>2019-07-09T07:00:00Z</cp:lastPrinted>
  <dcterms:created xsi:type="dcterms:W3CDTF">2025-04-22T10:21:00Z</dcterms:created>
  <dcterms:modified xsi:type="dcterms:W3CDTF">2025-04-22T10:21:00Z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