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Pr>
          <w:rStyle w:val="Strong"/>
          <w:rFonts w:ascii="GHEA Grapalat" w:hAnsi="GHEA Grapalat"/>
          <w:color w:val="000000"/>
          <w:lang w:val="hy-AM"/>
        </w:rPr>
        <w:t>ՆԱԽԱԳԻԾ</w:t>
      </w:r>
    </w:p>
    <w:p>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p>
    <w:p>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ԿԱՌԱՎԱՐՈՒԹՅՈՒՆ</w:t>
      </w:r>
    </w:p>
    <w:p>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Ո Ր Ո Շ ՈՒ Մ</w:t>
      </w:r>
    </w:p>
    <w:p>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 2025 թվականի N         - Լ</w:t>
      </w:r>
    </w:p>
    <w:p>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GHEA Grapalat"/>
          <w:color w:val="000000"/>
          <w:lang w:val="hy-AM"/>
        </w:rPr>
        <w:t>ՄԱՅԻՍԻ</w:t>
      </w:r>
      <w:r>
        <w:rPr>
          <w:rStyle w:val="Strong"/>
          <w:rFonts w:ascii="GHEA Grapalat" w:hAnsi="GHEA Grapalat"/>
          <w:color w:val="000000"/>
          <w:lang w:val="hy-AM"/>
        </w:rPr>
        <w:t xml:space="preserve"> 16-</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 xml:space="preserve">N 710-Լ </w:t>
      </w:r>
      <w:r>
        <w:rPr>
          <w:rStyle w:val="Strong"/>
          <w:rFonts w:ascii="GHEA Grapalat" w:hAnsi="GHEA Grapalat"/>
          <w:shd w:val="clear" w:color="auto" w:fill="FFFFFF"/>
          <w:lang w:val="hy-AM"/>
        </w:rPr>
        <w:t>ԵՎ</w:t>
      </w:r>
      <w:r>
        <w:rPr>
          <w:rStyle w:val="Strong"/>
          <w:rFonts w:ascii="GHEA Grapalat" w:hAnsi="GHEA Grapalat" w:cs="Calibri"/>
          <w:color w:val="000000"/>
          <w:lang w:val="hy-AM"/>
        </w:rPr>
        <w:t xml:space="preserve"> ՀԱՅԱՍՏԱՆԻ </w:t>
      </w:r>
      <w:r>
        <w:rPr>
          <w:rStyle w:val="Strong"/>
          <w:rFonts w:ascii="GHEA Grapalat" w:hAnsi="GHEA Grapalat"/>
          <w:color w:val="000000"/>
          <w:lang w:val="hy-AM"/>
        </w:rPr>
        <w:t>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Calibri"/>
          <w:color w:val="000000"/>
          <w:lang w:val="hy-AM"/>
        </w:rPr>
        <w:t>ՀՈՒՆԻՍԻ 14-Ի</w:t>
      </w:r>
      <w:r>
        <w:rPr>
          <w:rStyle w:val="Strong"/>
          <w:rFonts w:ascii="GHEA Grapalat" w:hAnsi="GHEA Grapalat" w:cs="GHEA Grapalat"/>
          <w:color w:val="000000"/>
          <w:lang w:val="hy-AM"/>
        </w:rPr>
        <w:t xml:space="preserve"> N 898-Լ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ՈՐՈՇՈՒՄՆԵՐՈՒՄ ՓՈՓՈԽՈՒԹՅՈՒՆՆԵՐ ԵՎ</w:t>
      </w:r>
      <w:r>
        <w:rPr>
          <w:rStyle w:val="Strong"/>
          <w:rFonts w:ascii="GHEA Grapalat" w:hAnsi="GHEA Grapalat" w:cs="Calibri"/>
          <w:color w:val="000000"/>
          <w:lang w:val="hy-AM"/>
        </w:rPr>
        <w:t xml:space="preserve"> ԼՐԱՑՈՒՄՆԵՐ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p>
    <w:p>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Calibri" w:hAnsi="Calibri" w:cs="Calibri"/>
          <w:color w:val="000000"/>
          <w:lang w:val="hy-AM"/>
        </w:rPr>
        <w:t> </w:t>
      </w:r>
    </w:p>
    <w:p>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Ղեկավարվելով «Նորմատիվ իրավական ակտերի մասին» օրենքի 33-րդ և 34-րդ հոդվածներով և հիմք ընդունելով «</w:t>
      </w:r>
      <w:r>
        <w:rPr>
          <w:rFonts w:ascii="GHEA Grapalat" w:eastAsiaTheme="minorHAnsi" w:hAnsi="GHEA Grapalat" w:cstheme="minorBidi"/>
          <w:noProof/>
          <w:lang w:val="hy-AM"/>
        </w:rPr>
        <w:t>Հայաստանի Հանրապետության 2024 թվականի պետական բյուջեի մասին» Հայաստանի Հանրապետության օրենքի 9-րդ հոդվածի 21-րդ մասը</w:t>
      </w:r>
      <w:r>
        <w:rPr>
          <w:rFonts w:ascii="GHEA Grapalat" w:hAnsi="GHEA Grapalat"/>
          <w:color w:val="000000"/>
          <w:lang w:val="hy-AM"/>
        </w:rPr>
        <w:t>՝ Հայաստանի Հանրապետության կառավարությունը</w:t>
      </w:r>
      <w:r>
        <w:rPr>
          <w:rFonts w:ascii="Calibri" w:hAnsi="Calibri" w:cs="Calibri"/>
          <w:color w:val="000000"/>
          <w:lang w:val="hy-AM"/>
        </w:rPr>
        <w:t> </w:t>
      </w:r>
      <w:r>
        <w:rPr>
          <w:rFonts w:ascii="GHEA Grapalat" w:hAnsi="GHEA Grapalat"/>
          <w:b/>
          <w:i/>
          <w:color w:val="000000"/>
          <w:lang w:val="hy-AM"/>
        </w:rPr>
        <w:t xml:space="preserve">որոշում </w:t>
      </w:r>
      <w:r>
        <w:rPr>
          <w:rFonts w:ascii="GHEA Grapalat" w:hAnsi="GHEA Grapalat"/>
          <w:i/>
          <w:color w:val="000000"/>
          <w:lang w:val="hy-AM"/>
        </w:rPr>
        <w:t>է</w:t>
      </w:r>
      <w:r>
        <w:rPr>
          <w:rFonts w:ascii="GHEA Grapalat" w:hAnsi="GHEA Grapalat"/>
          <w:color w:val="000000"/>
          <w:lang w:val="hy-AM"/>
        </w:rPr>
        <w:t>.</w:t>
      </w:r>
    </w:p>
    <w:p>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Հայաստանի Հանրապետության կառավարության 2024 թվականի մայիսի 16-ի «Լեռնային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հաստատելու մասին» N 710-Լ որոշման (այսուհետ՝ որոշում) մեջ կատարել հետևյալ փոփոխությունները և լրացումները՝</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որոշման վերնագիրը «ՀԱՍՏԱՏԵԼՈՒ» բառից հետո լրացնել «, ԻՆՉՊԵՍ ՆԱԵՎ ՄԻՋԳԵՐԱՏԵՍՉԱԿԱՆ ՀԱՆՁՆԱԺՈՂՈՎ ՍՏԵՂԾԵԼՈՒ, ԴՐԱ ԿԱԶՄԸ ԵՎ ԱՇԽԱՏԱԿԱՐԳԸ ՀԱՍՏԱՏԵԼՈՒ» բառերով.</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որոշման 1-ին կետից հետո լրացնել հետևյալ բովանդակությամբ նոր՝ 1.1-ին և 1.2-րդ կետերով.</w:t>
      </w:r>
    </w:p>
    <w:p>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lang w:val="hy-AM"/>
        </w:rPr>
        <w:t>«1.1.</w:t>
      </w:r>
      <w:r>
        <w:rPr>
          <w:rFonts w:ascii="GHEA Grapalat" w:hAnsi="GHEA Grapalat"/>
          <w:color w:val="000000"/>
          <w:lang w:val="hy-AM"/>
        </w:rPr>
        <w:t xml:space="preserve"> Ստեղծել միջգերատեսչական հանձնաժողով և հաստատել դրա կազմը` համաձայն N 4 հավելվածի:</w:t>
      </w:r>
    </w:p>
    <w:p>
      <w:pPr>
        <w:pStyle w:val="NormalWeb"/>
        <w:numPr>
          <w:ilvl w:val="1"/>
          <w:numId w:val="52"/>
        </w:numPr>
        <w:shd w:val="clear" w:color="auto" w:fill="FFFFFF"/>
        <w:spacing w:before="0" w:beforeAutospacing="0" w:after="0" w:afterAutospacing="0" w:line="360" w:lineRule="auto"/>
        <w:ind w:left="0" w:firstLine="810"/>
        <w:jc w:val="both"/>
        <w:rPr>
          <w:rFonts w:ascii="GHEA Grapalat" w:hAnsi="GHEA Grapalat"/>
          <w:lang w:val="hy-AM"/>
        </w:rPr>
      </w:pPr>
      <w:r>
        <w:rPr>
          <w:rFonts w:ascii="GHEA Grapalat" w:hAnsi="GHEA Grapalat"/>
          <w:lang w:val="hy-AM"/>
        </w:rPr>
        <w:t>Հաստատել միջգերատեսչական հանձնաժողովի աշխատակարգը` համաձայն N 5 հավելվածի:».</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lastRenderedPageBreak/>
        <w:t>որոշումը լրացնել նոր՝ N 4 և N 5 հավելվածներով՝ համաձայն N 1 և N 2 հավելվածների.</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որոշման </w:t>
      </w:r>
      <w:r>
        <w:rPr>
          <w:rFonts w:ascii="GHEA Grapalat" w:hAnsi="GHEA Grapalat"/>
          <w:color w:val="000000"/>
          <w:lang w:val="hy-AM"/>
        </w:rPr>
        <w:t>N 1 հավելվածի 4-րդ կետի 2-րդ ենթակետում «հիման վրա՝» բառերը փոխարինել «հիման վրա, բացառությամբ այն դեպքերի, երբ անհատական բնակելի տների կառուցումն իրականացվում է» բառերով.</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 xml:space="preserve">որոշման N 1 հավելվածի 6-րդ կետում «2024» թիվը փոխարինել «2026» թվով և «ծնված» բառից հետո լրացնել «, եթե ընտանիքն առցանց դիմում-հայտարարությունը կներկայացնի </w:t>
      </w:r>
      <w:r>
        <w:rPr>
          <w:rFonts w:ascii="GHEA Grapalat" w:hAnsi="GHEA Grapalat"/>
          <w:lang w:val="hy-AM"/>
        </w:rPr>
        <w:t>և ծրագրով նախատեսված հավաստագիրը կստանա</w:t>
      </w:r>
      <w:r>
        <w:rPr>
          <w:rFonts w:ascii="GHEA Grapalat" w:hAnsi="GHEA Grapalat"/>
          <w:color w:val="000000"/>
          <w:lang w:val="hy-AM"/>
        </w:rPr>
        <w:t xml:space="preserve"> մինչև 2025 թվականի դեկտեմբերի 31-ը» բառերով. </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որոշման N 1 հավելվածի 11.2</w:t>
      </w:r>
      <w:r>
        <w:rPr>
          <w:rFonts w:ascii="GHEA Grapalat" w:hAnsi="GHEA Grapalat"/>
          <w:color w:val="000000" w:themeColor="text1"/>
          <w:lang w:val="hy-AM"/>
        </w:rPr>
        <w:t>-րդ կետից հետո լրացնել հետևյալ բովանդակությամբ նոր՝ 11.3-րդ կետով՝</w:t>
      </w:r>
    </w:p>
    <w:p>
      <w:pPr>
        <w:pStyle w:val="NormalWeb"/>
        <w:shd w:val="clear" w:color="auto" w:fill="FFFFFF"/>
        <w:tabs>
          <w:tab w:val="left" w:pos="1080"/>
        </w:tabs>
        <w:spacing w:before="0" w:beforeAutospacing="0" w:after="0" w:afterAutospacing="0" w:line="360" w:lineRule="auto"/>
        <w:ind w:firstLine="720"/>
        <w:jc w:val="both"/>
        <w:rPr>
          <w:rFonts w:ascii="GHEA Grapalat" w:hAnsi="GHEA Grapalat"/>
          <w:noProof/>
          <w:lang w:val="hy-AM"/>
        </w:rPr>
      </w:pPr>
      <w:r>
        <w:rPr>
          <w:rFonts w:ascii="GHEA Grapalat" w:hAnsi="GHEA Grapalat"/>
          <w:color w:val="000000" w:themeColor="text1"/>
          <w:lang w:val="hy-AM"/>
        </w:rPr>
        <w:t xml:space="preserve">«11.3. Ծրագրի շրջանակում փոխհատուցվում են </w:t>
      </w:r>
      <w:r>
        <w:rPr>
          <w:rFonts w:ascii="GHEA Grapalat" w:hAnsi="GHEA Grapalat"/>
          <w:noProof/>
          <w:lang w:val="hy-AM"/>
        </w:rPr>
        <w:t>«Գույքի նկատմամբ իրավունքների պետական գրանցման մասին» օրենքի 73-րդ հոդվածով և «Պետական տուրքի մասին» օրենքով սահմանված անշարժ գույքի նկատմամբ իրավունքների պետական գրանցման համար անհրաժեշտ վճարները։</w:t>
      </w:r>
      <w:r>
        <w:rPr>
          <w:rFonts w:ascii="GHEA Grapalat" w:hAnsi="GHEA Grapalat"/>
          <w:color w:val="000000" w:themeColor="text1"/>
          <w:lang w:val="hy-AM"/>
        </w:rPr>
        <w:t>».</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որոշման N 1 հավելվածի 12</w:t>
      </w:r>
      <w:r>
        <w:rPr>
          <w:rFonts w:ascii="GHEA Grapalat" w:hAnsi="GHEA Grapalat"/>
          <w:color w:val="000000" w:themeColor="text1"/>
          <w:lang w:val="hy-AM"/>
        </w:rPr>
        <w:t>-րդ կետից հետո լրացնել հետևյալ բովանդակությամբ նոր՝ 12.1-ին կետով՝</w:t>
      </w:r>
    </w:p>
    <w:p>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«12.1. Անհատական բնակելի տան կառուցման համար նախատեսված հողամասի ձեռքբերման համար աջակցությունը տրամադրվում է կամ հիփոթեքային վարկավորմամբ, կամ հետևյալ ընթացակարգով՝ </w:t>
      </w:r>
    </w:p>
    <w:p>
      <w:pPr>
        <w:pStyle w:val="NormalWeb"/>
        <w:numPr>
          <w:ilvl w:val="0"/>
          <w:numId w:val="45"/>
        </w:numPr>
        <w:shd w:val="clear" w:color="auto" w:fill="FFFFFF"/>
        <w:tabs>
          <w:tab w:val="left" w:pos="720"/>
          <w:tab w:val="left" w:pos="990"/>
        </w:tabs>
        <w:spacing w:before="0" w:beforeAutospacing="0" w:after="0" w:afterAutospacing="0" w:line="360" w:lineRule="auto"/>
        <w:ind w:left="0" w:firstLine="630"/>
        <w:jc w:val="both"/>
        <w:rPr>
          <w:rFonts w:ascii="Cambria Math" w:hAnsi="Cambria Math"/>
          <w:color w:val="000000" w:themeColor="text1"/>
          <w:lang w:val="hy-AM"/>
        </w:rPr>
      </w:pPr>
      <w:r>
        <w:rPr>
          <w:rFonts w:ascii="GHEA Grapalat" w:hAnsi="GHEA Grapalat"/>
          <w:color w:val="000000" w:themeColor="text1"/>
          <w:lang w:val="hy-AM"/>
        </w:rPr>
        <w:t xml:space="preserve">ձեռք բերվող հողամասի գնահատման նպատակով շահառուն դիմում է գործընկեր ֆինանսական կազմակերպությունների հետ համագործակցող գնահատման կազմակերպություններից որևէ մեկին և ստանում անշարժ գույքի գնահատման հաշվետվությունը (այսուհետ՝ հաշվետվություն).  </w:t>
      </w:r>
    </w:p>
    <w:p>
      <w:pPr>
        <w:pStyle w:val="NormalWeb"/>
        <w:numPr>
          <w:ilvl w:val="0"/>
          <w:numId w:val="45"/>
        </w:numPr>
        <w:shd w:val="clear" w:color="auto" w:fill="FFFFFF"/>
        <w:tabs>
          <w:tab w:val="left" w:pos="720"/>
          <w:tab w:val="left" w:pos="990"/>
        </w:tabs>
        <w:spacing w:before="0" w:beforeAutospacing="0" w:after="0" w:afterAutospacing="0" w:line="360" w:lineRule="auto"/>
        <w:ind w:left="0" w:firstLine="630"/>
        <w:jc w:val="both"/>
        <w:rPr>
          <w:rFonts w:ascii="Cambria Math" w:hAnsi="Cambria Math"/>
          <w:color w:val="000000" w:themeColor="text1"/>
          <w:lang w:val="hy-AM"/>
        </w:rPr>
      </w:pPr>
      <w:r>
        <w:rPr>
          <w:rFonts w:ascii="GHEA Grapalat" w:hAnsi="GHEA Grapalat"/>
          <w:lang w:val="hy-AM"/>
        </w:rPr>
        <w:t xml:space="preserve">շահառուն, նախքան գույքի նկատմամբ իրավունքների պետական գրանցումը, դիմում է ՀՀ աշխատանքի և սոցիալական հարցերի նախարարության միասնական սոցիալական ծառայություն (այսուհետ՝ ծառայություն), այդ թվում՝ տարածքային կենտրոններ (մինչև համապատասխան ծրագրային ապահովման գործարկումը), ներկայացնելով դիմում, ինչպես նաև՝ անձը հաստատող փաստաթուղթը, հավաստագիրը, գնահատման հաշվետվությունը, բնակելի կառուցապատման հողամասի՝ տարաժամկետ վճարման </w:t>
      </w:r>
      <w:r>
        <w:rPr>
          <w:rFonts w:ascii="GHEA Grapalat" w:hAnsi="GHEA Grapalat"/>
          <w:lang w:val="hy-AM"/>
        </w:rPr>
        <w:lastRenderedPageBreak/>
        <w:t xml:space="preserve">պայմանով առուվաճառքի պայմանագիրը, որի արժեքը չի կարող գերազանցել 4 մլն դրամը և չպետք է գերազանցի հաշվետվությամբ նշված շուկայական արժեքը. </w:t>
      </w:r>
    </w:p>
    <w:p>
      <w:pPr>
        <w:pStyle w:val="NormalWeb"/>
        <w:numPr>
          <w:ilvl w:val="0"/>
          <w:numId w:val="45"/>
        </w:numPr>
        <w:shd w:val="clear" w:color="auto" w:fill="FFFFFF"/>
        <w:tabs>
          <w:tab w:val="left" w:pos="720"/>
          <w:tab w:val="left" w:pos="990"/>
        </w:tabs>
        <w:spacing w:before="0" w:beforeAutospacing="0" w:after="0" w:afterAutospacing="0" w:line="360" w:lineRule="auto"/>
        <w:ind w:left="0" w:firstLine="630"/>
        <w:jc w:val="both"/>
        <w:rPr>
          <w:rFonts w:ascii="GHEA Grapalat" w:hAnsi="GHEA Grapalat"/>
          <w:color w:val="000000" w:themeColor="text1"/>
          <w:lang w:val="hy-AM"/>
        </w:rPr>
      </w:pPr>
      <w:r>
        <w:rPr>
          <w:rFonts w:ascii="GHEA Grapalat" w:hAnsi="GHEA Grapalat"/>
          <w:color w:val="000000" w:themeColor="text1"/>
          <w:lang w:val="hy-AM"/>
        </w:rPr>
        <w:t>ծառայությունը 7 աշխատանքային օրվա ընթացքում հողամասի առուվաճառքի պայմանագրում նշված վաճառողի բանկային հաշվին է փոխանցում պայմանագրով սահմանված գումարը՝ այդ մասին էլեկտրոնային եղանակով ծանուցելով շահառուին.</w:t>
      </w:r>
    </w:p>
    <w:p>
      <w:pPr>
        <w:pStyle w:val="NormalWeb"/>
        <w:numPr>
          <w:ilvl w:val="0"/>
          <w:numId w:val="45"/>
        </w:numPr>
        <w:shd w:val="clear" w:color="auto" w:fill="FFFFFF"/>
        <w:tabs>
          <w:tab w:val="left" w:pos="720"/>
          <w:tab w:val="left" w:pos="990"/>
        </w:tabs>
        <w:spacing w:before="0" w:beforeAutospacing="0" w:after="0" w:afterAutospacing="0" w:line="360" w:lineRule="auto"/>
        <w:ind w:left="0" w:firstLine="630"/>
        <w:jc w:val="both"/>
        <w:rPr>
          <w:rFonts w:ascii="GHEA Grapalat" w:hAnsi="GHEA Grapalat"/>
          <w:color w:val="000000" w:themeColor="text1"/>
          <w:lang w:val="hy-AM"/>
        </w:rPr>
      </w:pPr>
      <w:r>
        <w:rPr>
          <w:rFonts w:ascii="GHEA Grapalat" w:hAnsi="GHEA Grapalat"/>
          <w:color w:val="000000" w:themeColor="text1"/>
          <w:lang w:val="hy-AM"/>
        </w:rPr>
        <w:t>գործընկեր ֆինանսական կազմակերպությունը, անհատական բնակելի տան կառուցման նպատակով հիփոթեքային վարկ տրամադրելիս հաշվի է առնում նաև հողամասի ձեռքբերման համար շահառուին տրամադրված աջակցությունը, այսինքն՝ կառուցապատման վարկի չափը սահմանվում է առավելագույնը տվյալ ընտանիքին հասանելիք աջակցության և հողամասի ձեռքբերման նպատակով տրամադրված աջակցության տարբերության չափով, ինչպես նաև այս դեպքում կառուցապատման վարկը տրամադրվում է բացառապես պետական աջակցությամբ ձեռք բերված հողամասի վրա կառուցապատում իրականացնելու նպատակով.</w:t>
      </w:r>
    </w:p>
    <w:p>
      <w:pPr>
        <w:pStyle w:val="NormalWeb"/>
        <w:numPr>
          <w:ilvl w:val="0"/>
          <w:numId w:val="45"/>
        </w:numPr>
        <w:shd w:val="clear" w:color="auto" w:fill="FFFFFF"/>
        <w:tabs>
          <w:tab w:val="left" w:pos="720"/>
          <w:tab w:val="left" w:pos="990"/>
        </w:tabs>
        <w:spacing w:before="0" w:beforeAutospacing="0" w:after="0" w:afterAutospacing="0" w:line="360" w:lineRule="auto"/>
        <w:ind w:left="0" w:firstLine="630"/>
        <w:jc w:val="both"/>
        <w:rPr>
          <w:rFonts w:ascii="GHEA Grapalat" w:hAnsi="GHEA Grapalat"/>
          <w:color w:val="000000" w:themeColor="text1"/>
          <w:lang w:val="hy-AM"/>
        </w:rPr>
      </w:pPr>
      <w:r>
        <w:rPr>
          <w:rFonts w:ascii="GHEA Grapalat" w:hAnsi="GHEA Grapalat"/>
          <w:color w:val="000000" w:themeColor="text1"/>
          <w:lang w:val="hy-AM"/>
        </w:rPr>
        <w:t xml:space="preserve">շահառուն կարող է օգտվել հողամասի ձեռքբերման համար նախատեսված աջակցությունից, եթե իրեն հասանելիք աջակցության չափի (հաշվարկվում է հողամասի գտնվելու վայրի և հավաստագրում ներառված ընտանիքի անդամների թվի հիման վրա) և հողամասի արժեքի տարբերությունը պակաս չէ հասանելիք աջակցության չափի 80 տոկոսից. </w:t>
      </w:r>
    </w:p>
    <w:p>
      <w:pPr>
        <w:pStyle w:val="NormalWeb"/>
        <w:numPr>
          <w:ilvl w:val="0"/>
          <w:numId w:val="45"/>
        </w:numPr>
        <w:shd w:val="clear" w:color="auto" w:fill="FFFFFF"/>
        <w:tabs>
          <w:tab w:val="left" w:pos="720"/>
          <w:tab w:val="left" w:pos="990"/>
        </w:tabs>
        <w:spacing w:before="0" w:beforeAutospacing="0" w:after="0" w:afterAutospacing="0" w:line="360" w:lineRule="auto"/>
        <w:ind w:left="0" w:firstLine="630"/>
        <w:jc w:val="both"/>
        <w:rPr>
          <w:rFonts w:ascii="GHEA Grapalat" w:hAnsi="GHEA Grapalat"/>
          <w:color w:val="000000" w:themeColor="text1"/>
          <w:lang w:val="hy-AM"/>
        </w:rPr>
      </w:pPr>
      <w:r>
        <w:rPr>
          <w:rFonts w:ascii="GHEA Grapalat" w:hAnsi="GHEA Grapalat"/>
          <w:color w:val="000000" w:themeColor="text1"/>
          <w:lang w:val="hy-AM"/>
        </w:rPr>
        <w:t>հողամասի ձեռքբերման նպատակով աջակցություն ստացած շահառուն չի կարող հրաժարվել անհատական բնակելի տան կառուցման հավաստագրից, այն ենթակա է պարտադիր իրացման.</w:t>
      </w:r>
    </w:p>
    <w:p>
      <w:pPr>
        <w:pStyle w:val="NormalWeb"/>
        <w:numPr>
          <w:ilvl w:val="0"/>
          <w:numId w:val="45"/>
        </w:numPr>
        <w:shd w:val="clear" w:color="auto" w:fill="FFFFFF"/>
        <w:tabs>
          <w:tab w:val="left" w:pos="720"/>
          <w:tab w:val="left" w:pos="990"/>
        </w:tabs>
        <w:spacing w:before="0" w:beforeAutospacing="0" w:after="0" w:afterAutospacing="0" w:line="360" w:lineRule="auto"/>
        <w:ind w:left="0" w:firstLine="630"/>
        <w:jc w:val="both"/>
        <w:rPr>
          <w:rFonts w:ascii="GHEA Grapalat" w:hAnsi="GHEA Grapalat"/>
          <w:color w:val="000000" w:themeColor="text1"/>
          <w:lang w:val="hy-AM"/>
        </w:rPr>
      </w:pPr>
      <w:r>
        <w:rPr>
          <w:rFonts w:ascii="GHEA Grapalat" w:hAnsi="GHEA Grapalat"/>
          <w:lang w:val="hy-AM"/>
        </w:rPr>
        <w:t>եթե սույն կետի 2-րդ ենթակետով ներկայացված դիմումում առկա են ձևական սխալներ, որոնք կարող են շտկվել, ապա ծառայությունը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ծառայությունը դիմողին առաջարկում է 10-օրյա ժամկետում համալրել այդ ցանկը,</w:t>
      </w:r>
      <w:r>
        <w:rPr>
          <w:rFonts w:ascii="GHEA Grapalat" w:hAnsi="GHEA Grapalat"/>
          <w:color w:val="000000" w:themeColor="text1"/>
          <w:lang w:val="hy-AM"/>
        </w:rPr>
        <w:t xml:space="preserve"> </w:t>
      </w:r>
      <w:r>
        <w:rPr>
          <w:rFonts w:ascii="GHEA Grapalat" w:hAnsi="GHEA Grapalat"/>
          <w:lang w:val="hy-AM"/>
        </w:rPr>
        <w:t>հակառակ դեպքում՝ դիմումը մերժվում է։</w:t>
      </w:r>
      <w:r>
        <w:rPr>
          <w:rFonts w:ascii="GHEA Grapalat" w:hAnsi="GHEA Grapalat"/>
          <w:color w:val="000000" w:themeColor="text1"/>
          <w:lang w:val="hy-AM"/>
        </w:rPr>
        <w:t>».</w:t>
      </w:r>
    </w:p>
    <w:p>
      <w:pPr>
        <w:pStyle w:val="NormalWeb"/>
        <w:shd w:val="clear" w:color="auto" w:fill="FFFFFF"/>
        <w:tabs>
          <w:tab w:val="left" w:pos="720"/>
          <w:tab w:val="left" w:pos="990"/>
        </w:tabs>
        <w:spacing w:before="0" w:beforeAutospacing="0" w:after="0" w:afterAutospacing="0" w:line="360" w:lineRule="auto"/>
        <w:jc w:val="both"/>
        <w:rPr>
          <w:rFonts w:ascii="GHEA Grapalat" w:hAnsi="GHEA Grapalat"/>
          <w:lang w:val="hy-AM"/>
        </w:rPr>
      </w:pP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lastRenderedPageBreak/>
        <w:t xml:space="preserve">որոշման N 1 հավելվածի 13-րդ կետի 2-րդ ենթակետը «դրամ» բառից հետո լրացնել «, որն ավելացվում է ընտանիքի 6-րդ և հաջորդ յուրաքանչյուր անդամի հաշվով 800 հազ. դրամով, բայց ոչ ավելի, քան ընդհանուր 8 մլն դրամը,» բառերով. </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որոշման N 1 հավելվածի 13-րդ կետի 3-րդ ենթակետը «դրամ» բառից հետո լրացնել «, որն ավելացվում է ընտանիքի 6-րդ և հաջորդ յուրաքանչյուր անդամի հաշվով 400 հազ. դրամով, բայց ոչ ավելի, քան ընդհանուր 4 մլն դրամը» բառերով.</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որոշման N 1 հավելվածի 14-րդ կետի 1-ին ենթակետում «կրելու համար» բառերից հետո լրացնել «, բացառությամբ այն դեպքերի, երբ ընտանիքը պարտավորվում է սույն հավելվածի 14-րդ կետի 1-ին ենթակետով սահմանված պայմանը խախտած ընտանիքի անդամներին հասանելիք աջակցության գումարի չափով իրականացնել հիփոթեքային վարկի ամսական մարումները (մայր գումար և տոկոսագումար)» բառերով.</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որոշման</w:t>
      </w:r>
      <w:r>
        <w:rPr>
          <w:rFonts w:ascii="GHEA Grapalat" w:hAnsi="GHEA Grapalat"/>
          <w:color w:val="000000"/>
          <w:lang w:val="hy-AM"/>
        </w:rPr>
        <w:t xml:space="preserve"> N 1 հավելվածի 16-րդ կետը «երեխա ունեցող ընտանիքների բնակարանային ապահովության պետական աջակցության ծրագրերից» բառերից հետո լրացնել «և այլ ծրագրերից» բառերով և «հաստատված ծրագրի)» բառերից հետո լրացնել «, եթե դրանք բավարարում են սույն հավելվածով սահմանված ծրագրի հիմնական պայմաններին» բառերով.</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որոշման</w:t>
      </w:r>
      <w:r>
        <w:rPr>
          <w:rFonts w:ascii="GHEA Grapalat" w:hAnsi="GHEA Grapalat"/>
          <w:color w:val="000000"/>
          <w:lang w:val="hy-AM"/>
        </w:rPr>
        <w:t xml:space="preserve"> N 1 հավելվածի 17-րդ կետում «երեք» բառը փոխարինել «երկու» բառով.</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որոշման</w:t>
      </w:r>
      <w:r>
        <w:rPr>
          <w:rFonts w:ascii="GHEA Grapalat" w:hAnsi="GHEA Grapalat"/>
          <w:color w:val="000000"/>
          <w:lang w:val="hy-AM"/>
        </w:rPr>
        <w:t xml:space="preserve"> N 1 հավելվածի 18-րդ կետում «2024 թվականի դեկտեմբերի 31-ի» բառերը փոխարինել «2025 թվականի հուլիսի 1-ի» բառերով.</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որոշման</w:t>
      </w:r>
      <w:r>
        <w:rPr>
          <w:rFonts w:ascii="GHEA Grapalat" w:hAnsi="GHEA Grapalat"/>
          <w:color w:val="000000"/>
          <w:lang w:val="hy-AM"/>
        </w:rPr>
        <w:t xml:space="preserve"> N 1 հավելվածի 19-րդ կետը շարադրել հետևյալ խմբագրությամբ՝</w:t>
      </w:r>
    </w:p>
    <w:p>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«19. Ծրագրի երկրորդ փուլը մեկնարկում է ոչ ուշ, քան 2025 թվականի հուլիսի 1-ը և ընդգրկում է սույն հավելվածի 18-րդ կետում չնշված մնացած ընտանիքները։».</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ուժը կորցրած ճանաչել որոշման N 1 հավելվածի 20-րդ կետը.</w:t>
      </w:r>
    </w:p>
    <w:p>
      <w:pPr>
        <w:pStyle w:val="NormalWeb"/>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lang w:val="hy-AM"/>
        </w:rPr>
        <w:t xml:space="preserve">N 3 հավելվածը շարադրել </w:t>
      </w:r>
      <w:r>
        <w:rPr>
          <w:rFonts w:ascii="GHEA Grapalat" w:hAnsi="GHEA Grapalat"/>
          <w:lang w:val="hy-AM"/>
        </w:rPr>
        <w:t xml:space="preserve">նոր խմբագրությամբ՝ համաձայն </w:t>
      </w:r>
      <w:r>
        <w:rPr>
          <w:rFonts w:ascii="GHEA Grapalat" w:hAnsi="GHEA Grapalat"/>
          <w:color w:val="000000"/>
          <w:lang w:val="hy-AM"/>
        </w:rPr>
        <w:t>N</w:t>
      </w:r>
      <w:r>
        <w:rPr>
          <w:rFonts w:ascii="GHEA Grapalat" w:hAnsi="GHEA Grapalat"/>
          <w:lang w:val="hy-AM"/>
        </w:rPr>
        <w:t xml:space="preserve"> 3 հավելվածի</w:t>
      </w:r>
      <w:r>
        <w:rPr>
          <w:rFonts w:ascii="GHEA Grapalat" w:hAnsi="GHEA Grapalat"/>
          <w:color w:val="000000" w:themeColor="text1"/>
          <w:lang w:val="hy-AM"/>
        </w:rPr>
        <w:t>։</w:t>
      </w:r>
    </w:p>
    <w:p>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Հայաստանի Հանրապետության կառավարության 2024 թվականի հունիսի 14-ի «</w:t>
      </w:r>
      <w:r>
        <w:rPr>
          <w:rFonts w:ascii="GHEA Grapalat" w:hAnsi="GHEA Grapalat"/>
          <w:lang w:val="hy-AM"/>
        </w:rPr>
        <w:t>Լեռնային Ղարաբաղից բռնի տեղահանված ընտանիքների բնակարանային ապահովման պետական աջակցության ծրագրի իրականացման կարգը</w:t>
      </w:r>
      <w:r>
        <w:rPr>
          <w:rFonts w:ascii="GHEA Grapalat" w:hAnsi="GHEA Grapalat"/>
          <w:color w:val="000000"/>
          <w:lang w:val="hy-AM"/>
        </w:rPr>
        <w:t xml:space="preserve"> հաստատելու մասին</w:t>
      </w:r>
      <w:r>
        <w:rPr>
          <w:rFonts w:ascii="GHEA Grapalat" w:hAnsi="GHEA Grapalat"/>
          <w:color w:val="000000" w:themeColor="text1"/>
          <w:lang w:val="hy-AM"/>
        </w:rPr>
        <w:t>»</w:t>
      </w:r>
      <w:r>
        <w:rPr>
          <w:rFonts w:ascii="GHEA Grapalat" w:hAnsi="GHEA Grapalat"/>
          <w:color w:val="000000"/>
          <w:lang w:val="hy-AM"/>
        </w:rPr>
        <w:t xml:space="preserve"> N 898-Լ որոշման հավելվածում կատարել հետևյալ փոփոխությունները և լրացումները.</w:t>
      </w:r>
    </w:p>
    <w:p>
      <w:pPr>
        <w:pStyle w:val="NormalWeb"/>
        <w:numPr>
          <w:ilvl w:val="0"/>
          <w:numId w:val="53"/>
        </w:numPr>
        <w:shd w:val="clear" w:color="auto" w:fill="FFFFFF"/>
        <w:tabs>
          <w:tab w:val="left" w:pos="1080"/>
        </w:tabs>
        <w:spacing w:before="0" w:beforeAutospacing="0" w:after="0" w:afterAutospacing="0" w:line="360" w:lineRule="auto"/>
        <w:ind w:left="90" w:firstLine="720"/>
        <w:jc w:val="both"/>
        <w:rPr>
          <w:rFonts w:ascii="GHEA Grapalat" w:hAnsi="GHEA Grapalat"/>
          <w:color w:val="000000" w:themeColor="text1"/>
          <w:lang w:val="hy-AM"/>
        </w:rPr>
      </w:pPr>
      <w:r>
        <w:rPr>
          <w:rFonts w:ascii="GHEA Grapalat" w:hAnsi="GHEA Grapalat"/>
          <w:lang w:val="hy-AM"/>
        </w:rPr>
        <w:t xml:space="preserve">3-րդ կետի 1-ին ենթակետում «կետով սահմանված պահանջներին բավարարող դիմողը՝ 2024 թվականի հունիսի 15-ից մինչև 2025 թվականի դեկտեմբերի 31-ը» բառերը </w:t>
      </w:r>
      <w:r>
        <w:rPr>
          <w:rFonts w:ascii="GHEA Grapalat" w:hAnsi="GHEA Grapalat"/>
          <w:lang w:val="hy-AM"/>
        </w:rPr>
        <w:lastRenderedPageBreak/>
        <w:t>փոխարինել</w:t>
      </w:r>
      <w:r>
        <w:rPr>
          <w:rFonts w:ascii="GHEA Grapalat" w:hAnsi="GHEA Grapalat"/>
          <w:color w:val="000000" w:themeColor="text1"/>
          <w:lang w:val="hy-AM"/>
        </w:rPr>
        <w:t xml:space="preserve"> «և 19-րդ կետերով սահմանված պահանջներին բավարարող դիմողը՝ համապատասխանաբար 2024 թվականի հունիսի 15-ից և 2025 թվականի հուլիսի 1-ից մինչև 2027 թվականի դեկտեմբերի 31-ը».</w:t>
      </w:r>
    </w:p>
    <w:p>
      <w:pPr>
        <w:pStyle w:val="NormalWeb"/>
        <w:numPr>
          <w:ilvl w:val="0"/>
          <w:numId w:val="53"/>
        </w:numPr>
        <w:shd w:val="clear" w:color="auto" w:fill="FFFFFF"/>
        <w:tabs>
          <w:tab w:val="left" w:pos="1080"/>
        </w:tabs>
        <w:spacing w:before="0" w:beforeAutospacing="0" w:after="0" w:afterAutospacing="0" w:line="360" w:lineRule="auto"/>
        <w:ind w:left="90" w:firstLine="630"/>
        <w:jc w:val="both"/>
        <w:rPr>
          <w:rFonts w:ascii="GHEA Grapalat" w:hAnsi="GHEA Grapalat"/>
          <w:lang w:val="hy-AM"/>
        </w:rPr>
      </w:pPr>
      <w:r>
        <w:rPr>
          <w:rFonts w:ascii="GHEA Grapalat" w:hAnsi="GHEA Grapalat"/>
          <w:color w:val="000000"/>
          <w:shd w:val="clear" w:color="auto" w:fill="FFFFFF"/>
          <w:lang w:val="hy-AM"/>
        </w:rPr>
        <w:t xml:space="preserve">3-րդ կետից հետո </w:t>
      </w:r>
      <w:r>
        <w:rPr>
          <w:rFonts w:ascii="GHEA Grapalat" w:hAnsi="GHEA Grapalat"/>
          <w:color w:val="000000" w:themeColor="text1"/>
          <w:lang w:val="hy-AM"/>
        </w:rPr>
        <w:t>լրացնել հետևյալ բովանդակությամբ նոր՝ 3.1-ին և 3.2-րդ կետերով՝</w:t>
      </w:r>
    </w:p>
    <w:p>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«3.1. Բնակարանի կամ կառուցվող շենքից բնակարան գնելու իրավունքի կամ անհատական բնակելի տան ձեռքբերման հավաստագրի կամ անհատական բնակելի տան կառուցման հավաստագրի իրացման արդյունքում առաջացած դրական մնացորդն իրացվում է հետևյալ ընթացակարգով՝</w:t>
      </w:r>
    </w:p>
    <w:p>
      <w:pPr>
        <w:pStyle w:val="NormalWeb"/>
        <w:numPr>
          <w:ilvl w:val="0"/>
          <w:numId w:val="44"/>
        </w:numPr>
        <w:shd w:val="clear" w:color="auto" w:fill="FFFFFF"/>
        <w:tabs>
          <w:tab w:val="left" w:pos="720"/>
        </w:tabs>
        <w:spacing w:before="0" w:beforeAutospacing="0" w:after="0" w:afterAutospacing="0" w:line="360" w:lineRule="auto"/>
        <w:ind w:left="0" w:firstLine="810"/>
        <w:jc w:val="both"/>
        <w:rPr>
          <w:rFonts w:ascii="GHEA Grapalat" w:hAnsi="GHEA Grapalat"/>
          <w:color w:val="000000" w:themeColor="text1"/>
          <w:lang w:val="hy-AM"/>
        </w:rPr>
      </w:pPr>
      <w:r>
        <w:rPr>
          <w:rFonts w:ascii="GHEA Grapalat" w:hAnsi="GHEA Grapalat"/>
          <w:color w:val="000000" w:themeColor="text1"/>
          <w:lang w:val="hy-AM"/>
        </w:rPr>
        <w:t>եթե բնակարանի կամ կառուցվող շենքից բնակարան գնելու իրավունքի կամ անհատական բնակելի տան ձեռքբերման կամ անհատական բնակելի տան կառուցման (այդ թվում՝ հողամասի ձեռքբերման) նպատակով տրամադրված հիփոթեքային վարկի չափը փոքր է տվյալ ընտանիքին հասանելիք աջակցության չափից (հաշվարկվում է ձեռքբերվող կամ կառուցվող անշարժ գույքի գտնվելու վայրի և հավաստագրում ներառված ընտանիքի անդամների թվի հիման վրա), ապա այս դեպքում կազմակերպության կողմից հիփոթեքային վարկի գծով վճարման ժամանակացույցը և վճարումն իրականացնելու համար անհրաժեշտ այլ տեղեկությունները համապատասխան ծրագրային ապահովման միջոցով ծառայությանը տրամադրելուց հետո ինքնաշխատ եղանակով դիմողի կողմից դիմում-հայտարարության մեջ նշված էլեկտրոնային փոստի հասցեին ուղարկվում է էլեկտրոնային ծանուցում, որում նշված է դրական մնացորդի չափը.</w:t>
      </w:r>
    </w:p>
    <w:p>
      <w:pPr>
        <w:pStyle w:val="NormalWeb"/>
        <w:numPr>
          <w:ilvl w:val="0"/>
          <w:numId w:val="44"/>
        </w:numPr>
        <w:shd w:val="clear" w:color="auto" w:fill="FFFFFF"/>
        <w:tabs>
          <w:tab w:val="left" w:pos="720"/>
          <w:tab w:val="left" w:pos="1260"/>
        </w:tabs>
        <w:spacing w:before="0" w:beforeAutospacing="0" w:after="0" w:afterAutospacing="0" w:line="360" w:lineRule="auto"/>
        <w:ind w:left="0" w:firstLine="810"/>
        <w:jc w:val="both"/>
        <w:rPr>
          <w:rFonts w:ascii="GHEA Grapalat" w:hAnsi="GHEA Grapalat"/>
          <w:color w:val="000000" w:themeColor="text1"/>
          <w:lang w:val="hy-AM"/>
        </w:rPr>
      </w:pPr>
      <w:r>
        <w:rPr>
          <w:rFonts w:ascii="GHEA Grapalat" w:hAnsi="GHEA Grapalat"/>
          <w:color w:val="000000" w:themeColor="text1"/>
          <w:lang w:val="hy-AM"/>
        </w:rPr>
        <w:t>էլեկտրոնային ծանուցումը ստանալուց հետո շահառուն դիմում է կազմակերպություն որոշման N 1 հավելվածի 13-րդ կետով սահմանված ուղղություններով այն իրացնելու համար։ Ընդ որում, որոշման N 1 հավելվածի 13-րդ կետի 1-ին ենթակետով սահմանված ուղղությամբ իրացնելու դեպքում շահառուն կարող է դիմել ինչպես իրեն հիփոթեքային վարկ տրամադրած կազմակերպություն, այնպես էլ այլ կազմակերպություն.</w:t>
      </w:r>
    </w:p>
    <w:p>
      <w:pPr>
        <w:pStyle w:val="NormalWeb"/>
        <w:numPr>
          <w:ilvl w:val="0"/>
          <w:numId w:val="44"/>
        </w:numPr>
        <w:shd w:val="clear" w:color="auto" w:fill="FFFFFF"/>
        <w:tabs>
          <w:tab w:val="left" w:pos="720"/>
        </w:tabs>
        <w:spacing w:before="0" w:beforeAutospacing="0" w:after="0" w:afterAutospacing="0" w:line="360" w:lineRule="auto"/>
        <w:ind w:left="0" w:firstLine="810"/>
        <w:jc w:val="both"/>
        <w:rPr>
          <w:rFonts w:ascii="GHEA Grapalat" w:hAnsi="GHEA Grapalat"/>
          <w:color w:val="000000" w:themeColor="text1"/>
          <w:lang w:val="hy-AM"/>
        </w:rPr>
      </w:pPr>
      <w:r>
        <w:rPr>
          <w:rFonts w:ascii="GHEA Grapalat" w:hAnsi="GHEA Grapalat"/>
          <w:color w:val="000000" w:themeColor="text1"/>
          <w:lang w:val="hy-AM"/>
        </w:rPr>
        <w:t>շահառուի հետ վերանորոգման կամ գյուղատնտեսական նշանակության հողամասի ձեռքբերման նպատակով վարկի տրամադրման վարկային պայմանագիր կնքելուց և վարկը փաստացի հատկացնելուց հետո, կազմակերպությունը ծառայությանն է տրամադրում վարկի գծով վճարման ժամանակացույցը և հետևյալ տեղեկությունները՝</w:t>
      </w:r>
    </w:p>
    <w:p>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ա. շահառուի անուն, ազգանուն, հայրանուն,</w:t>
      </w:r>
    </w:p>
    <w:p>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lastRenderedPageBreak/>
        <w:t>բ. անձը հաստատող փաստաթուղթ,</w:t>
      </w:r>
    </w:p>
    <w:p>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գ. հանրային ծառայությունների համարանիշ, </w:t>
      </w:r>
    </w:p>
    <w:p>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դ. վարկի տեսակը (գյուղատնտեսական նշանակության հողամասի գնման վարկ, որի դեպքում նշվում է նաև հողամասի հասցեն ու մակերեսը, կամ վերանորոգման վարկ),</w:t>
      </w:r>
    </w:p>
    <w:p>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ե. վարկի չափը,</w:t>
      </w:r>
    </w:p>
    <w:p>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զ. վարկային պայմանագրի համարը, կնքման ամսաթիվը,</w:t>
      </w:r>
    </w:p>
    <w:p>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Է. կազմակերպության հաշիվը.</w:t>
      </w:r>
    </w:p>
    <w:p>
      <w:pPr>
        <w:pStyle w:val="NormalWeb"/>
        <w:numPr>
          <w:ilvl w:val="0"/>
          <w:numId w:val="44"/>
        </w:numPr>
        <w:shd w:val="clear" w:color="auto" w:fill="FFFFFF"/>
        <w:tabs>
          <w:tab w:val="left" w:pos="720"/>
        </w:tabs>
        <w:spacing w:before="0" w:beforeAutospacing="0" w:after="0" w:afterAutospacing="0" w:line="360" w:lineRule="auto"/>
        <w:ind w:left="0" w:firstLine="810"/>
        <w:jc w:val="both"/>
        <w:rPr>
          <w:rFonts w:ascii="GHEA Grapalat" w:hAnsi="GHEA Grapalat"/>
          <w:color w:val="000000" w:themeColor="text1"/>
          <w:lang w:val="hy-AM"/>
        </w:rPr>
      </w:pPr>
      <w:r>
        <w:rPr>
          <w:rFonts w:ascii="GHEA Grapalat" w:hAnsi="GHEA Grapalat"/>
          <w:color w:val="000000" w:themeColor="text1"/>
          <w:lang w:val="hy-AM"/>
        </w:rPr>
        <w:t xml:space="preserve">եթե շահառուն դրական մնացորդն իրացնում է որոշման N 1 հավելվածի 13-րդ կետի ինչպես 1-ին, այնպես էլ 2-րդ ենթակետերով սահմանված ուղղություններով, ապա կազմակերպությունը սույն կետի 3-րդ ենթակետով սահմանված տեղեկատվությունը ծառայությանը տրամադրում է առանձին՝ ըստ յուրաքանչյուր ուղղության. </w:t>
      </w:r>
    </w:p>
    <w:p>
      <w:pPr>
        <w:pStyle w:val="NormalWeb"/>
        <w:numPr>
          <w:ilvl w:val="0"/>
          <w:numId w:val="44"/>
        </w:numPr>
        <w:shd w:val="clear" w:color="auto" w:fill="FFFFFF"/>
        <w:tabs>
          <w:tab w:val="left" w:pos="720"/>
        </w:tabs>
        <w:spacing w:before="0" w:beforeAutospacing="0" w:after="0" w:afterAutospacing="0" w:line="360" w:lineRule="auto"/>
        <w:ind w:left="0" w:firstLine="810"/>
        <w:jc w:val="both"/>
        <w:rPr>
          <w:rFonts w:ascii="GHEA Grapalat" w:hAnsi="GHEA Grapalat"/>
          <w:color w:val="000000" w:themeColor="text1"/>
          <w:lang w:val="hy-AM"/>
        </w:rPr>
      </w:pPr>
      <w:r>
        <w:rPr>
          <w:rFonts w:ascii="GHEA Grapalat" w:hAnsi="GHEA Grapalat"/>
          <w:color w:val="000000" w:themeColor="text1"/>
          <w:lang w:val="hy-AM"/>
        </w:rPr>
        <w:t>ծառայությունն ամսական պարբերականությամբ կազմակերպության հաշվին է փոխանցում աջակցության գումարները՝ ըստ սույն կետի 3-րդ ենթակետում նշված ժամանակացույցի (ժամանակացույցերի)։ Ժամանակացույցով նախատեսված վճարումները (աջակցության գումարի սահմանաչափին համապատասխան) չիրականացնելու դեպքում ժամկետանց պարտավորությունների համար տույժերը, տուգանքները վճարում է ծառայությունը.</w:t>
      </w:r>
    </w:p>
    <w:p>
      <w:pPr>
        <w:pStyle w:val="NormalWeb"/>
        <w:numPr>
          <w:ilvl w:val="0"/>
          <w:numId w:val="44"/>
        </w:numPr>
        <w:shd w:val="clear" w:color="auto" w:fill="FFFFFF"/>
        <w:tabs>
          <w:tab w:val="left" w:pos="720"/>
        </w:tabs>
        <w:spacing w:before="0" w:beforeAutospacing="0" w:after="0" w:afterAutospacing="0" w:line="360" w:lineRule="auto"/>
        <w:ind w:left="0" w:firstLine="810"/>
        <w:jc w:val="both"/>
        <w:rPr>
          <w:rFonts w:ascii="GHEA Grapalat" w:hAnsi="GHEA Grapalat"/>
          <w:color w:val="000000" w:themeColor="text1"/>
          <w:lang w:val="hy-AM"/>
        </w:rPr>
      </w:pPr>
      <w:r>
        <w:rPr>
          <w:rFonts w:ascii="GHEA Grapalat" w:hAnsi="GHEA Grapalat"/>
          <w:color w:val="000000" w:themeColor="text1"/>
          <w:lang w:val="hy-AM"/>
        </w:rPr>
        <w:t>եթե դրական մնացորդն իրացվել է գյուղատնտեսական նշանակության հողամասի գնման ուղղությամբ, ապա այն վարկի գործողության ընթացքում ենթակա չէ օտարման, հակառակ դեպքում այդ ուղղությամբ նախատեսված աջակցությունը ենթակա է դադարեցման.</w:t>
      </w:r>
    </w:p>
    <w:p>
      <w:pPr>
        <w:pStyle w:val="NormalWeb"/>
        <w:numPr>
          <w:ilvl w:val="0"/>
          <w:numId w:val="44"/>
        </w:numPr>
        <w:shd w:val="clear" w:color="auto" w:fill="FFFFFF"/>
        <w:tabs>
          <w:tab w:val="left" w:pos="720"/>
        </w:tabs>
        <w:spacing w:before="0" w:beforeAutospacing="0" w:after="0" w:afterAutospacing="0" w:line="360" w:lineRule="auto"/>
        <w:ind w:left="0" w:firstLine="810"/>
        <w:jc w:val="both"/>
        <w:rPr>
          <w:rFonts w:ascii="GHEA Grapalat" w:hAnsi="GHEA Grapalat"/>
          <w:color w:val="000000" w:themeColor="text1"/>
          <w:lang w:val="hy-AM"/>
        </w:rPr>
      </w:pPr>
      <w:r>
        <w:rPr>
          <w:rFonts w:ascii="GHEA Grapalat" w:hAnsi="GHEA Grapalat"/>
          <w:color w:val="000000" w:themeColor="text1"/>
          <w:lang w:val="hy-AM"/>
        </w:rPr>
        <w:t xml:space="preserve">եթե շահառուն դրական մնացորդը ցանկանում է իրացնել կահույքի կամ կենցաղային տեխնիկայի գնման ուղղությամբ, ապա այս դեպքում աջակցության գումարը ծառայության կողմից փոխանցվում է վաճառողի բանկային հաշվին՝ համապատասխան հաշիվ ապրանքագրի հիման վրա՝ այն ստանալուց հետո 3 աշխատանքային օրվա ընթացքում։ Ընդ որում, շահառուն դրական մնացորդը կարող է իրացնել բացառապես նախապես սահմանված ապրանքատեսակների գնման համար։ </w:t>
      </w:r>
    </w:p>
    <w:p>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themeColor="text1"/>
        </w:rPr>
      </w:pPr>
      <w:r>
        <w:rPr>
          <w:rFonts w:ascii="GHEA Grapalat" w:hAnsi="GHEA Grapalat"/>
          <w:color w:val="000000" w:themeColor="text1"/>
          <w:lang w:val="hy-AM"/>
        </w:rPr>
        <w:t xml:space="preserve">3.2. Որոշման N 1 հավելվածի 14-րդ կետի 1-ին ենթակետով սահմանված պայմանի ստուգման նպատակով յուրաքանչյուր տարվա հունվարի 1-ից 15-ն ընկած ժամանակահատվածում իրականացվում է բնակարանի կամ կառուցվող շենքից բնակարան </w:t>
      </w:r>
      <w:r>
        <w:rPr>
          <w:rFonts w:ascii="GHEA Grapalat" w:hAnsi="GHEA Grapalat"/>
          <w:color w:val="000000" w:themeColor="text1"/>
          <w:lang w:val="hy-AM"/>
        </w:rPr>
        <w:lastRenderedPageBreak/>
        <w:t>գնելու իրավունքի կամ անհատական բնակելի տան ձեռքբերման կամ անհատական բնակելի տան կառուցման կամ 2024 թվականի մայիսի 16-ից հետո գործող հիփոթեքային վարկի մարման աջակցության հավաստագրերն իրացրած շահառուների տվյալների (անունը, ազգանունը, ծննդյան օրը, ամիսը, տարին, անձը հաստատող փաստաթղթի սերիան և համարը, հանրային ծառայությունների համարանիշը կամ հանրային ծառայությունների համարանիշ չստանալու մասին տեղեկանքի համարը) ինքնաշխատ համադրում Հայաստանի Հանրապետության ազգային անվտանգության ծառայության տվյալների շտեմարանում առկա՝ այդ շահառուների սահմանահատման վերաբերյալ տվյալների հետ։ Սույն որոշման 3-րդ կետի 4-րդ ենթակետի համաձայն՝ անհրաժեշտ տեղեկատվության ստացումն ապահովվում է տեղեկատվական համակարգերի փոխգործելիության միջոցով։»</w:t>
      </w:r>
      <w:r>
        <w:rPr>
          <w:rFonts w:ascii="GHEA Grapalat" w:hAnsi="GHEA Grapalat"/>
          <w:color w:val="000000" w:themeColor="text1"/>
        </w:rPr>
        <w:t>.</w:t>
      </w:r>
    </w:p>
    <w:p>
      <w:pPr>
        <w:pStyle w:val="NormalWeb"/>
        <w:numPr>
          <w:ilvl w:val="0"/>
          <w:numId w:val="5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3-րդ կետի 6-րդ ենթակետում «հանդիսանալը» բառից հետո լրացնել «</w:t>
      </w:r>
      <w:r>
        <w:rPr>
          <w:rFonts w:ascii="GHEA Grapalat" w:hAnsi="GHEA Grapalat"/>
        </w:rPr>
        <w:t xml:space="preserve">, </w:t>
      </w:r>
      <w:r>
        <w:rPr>
          <w:rFonts w:ascii="GHEA Grapalat" w:hAnsi="GHEA Grapalat"/>
          <w:lang w:val="hy-AM"/>
        </w:rPr>
        <w:t xml:space="preserve">ինչպես նաև անհատական դեպքերն ուսումնասիրելու նպատակով դիմել որոշման 1.1-ին կետով սահմանված </w:t>
      </w:r>
      <w:r>
        <w:rPr>
          <w:rFonts w:ascii="GHEA Grapalat" w:hAnsi="GHEA Grapalat"/>
          <w:color w:val="000000"/>
          <w:lang w:val="hy-AM"/>
        </w:rPr>
        <w:t>միջգերատեսչական հանձնաժողովին</w:t>
      </w:r>
      <w:r>
        <w:rPr>
          <w:rFonts w:ascii="GHEA Grapalat" w:hAnsi="GHEA Grapalat"/>
          <w:lang w:val="hy-AM"/>
        </w:rPr>
        <w:t>» բառերով</w:t>
      </w:r>
      <w:r>
        <w:rPr>
          <w:rFonts w:ascii="GHEA Grapalat" w:hAnsi="GHEA Grapalat"/>
        </w:rPr>
        <w:t>.</w:t>
      </w:r>
    </w:p>
    <w:p>
      <w:pPr>
        <w:pStyle w:val="NormalWeb"/>
        <w:numPr>
          <w:ilvl w:val="0"/>
          <w:numId w:val="5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3-րդ կետի 11-րդ ենթակետում «աջակցության վճարում» բառերից հետո լրացնել «, աջակցության դադարեցում» բառերով.</w:t>
      </w:r>
    </w:p>
    <w:p>
      <w:pPr>
        <w:pStyle w:val="NormalWeb"/>
        <w:numPr>
          <w:ilvl w:val="0"/>
          <w:numId w:val="5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3-րդ կետի 16-րդ ենթակետի «գ» պարբերության մեջ «բերվող» բառը փոխարինել «բերված» բառով.</w:t>
      </w:r>
    </w:p>
    <w:p>
      <w:pPr>
        <w:pStyle w:val="NormalWeb"/>
        <w:numPr>
          <w:ilvl w:val="0"/>
          <w:numId w:val="5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3-րդ կետի 17-րդ ենթակետում «2024» թիվը փոխարինել «2026» թվով։ </w:t>
      </w:r>
    </w:p>
    <w:p>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աշխատանքի և սոցիալական հարցերի նախարարին՝ սույն որոշումն ուժի մեջ մտնելուց հետո 7-օրյա ժամկետում հաստատել դրական մնացորդով ձեռք բերվող կահույքի և կենցաղային տեխնիկայի ցանկը։</w:t>
      </w:r>
    </w:p>
    <w:p>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Սույն որոշումն ուժի մեջ է մտնում հրապարակմանը հաջորդող օրվանից, բացառությամբ սույն որոշման 1-ին կետի 5-րդ, 6-րդ, 8-րդ, 9-րդ, 11-րդ, 13-րդ և 16-րդ ենթակետերի, 2-րդ կետի 4-6-րդ ենթակետերի, որոնց գործողությունը տարածվում է 2024 թվականի հունիսի 15-ից հետո ծագած հարաբերությունների վրա։</w:t>
      </w:r>
    </w:p>
    <w:p>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0"/>
      </w:tblGrid>
      <w:tr>
        <w:tc>
          <w:tcPr>
            <w:tcW w:w="4810" w:type="dxa"/>
          </w:tcPr>
          <w:p>
            <w:pPr>
              <w:pStyle w:val="NormalWeb"/>
              <w:tabs>
                <w:tab w:val="left" w:pos="1080"/>
              </w:tabs>
              <w:spacing w:before="0" w:beforeAutospacing="0" w:after="0" w:afterAutospacing="0" w:line="276"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810" w:type="dxa"/>
          </w:tcPr>
          <w:p>
            <w:pPr>
              <w:pStyle w:val="NormalWeb"/>
              <w:tabs>
                <w:tab w:val="left" w:pos="1080"/>
              </w:tabs>
              <w:spacing w:before="0" w:beforeAutospacing="0" w:after="0" w:afterAutospacing="0" w:line="276" w:lineRule="auto"/>
              <w:jc w:val="center"/>
              <w:rPr>
                <w:rFonts w:ascii="GHEA Grapalat" w:hAnsi="GHEA Grapalat"/>
                <w:color w:val="000000"/>
                <w:lang w:val="hy-AM"/>
              </w:rPr>
            </w:pPr>
            <w:r>
              <w:rPr>
                <w:rFonts w:ascii="GHEA Grapalat" w:hAnsi="GHEA Grapalat"/>
                <w:color w:val="000000"/>
                <w:lang w:val="hy-AM"/>
              </w:rPr>
              <w:t>Ն. Փաշինյան</w:t>
            </w:r>
          </w:p>
        </w:tc>
      </w:tr>
    </w:tbl>
    <w:p/>
    <w:p>
      <w:r>
        <w:br w:type="page"/>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0208"/>
      </w:tblGrid>
      <w:tr>
        <w:trPr>
          <w:tblCellSpacing w:w="7" w:type="dxa"/>
        </w:trPr>
        <w:tc>
          <w:tcPr>
            <w:tcW w:w="9433" w:type="dxa"/>
            <w:vAlign w:val="bottom"/>
            <w:hideMark/>
          </w:tcPr>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lastRenderedPageBreak/>
              <w:t>Հավելված N 1</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 xml:space="preserve">ՀՀ կառավարության 2025 թվականի </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_____________ N __________ Լ որոշման</w:t>
            </w:r>
          </w:p>
        </w:tc>
      </w:tr>
    </w:tbl>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Calibri" w:hAnsi="Calibri" w:cs="Calibri"/>
          <w:color w:val="000000"/>
          <w:sz w:val="18"/>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5687"/>
        <w:gridCol w:w="4521"/>
      </w:tblGrid>
      <w:tr>
        <w:trPr>
          <w:tblCellSpacing w:w="7" w:type="dxa"/>
        </w:trPr>
        <w:tc>
          <w:tcPr>
            <w:tcW w:w="0" w:type="auto"/>
            <w:vAlign w:val="center"/>
            <w:hideMark/>
          </w:tcPr>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p>
        </w:tc>
        <w:tc>
          <w:tcPr>
            <w:tcW w:w="4500" w:type="dxa"/>
            <w:vAlign w:val="bottom"/>
            <w:hideMark/>
          </w:tcPr>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«Հավելված N 4</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ՀՀ կառավարության 2024 թվականի</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 xml:space="preserve">մայիսի 16-ի N 710-Լ որոշման </w:t>
            </w:r>
          </w:p>
        </w:tc>
      </w:tr>
    </w:tbl>
    <w:p>
      <w:pPr>
        <w:spacing w:after="0" w:line="360" w:lineRule="auto"/>
        <w:jc w:val="center"/>
        <w:rPr>
          <w:rFonts w:ascii="GHEA Grapalat" w:eastAsia="Times New Roman" w:hAnsi="GHEA Grapalat" w:cs="Times New Roman"/>
          <w:b/>
          <w:sz w:val="24"/>
          <w:szCs w:val="24"/>
          <w:lang w:val="hy-AM"/>
        </w:rPr>
      </w:pPr>
    </w:p>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ԿԱԶՄ</w:t>
      </w:r>
    </w:p>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ՄԻՋԳԵՐԱՏԵՍՉԱԿԱՆ ՀԱՆՁՆԱԺՈՂՈՎԻ</w:t>
      </w:r>
    </w:p>
    <w:p>
      <w:pPr>
        <w:spacing w:after="0" w:line="360" w:lineRule="auto"/>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pPr>
        <w:pStyle w:val="ListParagraph"/>
        <w:numPr>
          <w:ilvl w:val="0"/>
          <w:numId w:val="54"/>
        </w:num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աշխատանքի և սոցիալական հարցերի նախարարի տեղակալ (հանձնաժողովի նախագահ)</w:t>
      </w:r>
    </w:p>
    <w:p>
      <w:pPr>
        <w:pStyle w:val="ListParagraph"/>
        <w:numPr>
          <w:ilvl w:val="0"/>
          <w:numId w:val="54"/>
        </w:num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աշխատանքի և սոցիալական հարցերի նախարարության կառուցվածքային ստորաբաժանումներում առանձին գործառույթներ համակարգող խորհրդական (հանձնաժողովի քարտուղար)</w:t>
      </w:r>
    </w:p>
    <w:p>
      <w:pPr>
        <w:pStyle w:val="ListParagraph"/>
        <w:numPr>
          <w:ilvl w:val="0"/>
          <w:numId w:val="54"/>
        </w:num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տարածքային կառավարման և ենթակառուցվածքների նախարարի տեղակալ</w:t>
      </w:r>
    </w:p>
    <w:p>
      <w:pPr>
        <w:pStyle w:val="ListParagraph"/>
        <w:numPr>
          <w:ilvl w:val="0"/>
          <w:numId w:val="54"/>
        </w:num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ներքին գործերի նախարարության միգրացիայի և քաղաքացիության ծառայության պետի տեղակալ</w:t>
      </w:r>
    </w:p>
    <w:p>
      <w:pPr>
        <w:pStyle w:val="ListParagraph"/>
        <w:numPr>
          <w:ilvl w:val="0"/>
          <w:numId w:val="54"/>
        </w:num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ազգային անվտանգության ծառայության տնօրենի տեղակալ (համաձայնությամբ)</w:t>
      </w:r>
    </w:p>
    <w:p>
      <w:pPr>
        <w:pStyle w:val="ListParagraph"/>
        <w:numPr>
          <w:ilvl w:val="0"/>
          <w:numId w:val="54"/>
        </w:num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կադաստրի կոմիտեի ղեկավարի տեղակալ</w:t>
      </w:r>
    </w:p>
    <w:p>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page"/>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0208"/>
      </w:tblGrid>
      <w:tr>
        <w:trPr>
          <w:tblCellSpacing w:w="7" w:type="dxa"/>
        </w:trPr>
        <w:tc>
          <w:tcPr>
            <w:tcW w:w="4500" w:type="dxa"/>
            <w:vAlign w:val="bottom"/>
            <w:hideMark/>
          </w:tcPr>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lastRenderedPageBreak/>
              <w:t>Հավելված N 2</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 xml:space="preserve">ՀՀ կառավարության 2025 թվականի </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_____________ N __________ Լ որոշման</w:t>
            </w:r>
          </w:p>
        </w:tc>
      </w:tr>
    </w:tbl>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Calibri" w:hAnsi="Calibri" w:cs="Calibri"/>
          <w:color w:val="000000"/>
          <w:sz w:val="18"/>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5687"/>
        <w:gridCol w:w="4521"/>
      </w:tblGrid>
      <w:tr>
        <w:trPr>
          <w:tblCellSpacing w:w="7" w:type="dxa"/>
        </w:trPr>
        <w:tc>
          <w:tcPr>
            <w:tcW w:w="0" w:type="auto"/>
            <w:vAlign w:val="center"/>
            <w:hideMark/>
          </w:tcPr>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p>
        </w:tc>
        <w:tc>
          <w:tcPr>
            <w:tcW w:w="4500" w:type="dxa"/>
            <w:vAlign w:val="bottom"/>
            <w:hideMark/>
          </w:tcPr>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«Հավելված N 5</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ՀՀ կառավարության 2024 թվականի</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 xml:space="preserve">մայիսի 16-ի N 710-Լ որոշման </w:t>
            </w:r>
          </w:p>
        </w:tc>
      </w:tr>
    </w:tbl>
    <w:p>
      <w:pPr>
        <w:spacing w:after="0" w:line="360" w:lineRule="auto"/>
        <w:rPr>
          <w:rFonts w:ascii="GHEA Grapalat" w:eastAsia="Times New Roman" w:hAnsi="GHEA Grapalat" w:cs="Times New Roman"/>
          <w:sz w:val="24"/>
          <w:szCs w:val="24"/>
          <w:lang w:val="hy-AM"/>
        </w:rPr>
      </w:pPr>
    </w:p>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ԱՇԽԱՏԱԿԱՐԳ ՄԻՋԳԵՐԱՏԵՍՉԱԿԱՆ ՀԱՆՁՆԱԺՈՂՈՎԻ</w:t>
      </w:r>
    </w:p>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I. ԸՆԴՀԱՆՈՒՐ ԴՐՈՒՅԹՆԵՐ</w:t>
      </w:r>
    </w:p>
    <w:p>
      <w:pPr>
        <w:spacing w:after="0" w:line="360" w:lineRule="auto"/>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Միջգերատեսչական հանձնաժողովի (այսուհետ` հանձնաժողով) աշխատակարգի կարգավորման առարկան հանձնաժողովի խնդիրները, գործառույթներն ու հանձնաժողովի աշխատանքների կազմակերպմանն առնչվող հարաբերություններն են: </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Հանձնաժողովի ստեղծման նպատակը </w:t>
      </w:r>
      <w:r>
        <w:rPr>
          <w:rFonts w:ascii="GHEA Grapalat" w:hAnsi="GHEA Grapalat"/>
          <w:color w:val="000000"/>
          <w:sz w:val="24"/>
          <w:szCs w:val="24"/>
          <w:lang w:val="hy-AM"/>
        </w:rPr>
        <w:t xml:space="preserve">Հայաստանի Հանրապետության կառավարության 2024 թվականի մայիսի 16-ի N 710-Լ որոշմամբ հաստատված՝ Լեռնային Ղարաբաղից բռնի տեղահանված ընտանիքների բնակարանային ապահովման պետական աջակցության ծրագրին (այսուհետ՝ Ծրագիր) դիմած և </w:t>
      </w:r>
      <w:r>
        <w:rPr>
          <w:rFonts w:ascii="GHEA Grapalat" w:eastAsia="Times New Roman" w:hAnsi="GHEA Grapalat" w:cs="Times New Roman"/>
          <w:sz w:val="24"/>
          <w:szCs w:val="24"/>
          <w:lang w:val="hy-AM"/>
        </w:rPr>
        <w:t>շահառուի կարգավիճակ չստացած ընտանիքների (այդ թվում՝ մեկ անդամից բաղկացած) անհատական դեպքերի ուսումնասիրությունն է։ Այդ աշխատանքների իրականացման նպատակով հանձնաժողովը կազմակերպում է նիստեր, ամփոփում և մշակում դրանց արդյունքները և դրանց հիման վրա կայացնում որոշումներ:</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Հանձնաժողովն իր աշխատակարգն իրականացնում է Հայաստանի Հանրապետության օրենսդրությանը և սույն աշխատակարգին համապատասխան:</w:t>
      </w:r>
    </w:p>
    <w:p>
      <w:pPr>
        <w:spacing w:after="0" w:line="360" w:lineRule="auto"/>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II. ՀԱՆՁՆԱԺՈՂՈՎԻ ԽՆԴԻՐՆ ՈՒ ԳՈՐԾԱՌՈՒՅԹՆԵՐԸ</w:t>
      </w:r>
    </w:p>
    <w:p>
      <w:pPr>
        <w:spacing w:after="0" w:line="360" w:lineRule="auto"/>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Հանձնաժողովի խնդիրը Ծրագրին դիմած և մերժված (շահառուի կարգավիճակ չստացած) դիմումատուների անհատական դեպքերն ուսումնասիրելու նպատակով գործընթացների իրագործումն է, որոնք ուղղված են որոշումներ կայացնելու համար անհրաժեշտ տեղեկատվության բացակայության կամ առկա տեղեկատվության թերի կամ ոչ ճշգրիտ լինելու հետևանքով դիմումատուների չիրացված իրավունքների վերականգնմանը։  </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Հանձնաժողովն իր խնդրի կատարման նպատակով իրականացնում է հետևյալ գործառույթները`</w:t>
      </w:r>
    </w:p>
    <w:p>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հանձնաժողովի նիստերի ընթացքում ուսումնասիրում է Ծրագրին դիմած և շահառու չդարձած ընտանիքների ներկայացրած փաստաթղթերը, այդ թվում՝ </w:t>
      </w:r>
    </w:p>
    <w:p>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 2020 թվականի սեպտեմբերի 27-ից, 2022 թվականի դեկտեմբերի 12-ից կամ 2023 թվականի սեպտեմբերի 19-ից առաջ առնվազն 12 ամիսների ընթացքում Լեռնային Ղարաբաղի պետական կամ մասնավոր կառույցներում աշխատելու, կենսաթոշակ կամ այլ դրամական վճարներ ստանալու և դրանք Լեռնային Ղարաբաղում իրացնելու, ֆինանսական գործարքներ կատարելու, կրթական, առողջապահական ծառայություններից օգտվելու մասին վկայող և/կամ այլ առնվազն 2 փաստաթուղթ, որոնց թվագրումները պետք է ունենան առնվազն 6 ամսվա տարբերություն, </w:t>
      </w:r>
    </w:p>
    <w:p>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 2023 թվականի սեպտեմբերի 19-ի դրությամբ «Գույքի նկատմամբ իրավունքների պետական գրանցման մասին» Հայաստանի Հանրապետության օրենքով սահմանված կարգով գրանցված գնման իրավունք ունենալու և դիմելու օրվա դրությամբ այն օտարած լինելու հանգամանքները պարզաբանող փաստաթղթերը.</w:t>
      </w:r>
    </w:p>
    <w:p>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սույն կետի 1-ին ենթակետում նշված փաստաթղթերի իսկության ստուգման նպատակով, ըստ անհրաժեշտության, իրականացնում է հարցումներ այն կառույցներ, որոնք պատասխանատու են համարժեք տեղեկատվության մշակման և տվյալների շտեմարանների վարման համար. </w:t>
      </w:r>
    </w:p>
    <w:p>
      <w:pPr>
        <w:spacing w:after="0" w:line="360" w:lineRule="auto"/>
        <w:ind w:firstLine="810"/>
        <w:jc w:val="both"/>
        <w:rPr>
          <w:rFonts w:ascii="Calibri" w:eastAsia="Times New Roman" w:hAnsi="Calibri" w:cs="Calibri"/>
          <w:sz w:val="24"/>
          <w:szCs w:val="24"/>
          <w:lang w:val="hy-AM"/>
        </w:rPr>
      </w:pPr>
      <w:r>
        <w:rPr>
          <w:rFonts w:ascii="GHEA Grapalat" w:eastAsia="Times New Roman" w:hAnsi="GHEA Grapalat" w:cs="Times New Roman"/>
          <w:sz w:val="24"/>
          <w:szCs w:val="24"/>
          <w:lang w:val="hy-AM"/>
        </w:rPr>
        <w:t xml:space="preserve">3) ուսումնասիրությունների և քննարկումների արդյունքների հիման վրա կայացնում է որոշում Ծրագրի շահառուի կարգավիճակ չստացածներին շահառուի կարգավիճակ շնորհելու կամ սույն հավելվածի 6-րդ կետով սահմանված դիմում-բողոքը մերժելու վերաբերյալ։ Շահառուի կարգավիճակի շնորհումը հիմք է հանդիսանում նրանց՝ </w:t>
      </w:r>
      <w:r>
        <w:rPr>
          <w:rFonts w:ascii="GHEA Grapalat" w:hAnsi="GHEA Grapalat"/>
          <w:color w:val="000000"/>
          <w:sz w:val="24"/>
          <w:szCs w:val="24"/>
          <w:lang w:val="hy-AM"/>
        </w:rPr>
        <w:t>Հայաստանի Հանրապետության կառավարության 2024 թվականի հունիսի 14-ի N 898-Լ որոշման (այսուհետ՝ Որոշում) հավելվածի 2-րդ կետի 9-րդ ենթակետով սահմանված հավաստագրի տրամադրման համար</w:t>
      </w:r>
      <w:r>
        <w:rPr>
          <w:rFonts w:ascii="GHEA Grapalat" w:eastAsia="Times New Roman" w:hAnsi="GHEA Grapalat" w:cs="Times New Roman"/>
          <w:sz w:val="24"/>
          <w:szCs w:val="24"/>
          <w:lang w:val="hy-AM"/>
        </w:rPr>
        <w:t>:</w:t>
      </w:r>
      <w:r>
        <w:rPr>
          <w:rFonts w:ascii="Calibri" w:eastAsia="Times New Roman" w:hAnsi="Calibri" w:cs="Calibri"/>
          <w:sz w:val="24"/>
          <w:szCs w:val="24"/>
          <w:lang w:val="hy-AM"/>
        </w:rPr>
        <w:t> </w:t>
      </w:r>
    </w:p>
    <w:p>
      <w:pPr>
        <w:spacing w:after="0" w:line="360" w:lineRule="auto"/>
        <w:ind w:firstLine="810"/>
        <w:jc w:val="both"/>
        <w:rPr>
          <w:rFonts w:ascii="GHEA Grapalat" w:eastAsia="Times New Roman" w:hAnsi="GHEA Grapalat" w:cs="Times New Roman"/>
          <w:sz w:val="24"/>
          <w:szCs w:val="24"/>
          <w:lang w:val="hy-AM"/>
        </w:rPr>
      </w:pPr>
    </w:p>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III. ՀԱՆՁՆԱԺՈՂՈՎԻՆ ԴԻՄԵԼՈՒ ԿԱՐԳԸ</w:t>
      </w:r>
    </w:p>
    <w:p>
      <w:pPr>
        <w:spacing w:after="0" w:line="360" w:lineRule="auto"/>
        <w:jc w:val="center"/>
        <w:rPr>
          <w:rFonts w:ascii="GHEA Grapalat" w:eastAsia="Times New Roman" w:hAnsi="GHEA Grapalat" w:cs="Times New Roman"/>
          <w:b/>
          <w:sz w:val="24"/>
          <w:szCs w:val="24"/>
          <w:lang w:val="hy-AM"/>
        </w:rPr>
      </w:pP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hAnsi="GHEA Grapalat"/>
          <w:color w:val="000000"/>
          <w:sz w:val="24"/>
          <w:szCs w:val="24"/>
          <w:lang w:val="hy-AM"/>
        </w:rPr>
        <w:lastRenderedPageBreak/>
        <w:t xml:space="preserve">Որոշման հավելվածի 3-րդ կետի 5-րդ ենթակետի «ա» և «բ» պարբերություններով սահմանված մերժման հիմքերով </w:t>
      </w:r>
      <w:r>
        <w:rPr>
          <w:rFonts w:ascii="GHEA Grapalat" w:eastAsia="Times New Roman" w:hAnsi="GHEA Grapalat" w:cs="Times New Roman"/>
          <w:sz w:val="24"/>
          <w:szCs w:val="24"/>
          <w:lang w:val="hy-AM"/>
        </w:rPr>
        <w:t xml:space="preserve">Ծրագրին </w:t>
      </w:r>
      <w:r>
        <w:rPr>
          <w:rFonts w:ascii="GHEA Grapalat" w:hAnsi="GHEA Grapalat"/>
          <w:color w:val="000000"/>
          <w:sz w:val="24"/>
          <w:szCs w:val="24"/>
          <w:lang w:val="hy-AM"/>
        </w:rPr>
        <w:t xml:space="preserve">դիմած և </w:t>
      </w:r>
      <w:r>
        <w:rPr>
          <w:rFonts w:ascii="GHEA Grapalat" w:eastAsia="Times New Roman" w:hAnsi="GHEA Grapalat" w:cs="Times New Roman"/>
          <w:sz w:val="24"/>
          <w:szCs w:val="24"/>
          <w:lang w:val="hy-AM"/>
        </w:rPr>
        <w:t>շահառուի կարգավիճակ չստացած դիմումատուները, սույն հավելվածի 5-րդ կետի 1-ին ենթակետով սահմանված փաստերի առկայության դեպքում, Ծրագրից օգտվելու իրենց իրավունքի վերականգնման նպատակով հանձնաժողովի նախագահին գրավոր կարգով ներկայացնում են դիմում-բողոք մերժումը ստանալուց հետո՝ 2 ամսյա ժամկետում։ Դիմում-բողոքը պետք է պարունակի՝</w:t>
      </w:r>
    </w:p>
    <w:p>
      <w:pPr>
        <w:tabs>
          <w:tab w:val="left" w:pos="1170"/>
        </w:tabs>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հանձնաժողովի անվանումը, որին ներկայացվում է դիմումը.</w:t>
      </w:r>
    </w:p>
    <w:p>
      <w:pPr>
        <w:tabs>
          <w:tab w:val="left" w:pos="1170"/>
        </w:tabs>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Ծրագրին </w:t>
      </w:r>
      <w:r>
        <w:rPr>
          <w:rFonts w:ascii="GHEA Grapalat" w:hAnsi="GHEA Grapalat"/>
          <w:color w:val="000000"/>
          <w:sz w:val="24"/>
          <w:szCs w:val="24"/>
          <w:lang w:val="hy-AM"/>
        </w:rPr>
        <w:t xml:space="preserve">դիմած և </w:t>
      </w:r>
      <w:r>
        <w:rPr>
          <w:rFonts w:ascii="GHEA Grapalat" w:eastAsia="Times New Roman" w:hAnsi="GHEA Grapalat" w:cs="Times New Roman"/>
          <w:sz w:val="24"/>
          <w:szCs w:val="24"/>
          <w:lang w:val="hy-AM"/>
        </w:rPr>
        <w:t>շահառուի կարգավիճակ չստացած դիմումատուի (դիմումատուների) անունը, ազգանունը, հայրանունը, ծննդյան օրը, ամիսը, տարին, անձը հաստատող փաստաթղթի սերիան և համարը, հանրային ծառայությունների համարանիշը, փաստացի բնակության վայրի հասցեն, հեռախոսահամարը.</w:t>
      </w:r>
    </w:p>
    <w:p>
      <w:pPr>
        <w:tabs>
          <w:tab w:val="left" w:pos="1170"/>
        </w:tabs>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բողոքարկման առարկան.</w:t>
      </w:r>
    </w:p>
    <w:p>
      <w:pPr>
        <w:tabs>
          <w:tab w:val="left" w:pos="1170"/>
        </w:tabs>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4) կից ներկայացվող փաստաթղթերի ցանկը։ </w:t>
      </w:r>
    </w:p>
    <w:p>
      <w:pPr>
        <w:spacing w:after="0" w:line="360" w:lineRule="auto"/>
        <w:jc w:val="center"/>
        <w:rPr>
          <w:rFonts w:ascii="GHEA Grapalat" w:eastAsia="Times New Roman" w:hAnsi="GHEA Grapalat" w:cs="Times New Roman"/>
          <w:b/>
          <w:sz w:val="24"/>
          <w:szCs w:val="24"/>
          <w:lang w:val="hy-AM"/>
        </w:rPr>
      </w:pPr>
    </w:p>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I</w:t>
      </w:r>
      <w:r>
        <w:rPr>
          <w:rFonts w:ascii="GHEA Grapalat" w:eastAsia="Times New Roman" w:hAnsi="GHEA Grapalat" w:cs="Times New Roman"/>
          <w:b/>
          <w:sz w:val="24"/>
          <w:szCs w:val="24"/>
        </w:rPr>
        <w:t>V</w:t>
      </w:r>
      <w:r>
        <w:rPr>
          <w:rFonts w:ascii="GHEA Grapalat" w:eastAsia="Times New Roman" w:hAnsi="GHEA Grapalat" w:cs="Times New Roman"/>
          <w:b/>
          <w:sz w:val="24"/>
          <w:szCs w:val="24"/>
          <w:lang w:val="hy-AM"/>
        </w:rPr>
        <w:t>. ՀԱՆՁՆԱԺՈՂՈՎԻ ԱՇԽԱՏԱՆՔԻ ԿԱԶՄԱԿԵՐՊՈՒՄԸ</w:t>
      </w:r>
    </w:p>
    <w:p>
      <w:pPr>
        <w:spacing w:after="0" w:line="360" w:lineRule="auto"/>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hAnsi="GHEA Grapalat"/>
          <w:color w:val="000000"/>
          <w:sz w:val="24"/>
          <w:szCs w:val="24"/>
          <w:lang w:val="hy-AM"/>
        </w:rPr>
        <w:t>Հանձնաժողովի</w:t>
      </w:r>
      <w:r>
        <w:rPr>
          <w:rFonts w:ascii="GHEA Grapalat" w:eastAsia="Times New Roman" w:hAnsi="GHEA Grapalat" w:cs="Times New Roman"/>
          <w:sz w:val="24"/>
          <w:szCs w:val="24"/>
          <w:lang w:val="hy-AM"/>
        </w:rPr>
        <w:t xml:space="preserve"> նախագահը`</w:t>
      </w:r>
    </w:p>
    <w:p>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ղեկավարում է հանձնաժողովի աշխատանքները.</w:t>
      </w:r>
    </w:p>
    <w:p>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նշանակում է հանձնաժողովի նիստի անցկացման վայրը, օրը և հաստատում օրակարգը՝ հիմնվելով սույն հավելվածի 6-րդ կետով սահմանված դիմում-բողոքների վրա. </w:t>
      </w:r>
    </w:p>
    <w:p>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հրավիրում և նախագահում է հանձնաժողովի նիստերը, ներկայացնում հանձնաժողովն այլ մարմիններում և կազմակերպություններում։</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hAnsi="GHEA Grapalat"/>
          <w:color w:val="000000"/>
          <w:sz w:val="24"/>
          <w:szCs w:val="24"/>
          <w:lang w:val="hy-AM"/>
        </w:rPr>
        <w:t>Հանձնաժողովն</w:t>
      </w:r>
      <w:r>
        <w:rPr>
          <w:rFonts w:ascii="GHEA Grapalat" w:eastAsia="Times New Roman" w:hAnsi="GHEA Grapalat" w:cs="Times New Roman"/>
          <w:sz w:val="24"/>
          <w:szCs w:val="24"/>
          <w:lang w:val="hy-AM"/>
        </w:rPr>
        <w:t xml:space="preserve"> իր աշխատանքներն իրականացնում է նիստերի միջոցով, որոնք հրավիրվում են ըստ անհրաժեշտության, սակայն ոչ ուշ, քան երկու ամիսը մեկ անգամ, եթե այդ ժամանակահատվածում ստացվել են սույն հավելվածի 6-րդ կետով սահմանված դիմում-բողոքներ։</w:t>
      </w:r>
    </w:p>
    <w:p>
      <w:pPr>
        <w:pStyle w:val="ListParagraph"/>
        <w:numPr>
          <w:ilvl w:val="0"/>
          <w:numId w:val="50"/>
        </w:numPr>
        <w:tabs>
          <w:tab w:val="left" w:pos="1170"/>
        </w:tabs>
        <w:spacing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Հանձնաժողովը դիմում-բողոքների ուսումնասիրության արդյունքում իրավասու է կայացնել որոշում ինչպես դրանք բավարարելու, այնպես էլ մերժելու մասին։ Ընդ որում, դիմում-բողոքների բավարարման համար հիմք է հանդիսանում սույն հավելվածի 5-րդ կետի </w:t>
      </w:r>
      <w:r>
        <w:rPr>
          <w:rFonts w:ascii="GHEA Grapalat" w:hAnsi="GHEA Grapalat"/>
          <w:color w:val="000000"/>
          <w:sz w:val="24"/>
          <w:szCs w:val="24"/>
          <w:lang w:val="hy-AM"/>
        </w:rPr>
        <w:lastRenderedPageBreak/>
        <w:t>1-ին ենթակետի «ա» և «բ» կետերով սահմանված փաստաթղթերի ուսումնասիրության արդյունքում արձանագրված հետևյալ հանգամանքներից առնվազն մեկը.</w:t>
      </w:r>
    </w:p>
    <w:p>
      <w:pPr>
        <w:pStyle w:val="ListParagraph"/>
        <w:numPr>
          <w:ilvl w:val="0"/>
          <w:numId w:val="51"/>
        </w:numPr>
        <w:tabs>
          <w:tab w:val="left" w:pos="1170"/>
        </w:tabs>
        <w:spacing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դիմում-բողոք ներկայացրած անձը (ընտանիքը) </w:t>
      </w:r>
      <w:r>
        <w:rPr>
          <w:rFonts w:ascii="GHEA Grapalat" w:eastAsia="Times New Roman" w:hAnsi="GHEA Grapalat" w:cs="Times New Roman"/>
          <w:sz w:val="24"/>
          <w:szCs w:val="24"/>
          <w:lang w:val="hy-AM"/>
        </w:rPr>
        <w:t>2020 թվականի սեպտեմբերի 27-ից, 2022 թվականի դեկտեմբերի 12-ից կամ 2023 թվականի սեպտեմբերի 19-ից առաջ (կախված նրա տեղահանման ամսաթվից) առնվազն 12 ամիսների ընթացքում փաստացի բնակվել է Լեռնային Ղարաբաղում.</w:t>
      </w:r>
    </w:p>
    <w:p>
      <w:pPr>
        <w:pStyle w:val="ListParagraph"/>
        <w:numPr>
          <w:ilvl w:val="0"/>
          <w:numId w:val="51"/>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hAnsi="GHEA Grapalat"/>
          <w:color w:val="000000"/>
          <w:sz w:val="24"/>
          <w:szCs w:val="24"/>
          <w:lang w:val="hy-AM"/>
        </w:rPr>
        <w:t xml:space="preserve">դիմում-բողոք ներկայացրած անձը (ընտանիքը) </w:t>
      </w:r>
      <w:r>
        <w:rPr>
          <w:rFonts w:ascii="GHEA Grapalat" w:eastAsia="Times New Roman" w:hAnsi="GHEA Grapalat" w:cs="Times New Roman"/>
          <w:sz w:val="24"/>
          <w:szCs w:val="24"/>
          <w:lang w:val="hy-AM"/>
        </w:rPr>
        <w:t xml:space="preserve">2023 թվականի սեպտեմբերի 19-ի դրությամբ ունեցել է «Գույքի նկատմամբ իրավունքների պետական գրանցման մասին» Հայաստանի Հանրապետության օրենքով սահմանված կարգով գրանցված գնման իրավունք, սակայն դիմելու օրվա դրությամբ այն օտարել է համապատասխան վճարումների կատարման անհնարինության պատճառով։ </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Անհրաժեշտության դեպքում հանձնաժողովը կարող է միևնույն դիմում-բողոքի ուսումնասիրության նպատակով հրավիրել մեկից ավելի նիստեր, սակայն միևնույն դիմում-բողոքն ուսումնասիրելու և դրա վերաբերյալ որոշում կայացնելու ժամկետը չի կարող գերազանցել 45 օրացուցային օրը՝ դիմում-բողոքը ներկայացնելու օրվանից հաշված։ </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hAnsi="GHEA Grapalat"/>
          <w:color w:val="000000"/>
          <w:sz w:val="24"/>
          <w:szCs w:val="24"/>
          <w:lang w:val="hy-AM"/>
        </w:rPr>
        <w:t>Անհրաժեշտության</w:t>
      </w:r>
      <w:r>
        <w:rPr>
          <w:rFonts w:ascii="GHEA Grapalat" w:eastAsia="Times New Roman" w:hAnsi="GHEA Grapalat" w:cs="Times New Roman"/>
          <w:sz w:val="24"/>
          <w:szCs w:val="24"/>
          <w:lang w:val="hy-AM"/>
        </w:rPr>
        <w:t xml:space="preserve"> դեպքում հանձնաժողովը կարող է ստեղծել աշխատանքային խմբեր, հրավիրել փորձագետների, այդ թվում` այլ պետական մարմիններից:</w:t>
      </w:r>
    </w:p>
    <w:p>
      <w:pPr>
        <w:pStyle w:val="ListParagraph"/>
        <w:numPr>
          <w:ilvl w:val="0"/>
          <w:numId w:val="50"/>
        </w:numPr>
        <w:tabs>
          <w:tab w:val="left" w:pos="1170"/>
        </w:tabs>
        <w:spacing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Հանձնաժողովի նիստերն արձանագրվում են: Արձանագրությունում նշվում են՝</w:t>
      </w:r>
    </w:p>
    <w:p>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հանձնաժողովի նիստի կայացման ամսաթիվն ու ժամը.</w:t>
      </w:r>
    </w:p>
    <w:p>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հանձնաժողովի նիստին ներկա անդամների կազմը.</w:t>
      </w:r>
    </w:p>
    <w:p>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քննարկվող հարցը.</w:t>
      </w:r>
    </w:p>
    <w:p>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 տեղեկություններ քննարկմանը մասնակցող հրավիրված անձանց մասին.</w:t>
      </w:r>
    </w:p>
    <w:p>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 հարցի քննարկմանը մասնակցող անձանց պարզաբանումները, քննարկման արդյունքները.</w:t>
      </w:r>
    </w:p>
    <w:p>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 հարցի քննարկման ընթացքում ուսումնասիրված փաստաթղթերը և հարցին առնչվող այլ տեղեկություններ.</w:t>
      </w:r>
    </w:p>
    <w:p>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 հանձնաժողովի վերջնական որոշման բովանդակությունը.</w:t>
      </w:r>
    </w:p>
    <w:p>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8) հանձնաժողովի անդամի բացակայության և դրա պատճառների մասին.</w:t>
      </w:r>
    </w:p>
    <w:p>
      <w:pPr>
        <w:spacing w:after="0" w:line="360" w:lineRule="auto"/>
        <w:ind w:firstLine="720"/>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9) </w:t>
      </w:r>
      <w:proofErr w:type="spellStart"/>
      <w:r>
        <w:rPr>
          <w:rFonts w:ascii="GHEA Grapalat" w:eastAsia="Times New Roman" w:hAnsi="GHEA Grapalat" w:cs="Times New Roman"/>
          <w:sz w:val="24"/>
          <w:szCs w:val="24"/>
        </w:rPr>
        <w:t>ըստ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անհրաժեշտության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այլ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տեղեկություններ</w:t>
      </w:r>
      <w:proofErr w:type="spellEnd"/>
      <w:r>
        <w:rPr>
          <w:rFonts w:ascii="GHEA Grapalat" w:eastAsia="Times New Roman" w:hAnsi="GHEA Grapalat" w:cs="Times New Roman"/>
          <w:sz w:val="24"/>
          <w:szCs w:val="24"/>
        </w:rPr>
        <w:t>:</w:t>
      </w:r>
    </w:p>
    <w:p>
      <w:pPr>
        <w:pStyle w:val="ListParagraph"/>
        <w:numPr>
          <w:ilvl w:val="0"/>
          <w:numId w:val="50"/>
        </w:numPr>
        <w:tabs>
          <w:tab w:val="left" w:pos="1170"/>
        </w:tabs>
        <w:spacing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Հանձնաժողովի նիստերի արձանագրությունները ստորագրում են հանձնաժողովի նախագահը, քարտուղարը և նիստին մասնակցած անդամները: Հանձնաժողովի նիստերի արձանագրությունները հանձնաժողովի անդամներին առաքվում են էլեկտրոնային եղանակով նիստից հետո` 5-օրյա ժամկետում: </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hAnsi="GHEA Grapalat"/>
          <w:color w:val="000000"/>
          <w:sz w:val="24"/>
          <w:szCs w:val="24"/>
          <w:lang w:val="hy-AM"/>
        </w:rPr>
        <w:t>Հանձնաժողովի</w:t>
      </w:r>
      <w:r>
        <w:rPr>
          <w:rFonts w:ascii="GHEA Grapalat" w:eastAsia="Times New Roman" w:hAnsi="GHEA Grapalat" w:cs="Times New Roman"/>
          <w:sz w:val="24"/>
          <w:szCs w:val="24"/>
          <w:lang w:val="hy-AM"/>
        </w:rPr>
        <w:t xml:space="preserve"> նիստերին սույն որոշման N 4 հավելվածով նախատեսված պետական մարմնի անդամի մասնակցությունը կախված է նիստի օրակարգում ընդգրկված հարցերի բնույթից: </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Հանձնաժողովի նիստերն իրավազոր են, եթե դրանց մասնակցում են հանձնաժողովի անդամների առնվազն 1/2-ը: Հանձնաժողովի որոշումներն ընդունվում են բաց քվեարկությամբ` նիստին ներկա անդամների ձայների պարզ մեծամասնությամբ, ձայների հավասարության դեպքում հանձնաժողովի նախագահի ձայնը վճռորոշ է:</w:t>
      </w:r>
    </w:p>
    <w:p>
      <w:pPr>
        <w:pStyle w:val="ListParagraph"/>
        <w:numPr>
          <w:ilvl w:val="0"/>
          <w:numId w:val="50"/>
        </w:numPr>
        <w:tabs>
          <w:tab w:val="left" w:pos="1170"/>
        </w:tabs>
        <w:spacing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Հանձնաժողովի նախագահի, քարտուղարի և անդամների առաջարկությամբ նիստերին կարող են մասնակցել նաև հրավիրյալ անձինք (փորձագետներ, մասնագետներ և այլն), որոնք նիստի ընթացքում վերապահվում են բացառապես խորհրդատվական բնույթի գործառույթներ:</w:t>
      </w:r>
    </w:p>
    <w:p>
      <w:pPr>
        <w:pStyle w:val="ListParagraph"/>
        <w:numPr>
          <w:ilvl w:val="0"/>
          <w:numId w:val="50"/>
        </w:numPr>
        <w:tabs>
          <w:tab w:val="left" w:pos="1170"/>
        </w:tabs>
        <w:spacing w:after="0" w:line="360" w:lineRule="auto"/>
        <w:ind w:left="0" w:firstLine="720"/>
        <w:jc w:val="both"/>
        <w:rPr>
          <w:rFonts w:ascii="GHEA Grapalat" w:eastAsia="Times New Roman" w:hAnsi="GHEA Grapalat" w:cs="Times New Roman"/>
          <w:sz w:val="24"/>
          <w:szCs w:val="24"/>
        </w:rPr>
      </w:pPr>
      <w:r>
        <w:rPr>
          <w:rFonts w:ascii="GHEA Grapalat" w:hAnsi="GHEA Grapalat"/>
          <w:color w:val="000000"/>
          <w:sz w:val="24"/>
          <w:szCs w:val="24"/>
          <w:lang w:val="hy-AM"/>
        </w:rPr>
        <w:t>Հանձնաժողովի</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քարտուղարը</w:t>
      </w:r>
      <w:proofErr w:type="spellEnd"/>
      <w:r>
        <w:rPr>
          <w:rFonts w:ascii="GHEA Grapalat" w:eastAsia="Times New Roman" w:hAnsi="GHEA Grapalat" w:cs="Times New Roman"/>
          <w:sz w:val="24"/>
          <w:szCs w:val="24"/>
        </w:rPr>
        <w:t>`</w:t>
      </w:r>
    </w:p>
    <w:p>
      <w:pPr>
        <w:spacing w:after="0" w:line="360" w:lineRule="auto"/>
        <w:ind w:firstLine="720"/>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1) </w:t>
      </w:r>
      <w:proofErr w:type="spellStart"/>
      <w:r>
        <w:rPr>
          <w:rFonts w:ascii="GHEA Grapalat" w:eastAsia="Times New Roman" w:hAnsi="GHEA Grapalat" w:cs="Times New Roman"/>
          <w:sz w:val="24"/>
          <w:szCs w:val="24"/>
        </w:rPr>
        <w:t>ընդունում</w:t>
      </w:r>
      <w:proofErr w:type="spellEnd"/>
      <w:r>
        <w:rPr>
          <w:rFonts w:ascii="GHEA Grapalat" w:eastAsia="Times New Roman" w:hAnsi="GHEA Grapalat" w:cs="Times New Roman"/>
          <w:sz w:val="24"/>
          <w:szCs w:val="24"/>
        </w:rPr>
        <w:t xml:space="preserve"> է </w:t>
      </w:r>
      <w:r>
        <w:rPr>
          <w:rFonts w:ascii="GHEA Grapalat" w:eastAsia="Times New Roman" w:hAnsi="GHEA Grapalat" w:cs="Times New Roman"/>
          <w:sz w:val="24"/>
          <w:szCs w:val="24"/>
          <w:lang w:val="hy-AM"/>
        </w:rPr>
        <w:t>հանձնաժողովի նախագահին ներկայացված</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դիմում-բողոքները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ստուգում</w:t>
      </w:r>
      <w:proofErr w:type="spellEnd"/>
      <w:r>
        <w:rPr>
          <w:rFonts w:ascii="GHEA Grapalat" w:eastAsia="Times New Roman" w:hAnsi="GHEA Grapalat" w:cs="Times New Roman"/>
          <w:sz w:val="24"/>
          <w:szCs w:val="24"/>
        </w:rPr>
        <w:t xml:space="preserve"> է </w:t>
      </w:r>
      <w:proofErr w:type="spellStart"/>
      <w:r>
        <w:rPr>
          <w:rFonts w:ascii="GHEA Grapalat" w:eastAsia="Times New Roman" w:hAnsi="GHEA Grapalat" w:cs="Times New Roman"/>
          <w:sz w:val="24"/>
          <w:szCs w:val="24"/>
        </w:rPr>
        <w:t>դրանց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համապատասխանությունը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սույն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հավելվածի</w:t>
      </w:r>
      <w:proofErr w:type="spellEnd"/>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5-րդ կետով սահմանված պահանջներին</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դիմում-բողոք</w:t>
      </w:r>
      <w:proofErr w:type="spellEnd"/>
      <w:r>
        <w:rPr>
          <w:rFonts w:ascii="GHEA Grapalat" w:eastAsia="Times New Roman" w:hAnsi="GHEA Grapalat" w:cs="Times New Roman"/>
          <w:sz w:val="24"/>
          <w:szCs w:val="24"/>
          <w:lang w:val="hy-AM"/>
        </w:rPr>
        <w:t>ը ստանալուց հետո առավելագույնը 15 աշխատանքային օրվա ընթացքում</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դիմում-բողոք</w:t>
      </w:r>
      <w:proofErr w:type="spellEnd"/>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ներկայացրած</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անձին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գրավոր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տեղեկացնում</w:t>
      </w:r>
      <w:proofErr w:type="spellEnd"/>
      <w:r>
        <w:rPr>
          <w:rFonts w:ascii="GHEA Grapalat" w:eastAsia="Times New Roman" w:hAnsi="GHEA Grapalat" w:cs="Times New Roman"/>
          <w:sz w:val="24"/>
          <w:szCs w:val="24"/>
        </w:rPr>
        <w:t xml:space="preserve"> է </w:t>
      </w:r>
      <w:proofErr w:type="spellStart"/>
      <w:r>
        <w:rPr>
          <w:rFonts w:ascii="GHEA Grapalat" w:eastAsia="Times New Roman" w:hAnsi="GHEA Grapalat" w:cs="Times New Roman"/>
          <w:sz w:val="24"/>
          <w:szCs w:val="24"/>
        </w:rPr>
        <w:t>դիմում-բողոքում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առկա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թերությունների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մասին</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առաջարկում</w:t>
      </w:r>
      <w:proofErr w:type="spellEnd"/>
      <w:r>
        <w:rPr>
          <w:rFonts w:ascii="GHEA Grapalat" w:eastAsia="Times New Roman" w:hAnsi="GHEA Grapalat" w:cs="Times New Roman"/>
          <w:sz w:val="24"/>
          <w:szCs w:val="24"/>
        </w:rPr>
        <w:t xml:space="preserve"> է </w:t>
      </w:r>
      <w:proofErr w:type="spellStart"/>
      <w:r>
        <w:rPr>
          <w:rFonts w:ascii="GHEA Grapalat" w:eastAsia="Times New Roman" w:hAnsi="GHEA Grapalat" w:cs="Times New Roman"/>
          <w:sz w:val="24"/>
          <w:szCs w:val="24"/>
        </w:rPr>
        <w:t>վերացնել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դրանք</w:t>
      </w:r>
      <w:proofErr w:type="spellEnd"/>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5</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աշխատանքային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օրվա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ընթացքում</w:t>
      </w:r>
      <w:proofErr w:type="spellEnd"/>
      <w:r>
        <w:rPr>
          <w:rFonts w:ascii="GHEA Grapalat" w:eastAsia="Times New Roman" w:hAnsi="GHEA Grapalat" w:cs="Times New Roman"/>
          <w:sz w:val="24"/>
          <w:szCs w:val="24"/>
        </w:rPr>
        <w:t>.</w:t>
      </w:r>
    </w:p>
    <w:p>
      <w:pPr>
        <w:spacing w:after="0" w:line="360" w:lineRule="auto"/>
        <w:ind w:firstLine="720"/>
        <w:jc w:val="both"/>
        <w:rPr>
          <w:rFonts w:ascii="GHEA Grapalat" w:eastAsia="Times New Roman" w:hAnsi="GHEA Grapalat" w:cs="Times New Roman"/>
          <w:sz w:val="24"/>
          <w:szCs w:val="24"/>
        </w:rPr>
      </w:pPr>
      <w:r>
        <w:rPr>
          <w:rFonts w:ascii="GHEA Grapalat" w:eastAsia="Times New Roman" w:hAnsi="GHEA Grapalat" w:cs="Times New Roman"/>
          <w:sz w:val="24"/>
          <w:szCs w:val="24"/>
          <w:lang w:val="hy-AM"/>
        </w:rPr>
        <w:t>2</w:t>
      </w:r>
      <w:r>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 xml:space="preserve"> </w:t>
      </w:r>
      <w:proofErr w:type="spellStart"/>
      <w:r>
        <w:rPr>
          <w:rFonts w:ascii="GHEA Grapalat" w:eastAsia="Times New Roman" w:hAnsi="GHEA Grapalat" w:cs="Times New Roman"/>
          <w:sz w:val="24"/>
          <w:szCs w:val="24"/>
        </w:rPr>
        <w:t>սահմանում</w:t>
      </w:r>
      <w:proofErr w:type="spellEnd"/>
      <w:r>
        <w:rPr>
          <w:rFonts w:ascii="GHEA Grapalat" w:eastAsia="Times New Roman" w:hAnsi="GHEA Grapalat" w:cs="Times New Roman"/>
          <w:sz w:val="24"/>
          <w:szCs w:val="24"/>
        </w:rPr>
        <w:t xml:space="preserve"> է </w:t>
      </w:r>
      <w:proofErr w:type="spellStart"/>
      <w:r>
        <w:rPr>
          <w:rFonts w:ascii="GHEA Grapalat" w:eastAsia="Times New Roman" w:hAnsi="GHEA Grapalat" w:cs="Times New Roman"/>
          <w:sz w:val="24"/>
          <w:szCs w:val="24"/>
        </w:rPr>
        <w:t>հանձնաժողովի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նիստին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մասնակցող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անդամների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ցանկը</w:t>
      </w:r>
      <w:proofErr w:type="spellEnd"/>
      <w:r>
        <w:rPr>
          <w:rFonts w:ascii="GHEA Grapalat" w:eastAsia="Times New Roman" w:hAnsi="GHEA Grapalat" w:cs="Times New Roman"/>
          <w:sz w:val="24"/>
          <w:szCs w:val="24"/>
        </w:rPr>
        <w:t>.</w:t>
      </w:r>
    </w:p>
    <w:p>
      <w:pPr>
        <w:spacing w:after="0" w:line="360" w:lineRule="auto"/>
        <w:ind w:firstLine="720"/>
        <w:jc w:val="both"/>
        <w:rPr>
          <w:rFonts w:ascii="GHEA Grapalat" w:eastAsia="Times New Roman" w:hAnsi="GHEA Grapalat" w:cs="Times New Roman"/>
          <w:sz w:val="24"/>
          <w:szCs w:val="24"/>
        </w:rPr>
      </w:pPr>
      <w:r>
        <w:rPr>
          <w:rFonts w:ascii="GHEA Grapalat" w:eastAsia="Times New Roman" w:hAnsi="GHEA Grapalat" w:cs="Times New Roman"/>
          <w:sz w:val="24"/>
          <w:szCs w:val="24"/>
          <w:lang w:val="hy-AM"/>
        </w:rPr>
        <w:t>3</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նիստի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օրակարգը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ոչ</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ուշ</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քան</w:t>
      </w:r>
      <w:proofErr w:type="spellEnd"/>
      <w:r>
        <w:rPr>
          <w:rFonts w:ascii="GHEA Grapalat" w:eastAsia="Times New Roman" w:hAnsi="GHEA Grapalat" w:cs="Times New Roman"/>
          <w:sz w:val="24"/>
          <w:szCs w:val="24"/>
        </w:rPr>
        <w:t xml:space="preserve"> 3 </w:t>
      </w:r>
      <w:proofErr w:type="spellStart"/>
      <w:r>
        <w:rPr>
          <w:rFonts w:ascii="GHEA Grapalat" w:eastAsia="Times New Roman" w:hAnsi="GHEA Grapalat" w:cs="Times New Roman"/>
          <w:sz w:val="24"/>
          <w:szCs w:val="24"/>
        </w:rPr>
        <w:t>օր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առաջ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ուղարկում</w:t>
      </w:r>
      <w:proofErr w:type="spellEnd"/>
      <w:r>
        <w:rPr>
          <w:rFonts w:ascii="GHEA Grapalat" w:eastAsia="Times New Roman" w:hAnsi="GHEA Grapalat" w:cs="Times New Roman"/>
          <w:sz w:val="24"/>
          <w:szCs w:val="24"/>
        </w:rPr>
        <w:t xml:space="preserve"> է </w:t>
      </w:r>
      <w:proofErr w:type="spellStart"/>
      <w:r>
        <w:rPr>
          <w:rFonts w:ascii="GHEA Grapalat" w:eastAsia="Times New Roman" w:hAnsi="GHEA Grapalat" w:cs="Times New Roman"/>
          <w:sz w:val="24"/>
          <w:szCs w:val="24"/>
        </w:rPr>
        <w:t>հանձնաժողովի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անդամներին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իսկ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անհրաժեշտության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դեպքում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նաև</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նիստին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հրավիրված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անձանց</w:t>
      </w:r>
      <w:proofErr w:type="spellEnd"/>
      <w:r>
        <w:rPr>
          <w:rFonts w:ascii="GHEA Grapalat" w:eastAsia="Times New Roman" w:hAnsi="GHEA Grapalat" w:cs="Times New Roman"/>
          <w:sz w:val="24"/>
          <w:szCs w:val="24"/>
        </w:rPr>
        <w:t>.</w:t>
      </w:r>
    </w:p>
    <w:p>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ամփոփում</w:t>
      </w:r>
      <w:proofErr w:type="spellEnd"/>
      <w:r>
        <w:rPr>
          <w:rFonts w:ascii="GHEA Grapalat" w:eastAsia="Times New Roman" w:hAnsi="GHEA Grapalat" w:cs="Times New Roman"/>
          <w:sz w:val="24"/>
          <w:szCs w:val="24"/>
        </w:rPr>
        <w:t xml:space="preserve"> է </w:t>
      </w:r>
      <w:proofErr w:type="spellStart"/>
      <w:r>
        <w:rPr>
          <w:rFonts w:ascii="GHEA Grapalat" w:eastAsia="Times New Roman" w:hAnsi="GHEA Grapalat" w:cs="Times New Roman"/>
          <w:sz w:val="24"/>
          <w:szCs w:val="24"/>
        </w:rPr>
        <w:t>հանձնաժողովի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աշխատանքների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իրականացման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վերաբերյալ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Հայաստանի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Հանրապետության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պետական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կառավարման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համակարգի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մարմիններից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ստացված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առաջարկություններն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ու</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դիտողությունները</w:t>
      </w:r>
      <w:proofErr w:type="spellEnd"/>
      <w:r>
        <w:rPr>
          <w:rFonts w:ascii="GHEA Grapalat" w:eastAsia="Times New Roman" w:hAnsi="GHEA Grapalat" w:cs="Times New Roman"/>
          <w:sz w:val="24"/>
          <w:szCs w:val="24"/>
        </w:rPr>
        <w:t>.</w:t>
      </w:r>
    </w:p>
    <w:p>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5) հանձնաժողովի նիստում կայացված որոշումների վերաբերյալ գրավոր տեղեկացնում է դիմում-բողոք ներկայացրած անձին ոչ ուշ, քան նիստից հետո 3 աշխատանքային օրվա ընթացքում։</w:t>
      </w:r>
    </w:p>
    <w:p>
      <w:pPr>
        <w:spacing w:after="0" w:line="360" w:lineRule="auto"/>
        <w:ind w:firstLine="720"/>
        <w:jc w:val="both"/>
        <w:rPr>
          <w:rFonts w:ascii="GHEA Grapalat" w:eastAsia="Times New Roman" w:hAnsi="GHEA Grapalat" w:cs="Times New Roman"/>
          <w:sz w:val="24"/>
          <w:szCs w:val="24"/>
          <w:lang w:val="hy-AM"/>
        </w:rPr>
      </w:pPr>
    </w:p>
    <w:p>
      <w:pPr>
        <w:spacing w:after="0" w:line="360" w:lineRule="auto"/>
        <w:jc w:val="center"/>
        <w:rPr>
          <w:rFonts w:ascii="Times New Roman" w:eastAsia="Times New Roman" w:hAnsi="Times New Roman" w:cs="Times New Roman"/>
          <w:sz w:val="24"/>
          <w:szCs w:val="24"/>
          <w:lang w:val="hy-AM"/>
        </w:rPr>
      </w:pPr>
      <w:r>
        <w:rPr>
          <w:rFonts w:ascii="GHEA Grapalat" w:eastAsia="Times New Roman" w:hAnsi="GHEA Grapalat" w:cs="Times New Roman"/>
          <w:b/>
          <w:sz w:val="24"/>
          <w:szCs w:val="24"/>
          <w:lang w:val="hy-AM"/>
        </w:rPr>
        <w:t>V. ՀԱՆՁՆԱԺՈՂՈՎԻ ԳՈՐԾՈՒՆԵՈՒԹՅԱՆ ԴԱԴԱՐՈՒՄԸ</w:t>
      </w:r>
      <w:r>
        <w:rPr>
          <w:rFonts w:ascii="Times New Roman" w:eastAsia="Times New Roman" w:hAnsi="Times New Roman" w:cs="Times New Roman"/>
          <w:sz w:val="24"/>
          <w:szCs w:val="24"/>
          <w:lang w:val="hy-AM"/>
        </w:rPr>
        <w:t> </w:t>
      </w:r>
    </w:p>
    <w:p>
      <w:pPr>
        <w:spacing w:after="0" w:line="360" w:lineRule="auto"/>
        <w:jc w:val="center"/>
        <w:rPr>
          <w:rFonts w:ascii="Times New Roman" w:eastAsia="Times New Roman" w:hAnsi="Times New Roman" w:cs="Times New Roman"/>
          <w:sz w:val="24"/>
          <w:szCs w:val="24"/>
          <w:lang w:val="hy-AM"/>
        </w:rPr>
      </w:pPr>
    </w:p>
    <w:p>
      <w:pPr>
        <w:pStyle w:val="ListParagraph"/>
        <w:numPr>
          <w:ilvl w:val="0"/>
          <w:numId w:val="50"/>
        </w:numPr>
        <w:tabs>
          <w:tab w:val="left" w:pos="1170"/>
        </w:tabs>
        <w:spacing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Հանձնաժողովի գործունեությունը դադարում է Հայաստանի Հանրապետության օրենսդրությամբ սահմանված կարգով:»։ </w:t>
      </w:r>
    </w:p>
    <w:p>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p>
    <w:p>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p>
    <w:p>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p>
    <w:p>
      <w:pPr>
        <w:rPr>
          <w:lang w:val="hy-AM"/>
        </w:rPr>
      </w:pPr>
      <w:r>
        <w:rPr>
          <w:lang w:val="hy-AM"/>
        </w:rPr>
        <w:br w:type="page"/>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0208"/>
      </w:tblGrid>
      <w:tr>
        <w:trPr>
          <w:tblCellSpacing w:w="7" w:type="dxa"/>
        </w:trPr>
        <w:tc>
          <w:tcPr>
            <w:tcW w:w="9433" w:type="dxa"/>
            <w:vAlign w:val="bottom"/>
            <w:hideMark/>
          </w:tcPr>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lastRenderedPageBreak/>
              <w:t>Հավելված N 3</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 xml:space="preserve">ՀՀ կառավարության 2025 թվականի </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_____________ N __________ Լ որոշման</w:t>
            </w:r>
          </w:p>
        </w:tc>
      </w:tr>
    </w:tbl>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Calibri" w:hAnsi="Calibri" w:cs="Calibri"/>
          <w:color w:val="000000"/>
          <w:sz w:val="18"/>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5687"/>
        <w:gridCol w:w="4521"/>
      </w:tblGrid>
      <w:tr>
        <w:trPr>
          <w:tblCellSpacing w:w="7" w:type="dxa"/>
        </w:trPr>
        <w:tc>
          <w:tcPr>
            <w:tcW w:w="0" w:type="auto"/>
            <w:vAlign w:val="center"/>
            <w:hideMark/>
          </w:tcPr>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p>
        </w:tc>
        <w:tc>
          <w:tcPr>
            <w:tcW w:w="4500" w:type="dxa"/>
            <w:vAlign w:val="bottom"/>
            <w:hideMark/>
          </w:tcPr>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«Հավելված N 3</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ՀՀ կառավարության 2024 թվականի</w:t>
            </w:r>
          </w:p>
          <w:p>
            <w:pPr>
              <w:pStyle w:val="NormalWeb"/>
              <w:shd w:val="clear" w:color="auto" w:fill="FFFFFF"/>
              <w:spacing w:before="0" w:beforeAutospacing="0" w:after="0" w:afterAutospacing="0" w:line="360" w:lineRule="auto"/>
              <w:ind w:firstLine="720"/>
              <w:jc w:val="right"/>
              <w:rPr>
                <w:rFonts w:ascii="GHEA Grapalat" w:hAnsi="GHEA Grapalat"/>
                <w:color w:val="000000"/>
                <w:sz w:val="18"/>
                <w:lang w:val="hy-AM"/>
              </w:rPr>
            </w:pPr>
            <w:r>
              <w:rPr>
                <w:rFonts w:ascii="GHEA Grapalat" w:hAnsi="GHEA Grapalat"/>
                <w:color w:val="000000"/>
                <w:sz w:val="18"/>
                <w:lang w:val="hy-AM"/>
              </w:rPr>
              <w:t xml:space="preserve">մայիսի 16-ի N 710-Լ որոշման </w:t>
            </w:r>
          </w:p>
        </w:tc>
      </w:tr>
    </w:tbl>
    <w:p>
      <w:pPr>
        <w:tabs>
          <w:tab w:val="left" w:pos="1170"/>
        </w:tabs>
        <w:spacing w:after="120" w:line="276"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Ց Ա Ն Կ</w:t>
      </w:r>
    </w:p>
    <w:p>
      <w:pPr>
        <w:tabs>
          <w:tab w:val="left" w:pos="1170"/>
        </w:tabs>
        <w:spacing w:after="120" w:line="276" w:lineRule="auto"/>
        <w:jc w:val="center"/>
        <w:rPr>
          <w:rFonts w:ascii="GHEA Grapalat" w:eastAsia="Times New Roman" w:hAnsi="GHEA Grapalat" w:cs="Times New Roman"/>
          <w:b/>
          <w:bCs/>
          <w:sz w:val="24"/>
          <w:szCs w:val="24"/>
          <w:lang w:val="hy-AM"/>
        </w:rPr>
      </w:pPr>
      <w:r>
        <w:rPr>
          <w:rFonts w:ascii="Calibri" w:eastAsia="Times New Roman" w:hAnsi="Calibri" w:cs="Calibri"/>
          <w:b/>
          <w:bCs/>
          <w:sz w:val="24"/>
          <w:szCs w:val="24"/>
          <w:lang w:val="hy-AM"/>
        </w:rPr>
        <w:t> </w:t>
      </w:r>
      <w:r>
        <w:rPr>
          <w:rFonts w:ascii="GHEA Grapalat" w:eastAsia="Times New Roman" w:hAnsi="GHEA Grapalat" w:cs="Times New Roman"/>
          <w:b/>
          <w:bCs/>
          <w:sz w:val="24"/>
          <w:szCs w:val="24"/>
          <w:lang w:val="hy-AM"/>
        </w:rPr>
        <w:t>ՀԱՅԱՍՏԱՆԻ ՀԱՆՐԱՊԵՏՈՒԹՅԱՆ ԱՌԱՆՁԻՆ ԲՆԱԿԱՎԱՅՐԵՐԻ</w:t>
      </w:r>
    </w:p>
    <w:tbl>
      <w:tblPr>
        <w:tblW w:w="9625" w:type="dxa"/>
        <w:tblLook w:val="04A0" w:firstRow="1" w:lastRow="0" w:firstColumn="1" w:lastColumn="0" w:noHBand="0" w:noVBand="1"/>
      </w:tblPr>
      <w:tblGrid>
        <w:gridCol w:w="3235"/>
        <w:gridCol w:w="2610"/>
        <w:gridCol w:w="3780"/>
      </w:tblGrid>
      <w:tr>
        <w:trPr>
          <w:trHeight w:val="629"/>
        </w:trPr>
        <w:tc>
          <w:tcPr>
            <w:tcW w:w="3235" w:type="dxa"/>
            <w:tcBorders>
              <w:top w:val="single" w:sz="4" w:space="0" w:color="auto"/>
              <w:left w:val="single" w:sz="4" w:space="0" w:color="auto"/>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Մարզ</w:t>
            </w:r>
          </w:p>
        </w:tc>
        <w:tc>
          <w:tcPr>
            <w:tcW w:w="2610" w:type="dxa"/>
            <w:tcBorders>
              <w:top w:val="single" w:sz="4" w:space="0" w:color="auto"/>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Համայնք</w:t>
            </w: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Բնակավայր</w:t>
            </w:r>
          </w:p>
        </w:tc>
      </w:tr>
      <w:tr>
        <w:trPr>
          <w:trHeight w:val="292"/>
        </w:trPr>
        <w:tc>
          <w:tcPr>
            <w:tcW w:w="3235" w:type="dxa"/>
            <w:vMerge w:val="restart"/>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tcBorders>
              <w:top w:val="single" w:sz="4" w:space="0" w:color="auto"/>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Ապարան քաղաք</w:t>
            </w:r>
          </w:p>
        </w:tc>
      </w:tr>
      <w:tr>
        <w:trPr>
          <w:trHeight w:val="292"/>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val="restart"/>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Ապարան</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Արագած գյուղ</w:t>
            </w:r>
          </w:p>
        </w:tc>
      </w:tr>
      <w:tr>
        <w:trPr>
          <w:trHeight w:val="292"/>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Արայի գյուղ</w:t>
            </w:r>
          </w:p>
        </w:tc>
      </w:tr>
      <w:tr>
        <w:trPr>
          <w:trHeight w:val="292"/>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Ափնագյուղ գյուղ</w:t>
            </w:r>
          </w:p>
        </w:tc>
      </w:tr>
      <w:tr>
        <w:trPr>
          <w:trHeight w:val="292"/>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Եղիպատրուշ գյուղ</w:t>
            </w:r>
          </w:p>
        </w:tc>
      </w:tr>
      <w:tr>
        <w:trPr>
          <w:trHeight w:val="292"/>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Երնջատափ գյուղ</w:t>
            </w:r>
          </w:p>
        </w:tc>
      </w:tr>
      <w:tr>
        <w:trPr>
          <w:trHeight w:val="292"/>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Թթուջուր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Լուսագյուղ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Ծաղկաշեն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Կայք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Հարթավան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Ձորագլուխ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Մելիքգյուղ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Նիգավան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Շենավան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Շողակն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Չքնաղ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Ջրամբար գյուղ</w:t>
            </w:r>
          </w:p>
        </w:tc>
      </w:tr>
      <w:tr>
        <w:trPr>
          <w:trHeight w:val="328"/>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Սարալանջ գյուղ</w:t>
            </w:r>
          </w:p>
        </w:tc>
      </w:tr>
      <w:tr>
        <w:trPr>
          <w:trHeight w:val="328"/>
        </w:trPr>
        <w:tc>
          <w:tcPr>
            <w:tcW w:w="3235" w:type="dxa"/>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Վարդենիս գյուղ</w:t>
            </w:r>
          </w:p>
        </w:tc>
      </w:tr>
      <w:tr>
        <w:trPr>
          <w:trHeight w:val="328"/>
        </w:trPr>
        <w:tc>
          <w:tcPr>
            <w:tcW w:w="3235" w:type="dxa"/>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Վարդենուտ գյուղ</w:t>
            </w:r>
          </w:p>
        </w:tc>
      </w:tr>
      <w:tr>
        <w:trPr>
          <w:trHeight w:val="328"/>
        </w:trPr>
        <w:tc>
          <w:tcPr>
            <w:tcW w:w="3235" w:type="dxa"/>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b/>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Քուչակ գյուղ</w:t>
            </w:r>
          </w:p>
        </w:tc>
      </w:tr>
      <w:tr>
        <w:trPr>
          <w:trHeight w:val="270"/>
        </w:trPr>
        <w:tc>
          <w:tcPr>
            <w:tcW w:w="3235" w:type="dxa"/>
            <w:vMerge w:val="restart"/>
            <w:tcBorders>
              <w:left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Արագածոտն</w:t>
            </w:r>
          </w:p>
        </w:tc>
        <w:tc>
          <w:tcPr>
            <w:tcW w:w="2610" w:type="dxa"/>
            <w:vMerge w:val="restart"/>
            <w:tcBorders>
              <w:top w:val="single" w:sz="4" w:space="0" w:color="auto"/>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Թալին</w:t>
            </w:r>
            <w:r>
              <w:rPr>
                <w:rFonts w:ascii="GHEA Grapalat" w:eastAsia="Times New Roman" w:hAnsi="GHEA Grapalat" w:cs="Times New Roman"/>
                <w:sz w:val="24"/>
                <w:szCs w:val="24"/>
              </w:rPr>
              <w:t xml:space="preserve"> </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Թալին</w:t>
            </w:r>
            <w:proofErr w:type="spellEnd"/>
            <w:r>
              <w:rPr>
                <w:rFonts w:ascii="GHEA Grapalat" w:hAnsi="GHEA Grapalat"/>
                <w:sz w:val="24"/>
                <w:szCs w:val="24"/>
              </w:rPr>
              <w:t xml:space="preserve"> </w:t>
            </w:r>
            <w:proofErr w:type="spellStart"/>
            <w:r>
              <w:rPr>
                <w:rFonts w:ascii="GHEA Grapalat" w:hAnsi="GHEA Grapalat"/>
                <w:sz w:val="24"/>
                <w:szCs w:val="24"/>
              </w:rPr>
              <w:t>քաղաք</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Ագարակավան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hAnsi="GHEA Grapalat"/>
                <w:sz w:val="24"/>
                <w:szCs w:val="24"/>
              </w:rPr>
              <w:t>Ակունք</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Աշնակ</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Արագածավան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Արտենի</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Գառնահովիտ</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Գետափ</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Դաշտադեմ</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Դավթաշեն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Դիան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Եղնիկ</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Զարինջա</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Զովասար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Թաթուլ</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Իրինդ</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Լուսակն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Ծաղկասար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Կաթնաղբյուր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Կարմրաշեն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Կաքավաձոր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Հացաշեն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Ձորագյուղ</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Մաստարա</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Ներքին</w:t>
            </w:r>
            <w:proofErr w:type="spellEnd"/>
            <w:r>
              <w:rPr>
                <w:rFonts w:ascii="GHEA Grapalat" w:hAnsi="GHEA Grapalat"/>
                <w:sz w:val="24"/>
                <w:szCs w:val="24"/>
              </w:rPr>
              <w:t xml:space="preserve"> </w:t>
            </w:r>
            <w:proofErr w:type="spellStart"/>
            <w:r>
              <w:rPr>
                <w:rFonts w:ascii="GHEA Grapalat" w:hAnsi="GHEA Grapalat"/>
                <w:sz w:val="24"/>
                <w:szCs w:val="24"/>
              </w:rPr>
              <w:t>Բազմաբերդ</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Ներքին</w:t>
            </w:r>
            <w:proofErr w:type="spellEnd"/>
            <w:r>
              <w:rPr>
                <w:rFonts w:ascii="GHEA Grapalat" w:hAnsi="GHEA Grapalat"/>
                <w:sz w:val="24"/>
                <w:szCs w:val="24"/>
              </w:rPr>
              <w:t xml:space="preserve"> </w:t>
            </w:r>
            <w:proofErr w:type="spellStart"/>
            <w:r>
              <w:rPr>
                <w:rFonts w:ascii="GHEA Grapalat" w:hAnsi="GHEA Grapalat"/>
                <w:sz w:val="24"/>
                <w:szCs w:val="24"/>
              </w:rPr>
              <w:t>Սասնաշեն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Արթիկ</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Շղարշիկ</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Ոսկեթաս</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Պարտիզակ</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Սուսեր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Վերին</w:t>
            </w:r>
            <w:proofErr w:type="spellEnd"/>
            <w:r>
              <w:rPr>
                <w:rFonts w:ascii="GHEA Grapalat" w:hAnsi="GHEA Grapalat"/>
                <w:sz w:val="24"/>
                <w:szCs w:val="24"/>
              </w:rPr>
              <w:t xml:space="preserve"> </w:t>
            </w:r>
            <w:proofErr w:type="spellStart"/>
            <w:r>
              <w:rPr>
                <w:rFonts w:ascii="GHEA Grapalat" w:hAnsi="GHEA Grapalat"/>
                <w:sz w:val="24"/>
                <w:szCs w:val="24"/>
              </w:rPr>
              <w:t>Բազմաբերդ</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Վերին</w:t>
            </w:r>
            <w:proofErr w:type="spellEnd"/>
            <w:r>
              <w:rPr>
                <w:rFonts w:ascii="GHEA Grapalat" w:hAnsi="GHEA Grapalat"/>
                <w:sz w:val="24"/>
                <w:szCs w:val="24"/>
              </w:rPr>
              <w:t xml:space="preserve"> </w:t>
            </w:r>
            <w:proofErr w:type="spellStart"/>
            <w:r>
              <w:rPr>
                <w:rFonts w:ascii="GHEA Grapalat" w:hAnsi="GHEA Grapalat"/>
                <w:sz w:val="24"/>
                <w:szCs w:val="24"/>
              </w:rPr>
              <w:t>Սասնաշեն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proofErr w:type="spellStart"/>
            <w:r>
              <w:rPr>
                <w:rFonts w:ascii="GHEA Grapalat" w:hAnsi="GHEA Grapalat"/>
                <w:sz w:val="24"/>
                <w:szCs w:val="24"/>
              </w:rPr>
              <w:t>Ցամաքասար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val="restart"/>
            <w:tcBorders>
              <w:top w:val="single" w:sz="4" w:space="0" w:color="auto"/>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Ալագյազ</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Ալագյազ</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Ավշեն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Կանիաշիր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Ճարճակիս</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Միջնատուն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Միրաք</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Շենկանի</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Ջամշլու</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Ռյա</w:t>
            </w:r>
            <w:proofErr w:type="spellEnd"/>
            <w:r>
              <w:rPr>
                <w:rFonts w:ascii="GHEA Grapalat" w:hAnsi="GHEA Grapalat"/>
                <w:sz w:val="24"/>
                <w:szCs w:val="24"/>
              </w:rPr>
              <w:t xml:space="preserve"> </w:t>
            </w:r>
            <w:proofErr w:type="spellStart"/>
            <w:r>
              <w:rPr>
                <w:rFonts w:ascii="GHEA Grapalat" w:hAnsi="GHEA Grapalat"/>
                <w:sz w:val="24"/>
                <w:szCs w:val="24"/>
              </w:rPr>
              <w:t>թազա</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Սադունց</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Սիփան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val="restart"/>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Արևուտ</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Արևուտ</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Դդմասար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Թլիկ</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Կանչ</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Հակո</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332"/>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bottom w:val="single" w:sz="4" w:space="0" w:color="auto"/>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Սորիկ</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single" w:sz="4" w:space="0" w:color="auto"/>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Ծաղկահովիտ</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Ծաղկահովիտ</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Բերքառատ</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Գեղադիր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Գեղաձոր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Գեղարոտ</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Լեռնապար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Ծիլքար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Հնաբերդ</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Նորաշեն</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hAnsi="GHEA Grapalat"/>
                <w:sz w:val="24"/>
                <w:szCs w:val="24"/>
              </w:rPr>
            </w:pPr>
            <w:proofErr w:type="spellStart"/>
            <w:r>
              <w:rPr>
                <w:rFonts w:ascii="GHEA Grapalat" w:hAnsi="GHEA Grapalat"/>
                <w:sz w:val="24"/>
                <w:szCs w:val="24"/>
              </w:rPr>
              <w:t>Վարդաբլուր</w:t>
            </w:r>
            <w:proofErr w:type="spellEnd"/>
            <w:r>
              <w:rPr>
                <w:rFonts w:ascii="GHEA Grapalat" w:hAnsi="GHEA Grapalat"/>
                <w:sz w:val="24"/>
                <w:szCs w:val="24"/>
              </w:rPr>
              <w:t xml:space="preserve"> </w:t>
            </w:r>
            <w:proofErr w:type="spellStart"/>
            <w:r>
              <w:rPr>
                <w:rFonts w:ascii="GHEA Grapalat" w:hAnsi="GHEA Grapalat"/>
                <w:sz w:val="24"/>
                <w:szCs w:val="24"/>
              </w:rPr>
              <w:t>գյուղ</w:t>
            </w:r>
            <w:proofErr w:type="spellEnd"/>
          </w:p>
        </w:tc>
      </w:tr>
      <w:tr>
        <w:trPr>
          <w:trHeight w:val="270"/>
        </w:trPr>
        <w:tc>
          <w:tcPr>
            <w:tcW w:w="3235" w:type="dxa"/>
            <w:vMerge w:val="restart"/>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single" w:sz="4" w:space="0" w:color="auto"/>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Մեծաձոր</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Մեծաձոր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Օթևան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tcBorders>
              <w:top w:val="single" w:sz="4" w:space="0" w:color="auto"/>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Շամիրամ</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Շամիրամ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val="restart"/>
            <w:tcBorders>
              <w:top w:val="single" w:sz="4" w:space="0" w:color="auto"/>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Արարատ </w:t>
            </w:r>
          </w:p>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single" w:sz="4" w:space="0" w:color="auto"/>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Արարատ</w:t>
            </w:r>
            <w:proofErr w:type="spellEnd"/>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Արարատ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Արարատ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Ավշար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Արմաշ</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Լանջառ</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Նոյակերտ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Սուրենավան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val="restart"/>
            <w:tcBorders>
              <w:top w:val="nil"/>
              <w:left w:val="nil"/>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Վեդի</w:t>
            </w: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Վեդի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Այգավան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Արալեզ</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Գինեվետ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Գոռավան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Դաշտաքար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Եղեգնավան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Լանջանիստ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Լուսաշող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Լուսառատ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Կյանք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Ուղի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Շաղափ</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Ոսկետափ</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Սիսավան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Վանաշեն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Տափերական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Ուրցաձոր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tcBorders>
              <w:left w:val="nil"/>
              <w:bottom w:val="single" w:sz="4" w:space="0" w:color="auto"/>
              <w:right w:val="single" w:sz="4" w:space="0" w:color="auto"/>
            </w:tcBorders>
            <w:vAlign w:val="center"/>
          </w:tcPr>
          <w:p>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Վերին Դվին</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Վերին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Դվին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single" w:sz="4" w:space="0" w:color="auto"/>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single" w:sz="4" w:space="0" w:color="auto"/>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Արմավիր</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Արմավիր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Այգեվան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Արմավիր</w:t>
            </w:r>
          </w:p>
        </w:tc>
        <w:tc>
          <w:tcPr>
            <w:tcW w:w="2610" w:type="dxa"/>
            <w:vMerge/>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Արաքս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val="restart"/>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Լենուղի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Լուկաշին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Խանջյան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Հացիկ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Մայիսյան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Մյասնիկյան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73"/>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Սարդարապատ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single" w:sz="4" w:space="0" w:color="auto"/>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Վաղարշապատ</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Էջմիածին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Ոսկեհատ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single" w:sz="4" w:space="0" w:color="auto"/>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Մեծամոր</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Մեծամոր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Ալաշկերտ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Ակնալիճ</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r>
              <w:rPr>
                <w:rFonts w:ascii="GHEA Grapalat" w:hAnsi="GHEA Grapalat" w:cs="Sylfaen"/>
                <w:bCs/>
                <w:sz w:val="24"/>
                <w:lang w:val="hy-AM"/>
              </w:rPr>
              <w:t>Ամասիա գյուղ</w:t>
            </w:r>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Այգեշատ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Արազափ</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Արգավանդ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Արևիկ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Արմավիր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Արտաշար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Բամբակաշատ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Բերքաշատ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Գետաշեն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Եղեգնուտ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Երասխահուն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Զարթոնք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Հայկավան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Մարգարա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Մրգաշատ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val="restart"/>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Նալբանդյան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Արմավիր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Արտագերս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Կեսարիա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Նորապատ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Շենավան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Ջանֆիդա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Ջրաշեն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Վարդանաշեն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Տանձուտ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Տարոնիկ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Փշատավան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Արաքս</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Գայ</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Ակնաշեն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Ապագա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Առատաշեն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Արաքս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Էջմիածնի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շրջ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Արտիմետ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Գրիբոյեդով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Լուսագյուղ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Խորոնք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Հայկաշեն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Մեծամոր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Ջրառատ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Ջրարբի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top w:val="single" w:sz="4" w:space="0" w:color="auto"/>
              <w:left w:val="single" w:sz="4" w:space="0" w:color="auto"/>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Բաղրամյան</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Բաղրամյան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Արգինա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Արևադաշտ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Արտամետ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Բագարան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Դալարիկ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Երվանդաշատ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Լեռնագոգ</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Կողբավան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Հուշակերտ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Շենիկ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Վանանդ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Տալվորիկ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Քարակերտ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val="restart"/>
            <w:tcBorders>
              <w:top w:val="nil"/>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Խոյ</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Գեղակերտ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Աղավնատուն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Ամբերդ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Այգեշատ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Էջմիածնի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շրջ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Արագած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Արշալույս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Դաշտ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Դողս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Լեռնամերձ</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Ծաղկալանջ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Ծաղկունք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Ծիածան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Հայթաղ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Հովտամեջ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Մոնթեավան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Մրգաստան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bottom w:val="single" w:sz="4" w:space="0" w:color="auto"/>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Շահումյան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top w:val="single" w:sz="4" w:space="0" w:color="auto"/>
              <w:left w:val="single" w:sz="4" w:space="0" w:color="auto"/>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tcBorders>
              <w:left w:val="nil"/>
              <w:bottom w:val="single" w:sz="4" w:space="0" w:color="auto"/>
              <w:right w:val="single" w:sz="4" w:space="0" w:color="auto"/>
            </w:tcBorders>
            <w:vAlign w:val="center"/>
          </w:tcPr>
          <w:p>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Ֆերիկ</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Ֆերիկ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val="restart"/>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Գեղարքունիք</w:t>
            </w:r>
          </w:p>
        </w:tc>
        <w:tc>
          <w:tcPr>
            <w:tcW w:w="2610" w:type="dxa"/>
            <w:vMerge w:val="restart"/>
            <w:tcBorders>
              <w:top w:val="single" w:sz="4" w:space="0" w:color="auto"/>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Գավառ</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Գավառ</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Բերդկունք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Գանձակ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Գեղարքունիք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Լանջաղբյուր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Լճափ</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Ծաղկաշեն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Ծովազարդ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Կարմիրգյուղ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Հայրավանք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Նորատուս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Սարուխան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single" w:sz="4" w:space="0" w:color="auto"/>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Մարտունի</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Մարտունի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Աստղաձոր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Արծվանիստ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Գեղհովիտ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Երանոս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Զոլաքար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Լեռնակերտ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Լիճք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Ծակքար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Ծովասար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Ծովինար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Ձորագյուղ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Մադինա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Ներքին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Գետաշեն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Նշխարք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Վաղաշեն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Վարդաձոր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Վարդենիկ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Վերին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Գետաշեն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single" w:sz="4" w:space="0" w:color="auto"/>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Սևան</w:t>
            </w: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Սևան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Գագարին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Գեղամավան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Դդմաշեն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Զովաբեր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Լճաշեն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Ծաղկունք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Ծովագյուղ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Չկալովկա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Սեմյոնովկա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Վարսեր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single" w:sz="4" w:space="0" w:color="auto"/>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Ճամբարակ</w:t>
            </w: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Դրախտիկ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77"/>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Շողակաթ</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val="restart"/>
            <w:tcBorders>
              <w:top w:val="single" w:sz="4" w:space="0" w:color="auto"/>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Վարդենիս</w:t>
            </w: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Վարդենիս քաղաք</w:t>
            </w:r>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Ակունք գյուղ</w:t>
            </w:r>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Լճավան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Գեղաքար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Լուսակունք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Խաչաղբյուր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Ծովակ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Կարճաղբյուր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Մասրիկ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Նորակերտ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Վանեվան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Տորֆավան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lang w:val="hy-AM"/>
              </w:rPr>
            </w:pPr>
            <w:proofErr w:type="spellStart"/>
            <w:r>
              <w:rPr>
                <w:rFonts w:ascii="GHEA Grapalat" w:eastAsia="Times New Roman" w:hAnsi="GHEA Grapalat" w:cs="Times New Roman"/>
                <w:sz w:val="24"/>
                <w:szCs w:val="24"/>
              </w:rPr>
              <w:t>Փոքր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Մասրիկ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val="restart"/>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Լոռի</w:t>
            </w:r>
          </w:p>
        </w:tc>
        <w:tc>
          <w:tcPr>
            <w:tcW w:w="2610" w:type="dxa"/>
            <w:vMerge w:val="restart"/>
            <w:tcBorders>
              <w:top w:val="nil"/>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Վանաձոր</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Վանաձոր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Գուգարք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Դարպաս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Շահումյան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Ալավերդի</w:t>
            </w:r>
            <w:proofErr w:type="spellEnd"/>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Ալավերդի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Ախթալա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Ախթալա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Ակներ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Ամոջ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Այգեհատ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Առողջարանին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կից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Արդվի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Արևածագ</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Աքորի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Բենդիկ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Թեղուտ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Ծաթեր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Ծաղկաշատ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Կաճաճկուտ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Կարմիր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Աղեկ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Հագվի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Հաղպատ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Ճոճկան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Այրում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Մղարթ</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Նեղոց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Շամլուղ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Շնող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Ջիլիզա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r>
              <w:rPr>
                <w:rFonts w:ascii="GHEA Grapalat" w:hAnsi="GHEA Grapalat" w:cs="Sylfaen"/>
                <w:bCs/>
                <w:sz w:val="24"/>
                <w:lang w:val="hy-AM"/>
              </w:rPr>
              <w:t>Սանահին գյուղ</w:t>
            </w:r>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Փոքր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Այրում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Քարկոփ</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Օձուն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Տաշիր</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Տաշիր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Ապավեն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Արծնի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Բլագոդարնոյե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Գետավան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Գոգավան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Դաշտադեմ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Լեռնահովիտ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Կաթնառատ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Կրուգլայա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շիշկա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Ձյունաշող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Ձորամուտ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Մեդովկա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Մեծավան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Մեղվահովիտ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Միխայլովկա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Նովոսելցովո</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Նորամուտ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Պաղաղբյուր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Պետրովկա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Պրիվոլնոյե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Սարատովկա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Սարչապետ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Թումանյան</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Թումանյան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Աթան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Ահնիձոր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Դսեղ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Լորուտ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Շամուտ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Չկալով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Քարինջ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Քոբայր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val="restart"/>
            <w:tcBorders>
              <w:top w:val="nil"/>
              <w:left w:val="nil"/>
              <w:right w:val="single" w:sz="4" w:space="0" w:color="auto"/>
            </w:tcBorders>
            <w:vAlign w:val="center"/>
          </w:tcPr>
          <w:p>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Լերմոնտովո</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Լերմոնտովո</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left w:val="nil"/>
              <w:bottom w:val="single" w:sz="4" w:space="0" w:color="auto"/>
              <w:right w:val="single" w:sz="4" w:space="0" w:color="auto"/>
            </w:tcBorders>
            <w:vAlign w:val="center"/>
          </w:tcPr>
          <w:p>
            <w:pPr>
              <w:spacing w:after="0"/>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Անտառաշեն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val="restart"/>
            <w:tcBorders>
              <w:top w:val="nil"/>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Սպիտակ</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Սպիտակ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Արջհովիտ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Արևաշող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Գեղասար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Գոգարան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Լեռնանցք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Լուսաղբյուր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Խնկոյան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Ծաղկաբեր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Կաթնաջուր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Հարթագյուղ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Պարնի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Խաչակապ</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Շենավան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Շիրակամուտ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Ջրաշեն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Սարալանջ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Սարահարթ</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Սարամեջ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Քարաձոր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val="restart"/>
            <w:tcBorders>
              <w:top w:val="nil"/>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Ստեփանավան</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Ստեփանավան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Արմանիս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Կաթնաղբյուր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Ուրասար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val="restart"/>
            <w:tcBorders>
              <w:top w:val="nil"/>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Գյուլագարակ</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Գյուլագարակ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Ամրակից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Գարգառ</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Կուրթան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Հոբարձի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Պուշկինո</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Վարդաբլուր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8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Լոռի Բերդ</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Լոռի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Բերդ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Ագարակ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Բովաձոր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Լեջան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Կողես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Հովնանաձոր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Յաղդան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Սվերդլով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Ուռուտ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nil"/>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Փամբակ</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Փամբակ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Ազնվաձոր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Անտառամուտ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Արջուտ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Բազում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Գուշար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Դեբեդ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Եղեգնուտ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Ժամատուն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Լեռնապատ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Լեռնաջուր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Ծաղկոց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Մարգահովիտ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Ձորագետ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Ձորագյուղ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Վահագնաձոր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Վահագնի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Քարաբերդ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Ֆիոլետովո</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Ֆիոլետովո</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nil"/>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Բյուրեղավան</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Բյուրեղավան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Ջրաբեր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Նուռնուս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Ծաղկաձոր</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Ծաղկաձոր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Աղավնաձոր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Արտավազ</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Գոռգոչ</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Հանքավան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Մարմարիկ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val="restart"/>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Կոտայք</w:t>
            </w: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Մեղրաձոր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Փյունիկ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single" w:sz="4" w:space="0" w:color="auto"/>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Հրազդան</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Հրազդան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Լեռնանիստ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Ջրառատ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Սոլակ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Քաղսի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Չարենցավան</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Չարենցավան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Ալափարս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Արզական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Բջնի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Կարենիս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Ֆանտան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Ակունք</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Ակունք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Զառ</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Զովաշեն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Կապուտան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Կոտայք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Հատիս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Սևաբերդ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Արզնի</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Արզնի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tcBorders>
              <w:top w:val="nil"/>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Գյումրի</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Գյումրի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nil"/>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Արթիկ</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Արթիկ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Անուշավան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Արևշատ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Գեղանիստ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Գետափ</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Լեռնակերտ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Լուսակերտ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Հայկասար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Հայրենյաց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Հառիճ</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Հոռոմ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Հովտաշեն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Մանթաշ</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Մեղրաշեն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Նահապետավան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Կյանք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Պեմզաշեն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Սարալանջ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Սարատակ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Սպանդարյան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Վարդաքար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Տուֆաշեն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Փանիկ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val="restart"/>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Շիրակ</w:t>
            </w:r>
          </w:p>
        </w:tc>
        <w:tc>
          <w:tcPr>
            <w:tcW w:w="2610" w:type="dxa"/>
            <w:vMerge/>
            <w:tcBorders>
              <w:left w:val="nil"/>
              <w:bottom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Փոքր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Մանթաշ</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Անի</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Մարալիկ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Աղին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Անիավան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Անիպեմզա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Բագրավան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Բարձրաշեն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Գուսանագյուղ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Իսահակյան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Լանջիկ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Լուսաղբյուր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Հայկաձոր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Ձիթհանքով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Ձորակապ</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Շիրակավան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Նորշեն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Ջրափի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Սառնաղբյուր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Սարակապ</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Քարաբերդ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Ախուրյան</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Ախուրյան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Ազատան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Ախուրիկ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Ախուրյան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կայարանի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Այգաբաց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Առափի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Արևիկ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Բայանդուր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Բասեն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Բենիամին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Գետք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Երազգավորս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Կամո</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Կապս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Կառնուտ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Կարմրաքար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Կրաշեն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Հայկավան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Հացիկ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Հացիկավան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Հովիտ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Հովունի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Ղարիբջանյան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Մայիսյան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Մարմաշեն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Սարիար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Շիրակ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Ոսկեհասկ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Ջաջուռ</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Ջաջուռավան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Ջրառատ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Վահրամաբերդ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Փոքրաշեն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Քեթի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shd w:val="clear" w:color="auto" w:fill="FFFFFF"/>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Ամասիա</w:t>
            </w:r>
          </w:p>
        </w:tc>
        <w:tc>
          <w:tcPr>
            <w:tcW w:w="3780" w:type="dxa"/>
            <w:tcBorders>
              <w:top w:val="single" w:sz="4" w:space="0" w:color="auto"/>
              <w:left w:val="single" w:sz="4" w:space="0" w:color="auto"/>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Ամասիա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Ալվար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Աղվորիկ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Արավետ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Արդենիս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Արեգնադեմ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Բանդիվան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Բերդաշեն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Բյուրակն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Գառնառիճ</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Գտաշեն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Դարիկ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Եղնաջուր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Երիզակ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Զարիշատ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Զորակերտ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Լորասար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Ծաղկուտ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Կամխուտ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Հողմիկ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Հովտուն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Մեղրաշատ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Շաղիկ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Ողջի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Պաղակն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Ջրաձոր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shd w:val="clear" w:color="auto" w:fill="FFFFFF"/>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Աշոցք</w:t>
            </w: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Աշոցք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Արփենի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Բաշգյուղ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Բավրա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Գոգհովիտ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Զույգաղբյուր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Թավշուտ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Թորոսգյուղ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Լեռնագյուղ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Կարմրավան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Կաքավասար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Կրասար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Հարթաշեն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Ձորաշեն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Ղազանչի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Սեպասար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Մուսայելյան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Սալուտ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Սարագյուղ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Սարապատ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Սիզավետ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Վարդաղբյուր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Ցողամարգ</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Փոքր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Սարիար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Փոքր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Սեպասար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422"/>
        </w:trPr>
        <w:tc>
          <w:tcPr>
            <w:tcW w:w="3235" w:type="dxa"/>
            <w:vMerge w:val="restart"/>
            <w:tcBorders>
              <w:top w:val="nil"/>
              <w:left w:val="single" w:sz="4" w:space="0" w:color="auto"/>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Սյունիք</w:t>
            </w:r>
          </w:p>
        </w:tc>
        <w:tc>
          <w:tcPr>
            <w:tcW w:w="2610" w:type="dxa"/>
            <w:tcBorders>
              <w:top w:val="single" w:sz="4" w:space="0" w:color="auto"/>
              <w:left w:val="nil"/>
              <w:bottom w:val="single" w:sz="4" w:space="0" w:color="auto"/>
              <w:right w:val="single" w:sz="4" w:space="0" w:color="auto"/>
            </w:tcBorders>
            <w:shd w:val="clear" w:color="auto" w:fill="FFFFFF"/>
            <w:noWrap/>
            <w:vAlign w:val="center"/>
            <w:hideMark/>
          </w:tcPr>
          <w:p>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Կապան</w:t>
            </w:r>
            <w:proofErr w:type="spellEnd"/>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Կապան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top w:val="nil"/>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val="restart"/>
            <w:tcBorders>
              <w:top w:val="single" w:sz="4" w:space="0" w:color="auto"/>
              <w:left w:val="nil"/>
              <w:bottom w:val="single" w:sz="4" w:space="0" w:color="auto"/>
              <w:right w:val="single" w:sz="4" w:space="0" w:color="auto"/>
            </w:tcBorders>
            <w:shd w:val="clear" w:color="auto" w:fill="FFFFFF"/>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Մեղրի</w:t>
            </w: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Մեղրի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top w:val="nil"/>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Ագարակ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top w:val="nil"/>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tcBorders>
              <w:top w:val="nil"/>
              <w:left w:val="nil"/>
              <w:bottom w:val="single" w:sz="4" w:space="0" w:color="auto"/>
              <w:right w:val="single" w:sz="4" w:space="0" w:color="auto"/>
            </w:tcBorders>
            <w:shd w:val="clear" w:color="auto" w:fill="FFFFFF"/>
            <w:noWrap/>
            <w:vAlign w:val="center"/>
            <w:hideMark/>
          </w:tcPr>
          <w:p>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Սիսիան</w:t>
            </w:r>
            <w:proofErr w:type="spellEnd"/>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Սիսիան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top w:val="nil"/>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tcBorders>
              <w:top w:val="nil"/>
              <w:left w:val="nil"/>
              <w:bottom w:val="single" w:sz="4" w:space="0" w:color="auto"/>
              <w:right w:val="single" w:sz="4" w:space="0" w:color="auto"/>
            </w:tcBorders>
            <w:shd w:val="clear" w:color="auto" w:fill="FFFFFF"/>
            <w:noWrap/>
            <w:vAlign w:val="center"/>
            <w:hideMark/>
          </w:tcPr>
          <w:p>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Քաջարան</w:t>
            </w:r>
            <w:proofErr w:type="spellEnd"/>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Քաջարան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val="restart"/>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Վայոց Ձոր</w:t>
            </w:r>
          </w:p>
        </w:tc>
        <w:tc>
          <w:tcPr>
            <w:tcW w:w="2610" w:type="dxa"/>
            <w:vMerge w:val="restart"/>
            <w:tcBorders>
              <w:top w:val="nil"/>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Եղեգնաձոր</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Եղեգնաձոր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Գետափ</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Գլաձոր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Մալիշկա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Վերնաշեն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nil"/>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Ջերմուկ</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Ջերմուկ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Գնդեվազ</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Կեչուտ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vMerge/>
            <w:tcBorders>
              <w:left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shd w:val="clear" w:color="auto" w:fill="FFFFFF"/>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Վայք</w:t>
            </w: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Վայք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Զեդեա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Կարմրաշեն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Հերհեր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val="restart"/>
            <w:tcBorders>
              <w:top w:val="nil"/>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Արենի</w:t>
            </w:r>
            <w:proofErr w:type="spellEnd"/>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Արենի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Ագարակաձոր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Աղավնաձոր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Արփի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hideMark/>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Մոզրով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Եղեգիս</w:t>
            </w: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Աղնջաձոր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Արատես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Արտաբույնք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Գետիկվանք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Գողթանիկ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Եղեգիս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Թառաթումբ</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Կալասար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Հերմոն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Հորբատեղ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Հորս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Շատին գյուղ</w:t>
            </w:r>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Սալլի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Սևաժայռ</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Վարդահովիտ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Քարագլուխ</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val="restart"/>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Տավուշ</w:t>
            </w:r>
          </w:p>
        </w:tc>
        <w:tc>
          <w:tcPr>
            <w:tcW w:w="2610" w:type="dxa"/>
            <w:vMerge w:val="restart"/>
            <w:tcBorders>
              <w:top w:val="nil"/>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Իջևան</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Իջևան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Գանձաքար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Գետահովիտ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Ենոքավան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nil"/>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Դիլիջան</w:t>
            </w: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Դիլիջան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Հաղարծին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Թեղուտ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Գոշ</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Աղավնավանք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Հովք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Խաչարձան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Ճերմակավան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top w:val="nil"/>
              <w:left w:val="single" w:sz="4" w:space="0" w:color="auto"/>
              <w:right w:val="single" w:sz="4" w:space="0" w:color="auto"/>
            </w:tcBorders>
            <w:noWrap/>
            <w:vAlign w:val="center"/>
          </w:tcPr>
          <w:p>
            <w:pPr>
              <w:spacing w:after="0" w:line="240" w:lineRule="auto"/>
              <w:jc w:val="center"/>
              <w:rPr>
                <w:rFonts w:ascii="GHEA Grapalat" w:eastAsia="Times New Roman" w:hAnsi="GHEA Grapalat" w:cs="Times New Roman"/>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Գեղատափ</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341"/>
        </w:trPr>
        <w:tc>
          <w:tcPr>
            <w:tcW w:w="3235" w:type="dxa"/>
            <w:vMerge/>
            <w:tcBorders>
              <w:left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p>
        </w:tc>
        <w:tc>
          <w:tcPr>
            <w:tcW w:w="2610" w:type="dxa"/>
            <w:vMerge w:val="restart"/>
            <w:tcBorders>
              <w:top w:val="nil"/>
              <w:left w:val="nil"/>
              <w:bottom w:val="single" w:sz="4" w:space="0" w:color="auto"/>
              <w:right w:val="single" w:sz="4" w:space="0" w:color="auto"/>
            </w:tcBorders>
            <w:shd w:val="clear" w:color="auto" w:fill="FFFFFF"/>
            <w:noWrap/>
            <w:vAlign w:val="center"/>
            <w:hideMark/>
          </w:tcPr>
          <w:p>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Նոյեմբերյան</w:t>
            </w:r>
            <w:proofErr w:type="spellEnd"/>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Նոյեմբերյան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Այրում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քաղաք</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Արճիս գյուղ</w:t>
            </w:r>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Բագրատաշեն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Դեբեդավան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Դեղձավան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Զորական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Լճկաձոր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Հաղթանակ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0" w:type="auto"/>
            <w:vMerge/>
            <w:tcBorders>
              <w:left w:val="single" w:sz="4" w:space="0" w:color="auto"/>
              <w:bottom w:val="single" w:sz="4" w:space="0" w:color="auto"/>
              <w:right w:val="single" w:sz="4" w:space="0" w:color="auto"/>
            </w:tcBorders>
            <w:vAlign w:val="center"/>
            <w:hideMark/>
          </w:tcPr>
          <w:p>
            <w:pPr>
              <w:spacing w:after="0"/>
              <w:rPr>
                <w:rFonts w:ascii="GHEA Grapalat" w:eastAsia="Times New Roman" w:hAnsi="GHEA Grapalat" w:cs="Times New Roman"/>
                <w:sz w:val="24"/>
                <w:szCs w:val="24"/>
                <w:lang w:val="hy-AM"/>
              </w:rPr>
            </w:pPr>
          </w:p>
        </w:tc>
        <w:tc>
          <w:tcPr>
            <w:tcW w:w="0" w:type="auto"/>
            <w:vMerge/>
            <w:tcBorders>
              <w:top w:val="nil"/>
              <w:left w:val="nil"/>
              <w:bottom w:val="single" w:sz="4" w:space="0" w:color="auto"/>
              <w:right w:val="single" w:sz="4" w:space="0" w:color="auto"/>
            </w:tcBorders>
            <w:vAlign w:val="center"/>
            <w:hideMark/>
          </w:tcPr>
          <w:p>
            <w:pPr>
              <w:spacing w:after="0"/>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Պտղավան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գյուղ</w:t>
            </w:r>
            <w:proofErr w:type="spellEnd"/>
          </w:p>
        </w:tc>
      </w:tr>
      <w:tr>
        <w:trPr>
          <w:trHeight w:val="270"/>
        </w:trPr>
        <w:tc>
          <w:tcPr>
            <w:tcW w:w="3235" w:type="dxa"/>
            <w:tcBorders>
              <w:top w:val="nil"/>
              <w:left w:val="single" w:sz="4" w:space="0" w:color="auto"/>
              <w:bottom w:val="single" w:sz="4" w:space="0" w:color="auto"/>
              <w:right w:val="single" w:sz="4" w:space="0" w:color="auto"/>
            </w:tcBorders>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Ընդամենը</w:t>
            </w:r>
          </w:p>
        </w:tc>
        <w:tc>
          <w:tcPr>
            <w:tcW w:w="2610" w:type="dxa"/>
            <w:tcBorders>
              <w:top w:val="nil"/>
              <w:left w:val="nil"/>
              <w:bottom w:val="single" w:sz="4" w:space="0" w:color="auto"/>
              <w:right w:val="single" w:sz="4" w:space="0" w:color="auto"/>
            </w:tcBorders>
            <w:shd w:val="clear" w:color="auto" w:fill="FFFFFF"/>
            <w:noWrap/>
            <w:vAlign w:val="center"/>
            <w:hideMark/>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57 համայնք</w:t>
            </w:r>
          </w:p>
        </w:tc>
        <w:tc>
          <w:tcPr>
            <w:tcW w:w="3780" w:type="dxa"/>
            <w:tcBorders>
              <w:top w:val="single" w:sz="4" w:space="0" w:color="auto"/>
              <w:left w:val="nil"/>
              <w:bottom w:val="single" w:sz="4" w:space="0" w:color="auto"/>
              <w:right w:val="single" w:sz="4" w:space="0" w:color="auto"/>
            </w:tcBorders>
            <w:noWrap/>
            <w:vAlign w:val="center"/>
            <w:hideMark/>
          </w:tcPr>
          <w:p>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611 բնակավայր։»</w:t>
            </w:r>
          </w:p>
        </w:tc>
      </w:tr>
    </w:tbl>
    <w:p>
      <w:pPr>
        <w:tabs>
          <w:tab w:val="left" w:pos="1170"/>
        </w:tabs>
        <w:spacing w:after="120" w:line="276" w:lineRule="auto"/>
        <w:ind w:left="-90"/>
        <w:jc w:val="both"/>
        <w:rPr>
          <w:rFonts w:ascii="GHEA Grapalat" w:eastAsia="Times New Roman" w:hAnsi="GHEA Grapalat" w:cs="Times New Roman"/>
          <w:sz w:val="24"/>
          <w:szCs w:val="24"/>
          <w:lang w:val="hy-AM"/>
        </w:rPr>
      </w:pPr>
    </w:p>
    <w:p>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26"/>
      </w:tblGrid>
      <w:tr>
        <w:tc>
          <w:tcPr>
            <w:tcW w:w="4677" w:type="dxa"/>
          </w:tcPr>
          <w:p>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lang w:val="hy-AM"/>
              </w:rPr>
              <w:br w:type="page"/>
            </w:r>
            <w:r>
              <w:rPr>
                <w:rFonts w:ascii="GHEA Grapalat" w:hAnsi="GHEA Grapalat"/>
                <w:color w:val="000000"/>
                <w:lang w:val="hy-AM"/>
              </w:rPr>
              <w:t>Հայաստանի Հանրապետության վարչապետ</w:t>
            </w:r>
          </w:p>
        </w:tc>
        <w:tc>
          <w:tcPr>
            <w:tcW w:w="4626" w:type="dxa"/>
          </w:tcPr>
          <w:p>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Ն. Փաշինյան</w:t>
            </w:r>
          </w:p>
        </w:tc>
      </w:tr>
    </w:tbl>
    <w:p>
      <w:pPr>
        <w:pStyle w:val="NormalWeb"/>
        <w:shd w:val="clear" w:color="auto" w:fill="FFFFFF"/>
        <w:spacing w:before="0" w:beforeAutospacing="0" w:after="0" w:afterAutospacing="0" w:line="360" w:lineRule="auto"/>
        <w:rPr>
          <w:rFonts w:ascii="GHEA Grapalat" w:hAnsi="GHEA Grapalat"/>
          <w:lang w:val="hy-AM"/>
        </w:rPr>
      </w:pPr>
    </w:p>
    <w:p>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p>
    <w:sectPr>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52476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10651"/>
    <w:multiLevelType w:val="hybridMultilevel"/>
    <w:tmpl w:val="F5903BFE"/>
    <w:lvl w:ilvl="0" w:tplc="F436769C">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08777468"/>
    <w:multiLevelType w:val="hybridMultilevel"/>
    <w:tmpl w:val="A86CD446"/>
    <w:lvl w:ilvl="0" w:tplc="119E27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2CE1520"/>
    <w:multiLevelType w:val="hybridMultilevel"/>
    <w:tmpl w:val="F31872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26376B"/>
    <w:multiLevelType w:val="hybridMultilevel"/>
    <w:tmpl w:val="75387C1E"/>
    <w:lvl w:ilvl="0" w:tplc="892A9F80">
      <w:start w:val="1"/>
      <w:numFmt w:val="decimal"/>
      <w:lvlText w:val="%1)"/>
      <w:lvlJc w:val="left"/>
      <w:pPr>
        <w:ind w:left="1110" w:hanging="39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0"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15:restartNumberingAfterBreak="0">
    <w:nsid w:val="3B6F6341"/>
    <w:multiLevelType w:val="hybridMultilevel"/>
    <w:tmpl w:val="5C4C5864"/>
    <w:lvl w:ilvl="0" w:tplc="5600A1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DB171FC"/>
    <w:multiLevelType w:val="hybridMultilevel"/>
    <w:tmpl w:val="6602B37A"/>
    <w:lvl w:ilvl="0" w:tplc="83D4F84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105A2C"/>
    <w:multiLevelType w:val="hybridMultilevel"/>
    <w:tmpl w:val="AD088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9" w15:restartNumberingAfterBreak="0">
    <w:nsid w:val="474B5C2A"/>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463681"/>
    <w:multiLevelType w:val="hybridMultilevel"/>
    <w:tmpl w:val="98AA25F2"/>
    <w:lvl w:ilvl="0" w:tplc="6E6207B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9" w15:restartNumberingAfterBreak="0">
    <w:nsid w:val="57D25FE4"/>
    <w:multiLevelType w:val="hybridMultilevel"/>
    <w:tmpl w:val="333E4996"/>
    <w:lvl w:ilvl="0" w:tplc="FD229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262EDE"/>
    <w:multiLevelType w:val="hybridMultilevel"/>
    <w:tmpl w:val="6FC68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3"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4" w15:restartNumberingAfterBreak="0">
    <w:nsid w:val="5FDB10A0"/>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6"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7" w15:restartNumberingAfterBreak="0">
    <w:nsid w:val="63B73794"/>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28281A"/>
    <w:multiLevelType w:val="hybridMultilevel"/>
    <w:tmpl w:val="19A05418"/>
    <w:lvl w:ilvl="0" w:tplc="82E04B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7F1670"/>
    <w:multiLevelType w:val="hybridMultilevel"/>
    <w:tmpl w:val="EAE61096"/>
    <w:lvl w:ilvl="0" w:tplc="D2963CE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8A5255"/>
    <w:multiLevelType w:val="hybridMultilevel"/>
    <w:tmpl w:val="ED7E78A8"/>
    <w:lvl w:ilvl="0" w:tplc="04090011">
      <w:start w:val="1"/>
      <w:numFmt w:val="decimal"/>
      <w:lvlText w:val="%1)"/>
      <w:lvlJc w:val="left"/>
      <w:pPr>
        <w:ind w:left="43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3" w15:restartNumberingAfterBreak="0">
    <w:nsid w:val="7033334A"/>
    <w:multiLevelType w:val="multilevel"/>
    <w:tmpl w:val="97367516"/>
    <w:lvl w:ilvl="0">
      <w:start w:val="1"/>
      <w:numFmt w:val="decimal"/>
      <w:lvlText w:val="%1."/>
      <w:lvlJc w:val="left"/>
      <w:pPr>
        <w:ind w:left="360" w:hanging="36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4"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5"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CE37EF"/>
    <w:multiLevelType w:val="hybridMultilevel"/>
    <w:tmpl w:val="B07E6164"/>
    <w:lvl w:ilvl="0" w:tplc="A3521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C7F5827"/>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D0D348C"/>
    <w:multiLevelType w:val="multilevel"/>
    <w:tmpl w:val="18D28DFC"/>
    <w:lvl w:ilvl="0">
      <w:start w:val="11"/>
      <w:numFmt w:val="decimal"/>
      <w:lvlText w:val="%1."/>
      <w:lvlJc w:val="left"/>
      <w:pPr>
        <w:ind w:left="450" w:hanging="450"/>
      </w:pPr>
      <w:rPr>
        <w:rFonts w:hint="default"/>
      </w:rPr>
    </w:lvl>
    <w:lvl w:ilvl="1">
      <w:start w:val="2"/>
      <w:numFmt w:val="decimal"/>
      <w:lvlText w:val="%1.%2."/>
      <w:lvlJc w:val="left"/>
      <w:pPr>
        <w:ind w:left="1530" w:hanging="7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51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90" w:hanging="1440"/>
      </w:pPr>
      <w:rPr>
        <w:rFonts w:hint="default"/>
      </w:rPr>
    </w:lvl>
    <w:lvl w:ilvl="6">
      <w:start w:val="1"/>
      <w:numFmt w:val="decimal"/>
      <w:lvlText w:val="%1.%2.%3.%4.%5.%6.%7."/>
      <w:lvlJc w:val="left"/>
      <w:pPr>
        <w:ind w:left="6660" w:hanging="1800"/>
      </w:pPr>
      <w:rPr>
        <w:rFonts w:hint="default"/>
      </w:rPr>
    </w:lvl>
    <w:lvl w:ilvl="7">
      <w:start w:val="1"/>
      <w:numFmt w:val="decimal"/>
      <w:lvlText w:val="%1.%2.%3.%4.%5.%6.%7.%8."/>
      <w:lvlJc w:val="left"/>
      <w:pPr>
        <w:ind w:left="7470" w:hanging="1800"/>
      </w:pPr>
      <w:rPr>
        <w:rFonts w:hint="default"/>
      </w:rPr>
    </w:lvl>
    <w:lvl w:ilvl="8">
      <w:start w:val="1"/>
      <w:numFmt w:val="decimal"/>
      <w:lvlText w:val="%1.%2.%3.%4.%5.%6.%7.%8.%9."/>
      <w:lvlJc w:val="left"/>
      <w:pPr>
        <w:ind w:left="8640" w:hanging="2160"/>
      </w:pPr>
      <w:rPr>
        <w:rFonts w:hint="default"/>
      </w:rPr>
    </w:lvl>
  </w:abstractNum>
  <w:abstractNum w:abstractNumId="50" w15:restartNumberingAfterBreak="0">
    <w:nsid w:val="7DBF5551"/>
    <w:multiLevelType w:val="hybridMultilevel"/>
    <w:tmpl w:val="C442AAB8"/>
    <w:lvl w:ilvl="0" w:tplc="6B0C38A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13"/>
  </w:num>
  <w:num w:numId="3">
    <w:abstractNumId w:val="4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4"/>
  </w:num>
  <w:num w:numId="7">
    <w:abstractNumId w:val="11"/>
  </w:num>
  <w:num w:numId="8">
    <w:abstractNumId w:val="14"/>
  </w:num>
  <w:num w:numId="9">
    <w:abstractNumId w:val="35"/>
  </w:num>
  <w:num w:numId="10">
    <w:abstractNumId w:val="2"/>
  </w:num>
  <w:num w:numId="11">
    <w:abstractNumId w:val="42"/>
  </w:num>
  <w:num w:numId="12">
    <w:abstractNumId w:val="6"/>
  </w:num>
  <w:num w:numId="13">
    <w:abstractNumId w:val="28"/>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0"/>
  </w:num>
  <w:num w:numId="20">
    <w:abstractNumId w:val="24"/>
  </w:num>
  <w:num w:numId="21">
    <w:abstractNumId w:val="9"/>
  </w:num>
  <w:num w:numId="22">
    <w:abstractNumId w:val="32"/>
  </w:num>
  <w:num w:numId="23">
    <w:abstractNumId w:val="45"/>
  </w:num>
  <w:num w:numId="24">
    <w:abstractNumId w:val="40"/>
  </w:num>
  <w:num w:numId="25">
    <w:abstractNumId w:val="7"/>
  </w:num>
  <w:num w:numId="26">
    <w:abstractNumId w:val="23"/>
  </w:num>
  <w:num w:numId="27">
    <w:abstractNumId w:val="16"/>
  </w:num>
  <w:num w:numId="28">
    <w:abstractNumId w:val="22"/>
  </w:num>
  <w:num w:numId="29">
    <w:abstractNumId w:val="46"/>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37"/>
  </w:num>
  <w:num w:numId="33">
    <w:abstractNumId w:val="1"/>
  </w:num>
  <w:num w:numId="34">
    <w:abstractNumId w:val="27"/>
  </w:num>
  <w:num w:numId="35">
    <w:abstractNumId w:val="41"/>
  </w:num>
  <w:num w:numId="36">
    <w:abstractNumId w:val="34"/>
  </w:num>
  <w:num w:numId="37">
    <w:abstractNumId w:val="38"/>
  </w:num>
  <w:num w:numId="38">
    <w:abstractNumId w:val="5"/>
  </w:num>
  <w:num w:numId="39">
    <w:abstractNumId w:val="48"/>
  </w:num>
  <w:num w:numId="40">
    <w:abstractNumId w:val="19"/>
  </w:num>
  <w:num w:numId="41">
    <w:abstractNumId w:val="29"/>
  </w:num>
  <w:num w:numId="42">
    <w:abstractNumId w:val="49"/>
  </w:num>
  <w:num w:numId="43">
    <w:abstractNumId w:val="15"/>
  </w:num>
  <w:num w:numId="44">
    <w:abstractNumId w:val="3"/>
  </w:num>
  <w:num w:numId="45">
    <w:abstractNumId w:val="8"/>
  </w:num>
  <w:num w:numId="46">
    <w:abstractNumId w:val="26"/>
  </w:num>
  <w:num w:numId="47">
    <w:abstractNumId w:val="0"/>
  </w:num>
  <w:num w:numId="48">
    <w:abstractNumId w:val="50"/>
  </w:num>
  <w:num w:numId="49">
    <w:abstractNumId w:val="12"/>
  </w:num>
  <w:num w:numId="50">
    <w:abstractNumId w:val="17"/>
  </w:num>
  <w:num w:numId="51">
    <w:abstractNumId w:val="47"/>
  </w:num>
  <w:num w:numId="52">
    <w:abstractNumId w:val="43"/>
  </w:num>
  <w:num w:numId="53">
    <w:abstractNumId w:val="39"/>
  </w:num>
  <w:num w:numId="54">
    <w:abstractNumId w:val="3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A54AEA-D9C0-4D9A-BE89-67396D29B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pPr>
      <w:numPr>
        <w:numId w:val="47"/>
      </w:numPr>
      <w:spacing w:after="200" w:line="276" w:lineRule="auto"/>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5919">
      <w:bodyDiv w:val="1"/>
      <w:marLeft w:val="0"/>
      <w:marRight w:val="0"/>
      <w:marTop w:val="0"/>
      <w:marBottom w:val="0"/>
      <w:divBdr>
        <w:top w:val="none" w:sz="0" w:space="0" w:color="auto"/>
        <w:left w:val="none" w:sz="0" w:space="0" w:color="auto"/>
        <w:bottom w:val="none" w:sz="0" w:space="0" w:color="auto"/>
        <w:right w:val="none" w:sz="0" w:space="0" w:color="auto"/>
      </w:divBdr>
    </w:div>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363017240">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565577727">
      <w:bodyDiv w:val="1"/>
      <w:marLeft w:val="0"/>
      <w:marRight w:val="0"/>
      <w:marTop w:val="0"/>
      <w:marBottom w:val="0"/>
      <w:divBdr>
        <w:top w:val="none" w:sz="0" w:space="0" w:color="auto"/>
        <w:left w:val="none" w:sz="0" w:space="0" w:color="auto"/>
        <w:bottom w:val="none" w:sz="0" w:space="0" w:color="auto"/>
        <w:right w:val="none" w:sz="0" w:space="0" w:color="auto"/>
      </w:divBdr>
    </w:div>
    <w:div w:id="819423696">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77879203">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554848917">
      <w:bodyDiv w:val="1"/>
      <w:marLeft w:val="0"/>
      <w:marRight w:val="0"/>
      <w:marTop w:val="0"/>
      <w:marBottom w:val="0"/>
      <w:divBdr>
        <w:top w:val="none" w:sz="0" w:space="0" w:color="auto"/>
        <w:left w:val="none" w:sz="0" w:space="0" w:color="auto"/>
        <w:bottom w:val="none" w:sz="0" w:space="0" w:color="auto"/>
        <w:right w:val="none" w:sz="0" w:space="0" w:color="auto"/>
      </w:divBdr>
    </w:div>
    <w:div w:id="1676617486">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24740815">
      <w:bodyDiv w:val="1"/>
      <w:marLeft w:val="0"/>
      <w:marRight w:val="0"/>
      <w:marTop w:val="0"/>
      <w:marBottom w:val="0"/>
      <w:divBdr>
        <w:top w:val="none" w:sz="0" w:space="0" w:color="auto"/>
        <w:left w:val="none" w:sz="0" w:space="0" w:color="auto"/>
        <w:bottom w:val="none" w:sz="0" w:space="0" w:color="auto"/>
        <w:right w:val="none" w:sz="0" w:space="0" w:color="auto"/>
      </w:divBdr>
    </w:div>
    <w:div w:id="1852992931">
      <w:bodyDiv w:val="1"/>
      <w:marLeft w:val="0"/>
      <w:marRight w:val="0"/>
      <w:marTop w:val="0"/>
      <w:marBottom w:val="0"/>
      <w:divBdr>
        <w:top w:val="none" w:sz="0" w:space="0" w:color="auto"/>
        <w:left w:val="none" w:sz="0" w:space="0" w:color="auto"/>
        <w:bottom w:val="none" w:sz="0" w:space="0" w:color="auto"/>
        <w:right w:val="none" w:sz="0" w:space="0" w:color="auto"/>
      </w:divBdr>
    </w:div>
    <w:div w:id="1964339035">
      <w:bodyDiv w:val="1"/>
      <w:marLeft w:val="0"/>
      <w:marRight w:val="0"/>
      <w:marTop w:val="0"/>
      <w:marBottom w:val="0"/>
      <w:divBdr>
        <w:top w:val="none" w:sz="0" w:space="0" w:color="auto"/>
        <w:left w:val="none" w:sz="0" w:space="0" w:color="auto"/>
        <w:bottom w:val="none" w:sz="0" w:space="0" w:color="auto"/>
        <w:right w:val="none" w:sz="0" w:space="0" w:color="auto"/>
      </w:divBdr>
    </w:div>
    <w:div w:id="2037073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95029-ECBD-4C24-9C77-526C81257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14603</TotalTime>
  <Pages>29</Pages>
  <Words>4048</Words>
  <Characters>27270</Characters>
  <Application>Microsoft Office Word</Application>
  <DocSecurity>0</DocSecurity>
  <Lines>2248</Lines>
  <Paragraphs>828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https://mul2.gov.am/tasks/1176959/oneclick?token=11853552141ad3174b2c57fae29cc68b</cp:keywords>
  <dc:description/>
  <cp:lastModifiedBy>Davit Khachatryan</cp:lastModifiedBy>
  <cp:revision>296</cp:revision>
  <cp:lastPrinted>2024-12-27T11:30:00Z</cp:lastPrinted>
  <dcterms:created xsi:type="dcterms:W3CDTF">2022-08-19T11:17:00Z</dcterms:created>
  <dcterms:modified xsi:type="dcterms:W3CDTF">2025-07-02T05:48:00Z</dcterms:modified>
</cp:coreProperties>
</file>