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EA7" w:rsidRPr="00267EA7" w:rsidRDefault="00267EA7" w:rsidP="00267EA7">
      <w:pPr>
        <w:jc w:val="center"/>
        <w:rPr>
          <w:rFonts w:ascii="GHEA Grapalat" w:hAnsi="GHEA Grapalat" w:cs="Arial"/>
          <w:caps/>
          <w:sz w:val="24"/>
          <w:szCs w:val="24"/>
          <w:lang w:val="hy-AM"/>
        </w:rPr>
      </w:pPr>
      <w:bookmarkStart w:id="0" w:name="_GoBack"/>
      <w:bookmarkEnd w:id="0"/>
      <w:r w:rsidRPr="00267EA7">
        <w:rPr>
          <w:rFonts w:ascii="GHEA Grapalat" w:hAnsi="GHEA Grapalat" w:cs="Arial"/>
          <w:caps/>
          <w:sz w:val="24"/>
          <w:szCs w:val="24"/>
          <w:lang w:val="hy-AM"/>
        </w:rPr>
        <w:t>Տեղեկանք</w:t>
      </w:r>
    </w:p>
    <w:p w:rsidR="00267EA7" w:rsidRPr="00267EA7" w:rsidRDefault="00267EA7" w:rsidP="00267EA7">
      <w:pPr>
        <w:jc w:val="center"/>
        <w:rPr>
          <w:rFonts w:ascii="GHEA Grapalat" w:hAnsi="GHEA Grapalat" w:cs="Arial"/>
          <w:caps/>
          <w:sz w:val="24"/>
          <w:szCs w:val="24"/>
          <w:lang w:val="hy-AM"/>
        </w:rPr>
      </w:pPr>
      <w:r w:rsidRPr="00267EA7">
        <w:rPr>
          <w:rFonts w:ascii="GHEA Grapalat" w:hAnsi="GHEA Grapalat" w:cs="Arial"/>
          <w:caps/>
          <w:sz w:val="24"/>
          <w:szCs w:val="24"/>
          <w:lang w:val="hy-AM"/>
        </w:rPr>
        <w:t>Հայաստանում տուբերկուլոզային ծառայությունների օպտիմալացման վերաբերյալ</w:t>
      </w:r>
    </w:p>
    <w:p w:rsidR="00267EA7" w:rsidRPr="00267EA7" w:rsidRDefault="00267EA7" w:rsidP="003D081C">
      <w:pPr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BB730C" w:rsidRPr="00267EA7" w:rsidRDefault="00BB730C" w:rsidP="00267EA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67EA7">
        <w:rPr>
          <w:rFonts w:ascii="GHEA Grapalat" w:hAnsi="GHEA Grapalat" w:cs="Arial"/>
          <w:sz w:val="24"/>
          <w:szCs w:val="24"/>
          <w:lang w:val="hy-AM"/>
        </w:rPr>
        <w:t>Համաձայն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267EA7">
        <w:rPr>
          <w:rFonts w:ascii="GHEA Grapalat" w:hAnsi="GHEA Grapalat" w:cs="Arial"/>
          <w:sz w:val="24"/>
          <w:szCs w:val="24"/>
          <w:lang w:val="hy-AM"/>
        </w:rPr>
        <w:t>Առողջապահության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համաշխարհային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կազմակերպության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ուղեցույցների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և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սկզբունքների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267EA7">
        <w:rPr>
          <w:rFonts w:ascii="GHEA Grapalat" w:hAnsi="GHEA Grapalat" w:cs="Arial"/>
          <w:sz w:val="24"/>
          <w:szCs w:val="24"/>
          <w:lang w:val="hy-AM"/>
        </w:rPr>
        <w:t>տուբերկուլոզ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հիվանդության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բուժումը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պետք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է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կազմակերպել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առավելապես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արտահիվանդանոցային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պայմաններում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67EA7">
        <w:rPr>
          <w:rFonts w:ascii="GHEA Grapalat" w:hAnsi="GHEA Grapalat" w:cs="Arial"/>
          <w:sz w:val="24"/>
          <w:szCs w:val="24"/>
          <w:lang w:val="hy-AM"/>
        </w:rPr>
        <w:t>ինչը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հնարավորություն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կտա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նվազեցնել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հիվանդության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67EA7">
        <w:rPr>
          <w:rFonts w:ascii="GHEA Grapalat" w:hAnsi="GHEA Grapalat" w:cs="Arial"/>
          <w:sz w:val="24"/>
          <w:szCs w:val="24"/>
          <w:lang w:val="hy-AM"/>
        </w:rPr>
        <w:t>հատկապես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դեղակայուն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ձևերի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ներհիվանդանոցային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տարածումը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և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կիրառել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նոր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դեպքերի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բուժման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հիվանդամետ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մոդելներ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267EA7">
        <w:rPr>
          <w:rFonts w:ascii="GHEA Grapalat" w:hAnsi="GHEA Grapalat" w:cs="Arial"/>
          <w:sz w:val="24"/>
          <w:szCs w:val="24"/>
          <w:lang w:val="hy-AM"/>
        </w:rPr>
        <w:t>այդպիսով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նպաստելով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դեղակայունության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նվազեցմանը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67EA7">
        <w:rPr>
          <w:rFonts w:ascii="GHEA Grapalat" w:hAnsi="GHEA Grapalat" w:cs="Arial"/>
          <w:sz w:val="24"/>
          <w:szCs w:val="24"/>
          <w:lang w:val="hy-AM"/>
        </w:rPr>
        <w:t>բուժման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հաջող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ելքերի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ցուցանիշի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բարելավմանը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և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ի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վերջո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267EA7">
        <w:rPr>
          <w:rFonts w:ascii="GHEA Grapalat" w:hAnsi="GHEA Grapalat" w:cs="Arial"/>
          <w:sz w:val="24"/>
          <w:szCs w:val="24"/>
          <w:lang w:val="hy-AM"/>
        </w:rPr>
        <w:t>հիվանդության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վերացմանը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267EA7">
        <w:rPr>
          <w:rFonts w:ascii="GHEA Grapalat" w:hAnsi="GHEA Grapalat" w:cs="Arial"/>
          <w:sz w:val="24"/>
          <w:szCs w:val="24"/>
          <w:lang w:val="hy-AM"/>
        </w:rPr>
        <w:t>միջազգային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մարտահրավերներին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համահունչ</w:t>
      </w:r>
      <w:r w:rsidRPr="00267EA7">
        <w:rPr>
          <w:rFonts w:ascii="GHEA Grapalat" w:hAnsi="GHEA Grapalat"/>
          <w:sz w:val="24"/>
          <w:szCs w:val="24"/>
          <w:lang w:val="hy-AM"/>
        </w:rPr>
        <w:t>:</w:t>
      </w:r>
      <w:r w:rsid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Ելնելով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վերոգրյալից</w:t>
      </w:r>
      <w:r w:rsidR="00267EA7">
        <w:rPr>
          <w:rFonts w:ascii="GHEA Grapalat" w:hAnsi="GHEA Grapalat" w:cs="Arial"/>
          <w:sz w:val="24"/>
          <w:szCs w:val="24"/>
          <w:lang w:val="hy-AM"/>
        </w:rPr>
        <w:t>,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Հայաստանում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հակատուբերկուլոզային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ծառայությունների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բարեփոխումների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նպատակն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է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օպտիմալացնել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հակատուբերկուլոզային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ծառայության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կառուցվածքը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67EA7">
        <w:rPr>
          <w:rFonts w:ascii="GHEA Grapalat" w:hAnsi="GHEA Grapalat" w:cs="Arial"/>
          <w:sz w:val="24"/>
          <w:szCs w:val="24"/>
          <w:lang w:val="hy-AM"/>
        </w:rPr>
        <w:t>ընդլայնելով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արտահիվանդանոցային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և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կրճատելով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հիվանդանոցային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բուժօգնության</w:t>
      </w:r>
      <w:r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EA7">
        <w:rPr>
          <w:rFonts w:ascii="GHEA Grapalat" w:hAnsi="GHEA Grapalat" w:cs="Arial"/>
          <w:sz w:val="24"/>
          <w:szCs w:val="24"/>
          <w:lang w:val="hy-AM"/>
        </w:rPr>
        <w:t>ծավալները</w:t>
      </w:r>
      <w:r w:rsidRPr="00267EA7">
        <w:rPr>
          <w:rFonts w:ascii="GHEA Grapalat" w:hAnsi="GHEA Grapalat"/>
          <w:sz w:val="24"/>
          <w:szCs w:val="24"/>
          <w:lang w:val="hy-AM"/>
        </w:rPr>
        <w:t>:</w:t>
      </w:r>
    </w:p>
    <w:p w:rsidR="005726D7" w:rsidRDefault="005726D7" w:rsidP="005726D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2014-2016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թթ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.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տուբերկուլոզային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հիվանդանոցային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ծառայությունների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տվյալների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վերլուծությունը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ցույց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է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տալիս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,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որ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դրանք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աշխատում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են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թերբեռնված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(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ընդամենը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շուրջ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38%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ծանրաբեռնվածությամբ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),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հոսպիտալացված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հիվանդների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30%-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ից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ավելին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եղել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են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ոչ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>-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տուբերկուլոզային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հիվանդներ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,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որոնց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ներկայությունը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տուբերկուլոզային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ստացիոնարում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վարակի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վերհսկման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տեսանկյունից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սխալ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է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,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իսկ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հոսպիտալացված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տուբերկուլոզային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հիվանդների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գերակշիռ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մասը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>` 70%-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ից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ավելին</w:t>
      </w:r>
      <w:r>
        <w:rPr>
          <w:rFonts w:ascii="GHEA Grapalat" w:hAnsi="GHEA Grapalat" w:cs="Arial"/>
          <w:sz w:val="24"/>
          <w:szCs w:val="24"/>
          <w:lang w:val="hy-AM"/>
        </w:rPr>
        <w:t>,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ոչ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վարակիչ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դեպքերն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են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,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որոնց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բուժումը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,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բացառությամբ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այլ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օրգան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համակարգերի</w:t>
      </w:r>
      <w:r>
        <w:rPr>
          <w:rFonts w:ascii="GHEA Grapalat" w:hAnsi="GHEA Grapalat" w:cs="Arial"/>
          <w:sz w:val="24"/>
          <w:szCs w:val="24"/>
          <w:lang w:val="hy-AM"/>
        </w:rPr>
        <w:t>,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ծանր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`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ֆունկցիոնալ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խանգարումներով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զուգակցվող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և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տուբերկուլոզային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դեղերի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ծանր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կողմնակի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ազդեցության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ժամանակավոր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հոսպիտալացման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դեպքերի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,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պետք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է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կազմակերպվեր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արտահիվանդանոցային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30C" w:rsidRPr="00267EA7">
        <w:rPr>
          <w:rFonts w:ascii="GHEA Grapalat" w:hAnsi="GHEA Grapalat" w:cs="Arial"/>
          <w:sz w:val="24"/>
          <w:szCs w:val="24"/>
          <w:lang w:val="hy-AM"/>
        </w:rPr>
        <w:t>պայմաններում</w:t>
      </w:r>
      <w:r w:rsidR="00BB730C" w:rsidRPr="00267EA7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BB730C" w:rsidRPr="005726D7" w:rsidRDefault="00BB730C" w:rsidP="005726D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726D7">
        <w:rPr>
          <w:rFonts w:ascii="GHEA Grapalat" w:hAnsi="GHEA Grapalat" w:cs="Arial"/>
          <w:sz w:val="24"/>
          <w:szCs w:val="24"/>
          <w:lang w:val="hy-AM"/>
        </w:rPr>
        <w:lastRenderedPageBreak/>
        <w:t>Մասնավորապես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726D7">
        <w:rPr>
          <w:rFonts w:ascii="GHEA Grapalat" w:hAnsi="GHEA Grapalat" w:cs="Arial"/>
          <w:sz w:val="24"/>
          <w:szCs w:val="24"/>
          <w:lang w:val="hy-AM"/>
        </w:rPr>
        <w:t>ՀՀ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Սյունիքի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մարզի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Կապանի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բժշկական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կենտրոնի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տուբերկուլոզային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բաժանմունքի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ծանրաբեռնվածությունը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վերջին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տարիներին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չի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գերազանցել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16%-</w:t>
      </w:r>
      <w:r w:rsidRPr="005726D7">
        <w:rPr>
          <w:rFonts w:ascii="GHEA Grapalat" w:hAnsi="GHEA Grapalat" w:cs="Arial"/>
          <w:sz w:val="24"/>
          <w:szCs w:val="24"/>
          <w:lang w:val="hy-AM"/>
        </w:rPr>
        <w:t>ը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726D7">
        <w:rPr>
          <w:rFonts w:ascii="GHEA Grapalat" w:hAnsi="GHEA Grapalat" w:cs="Arial"/>
          <w:sz w:val="24"/>
          <w:szCs w:val="24"/>
          <w:lang w:val="hy-AM"/>
        </w:rPr>
        <w:t>ընդ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որում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բուժման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միջին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տևողությունը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եղել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է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40 </w:t>
      </w:r>
      <w:r w:rsidRPr="005726D7">
        <w:rPr>
          <w:rFonts w:ascii="GHEA Grapalat" w:hAnsi="GHEA Grapalat" w:cs="Arial"/>
          <w:sz w:val="24"/>
          <w:szCs w:val="24"/>
          <w:lang w:val="hy-AM"/>
        </w:rPr>
        <w:t>օրից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ավելի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և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ընդունված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դեպքերի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ընդամենը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2%-</w:t>
      </w:r>
      <w:r w:rsidRPr="005726D7">
        <w:rPr>
          <w:rFonts w:ascii="GHEA Grapalat" w:hAnsi="GHEA Grapalat" w:cs="Arial"/>
          <w:sz w:val="24"/>
          <w:szCs w:val="24"/>
          <w:lang w:val="hy-AM"/>
        </w:rPr>
        <w:t>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է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ունեցել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վարակիչ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տուբերկուլոզ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5726D7">
        <w:rPr>
          <w:rFonts w:ascii="GHEA Grapalat" w:hAnsi="GHEA Grapalat" w:cs="Arial"/>
          <w:sz w:val="24"/>
          <w:szCs w:val="24"/>
          <w:lang w:val="hy-AM"/>
        </w:rPr>
        <w:t>Նույն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ժամանկահատվածում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Գորիսի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բժշկական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կենտրոնի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տուբերկուլոզային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բաժանմունքն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աշխատել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է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ընդամենը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25% </w:t>
      </w:r>
      <w:r w:rsidRPr="005726D7">
        <w:rPr>
          <w:rFonts w:ascii="GHEA Grapalat" w:hAnsi="GHEA Grapalat" w:cs="Arial"/>
          <w:sz w:val="24"/>
          <w:szCs w:val="24"/>
          <w:lang w:val="hy-AM"/>
        </w:rPr>
        <w:t>ծանրաբեռնվածությամբ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և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50 </w:t>
      </w:r>
      <w:r w:rsidRPr="005726D7">
        <w:rPr>
          <w:rFonts w:ascii="GHEA Grapalat" w:hAnsi="GHEA Grapalat" w:cs="Arial"/>
          <w:sz w:val="24"/>
          <w:szCs w:val="24"/>
          <w:lang w:val="hy-AM"/>
        </w:rPr>
        <w:t>օր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բուժման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միջին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տևողությամբ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726D7">
        <w:rPr>
          <w:rFonts w:ascii="GHEA Grapalat" w:hAnsi="GHEA Grapalat" w:cs="Arial"/>
          <w:sz w:val="24"/>
          <w:szCs w:val="24"/>
          <w:lang w:val="hy-AM"/>
        </w:rPr>
        <w:t>ընդ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որում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հիվանդների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ընդամենը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6%-</w:t>
      </w:r>
      <w:r w:rsidRPr="005726D7">
        <w:rPr>
          <w:rFonts w:ascii="GHEA Grapalat" w:hAnsi="GHEA Grapalat" w:cs="Arial"/>
          <w:sz w:val="24"/>
          <w:szCs w:val="24"/>
          <w:lang w:val="hy-AM"/>
        </w:rPr>
        <w:t>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է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ունեցել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վարակիչ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տուբերկուլոզ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5726D7">
        <w:rPr>
          <w:rFonts w:ascii="GHEA Grapalat" w:hAnsi="GHEA Grapalat" w:cs="Arial"/>
          <w:sz w:val="24"/>
          <w:szCs w:val="24"/>
          <w:lang w:val="hy-AM"/>
        </w:rPr>
        <w:t>Ելնելով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վեր</w:t>
      </w:r>
      <w:r w:rsidR="0088602A">
        <w:rPr>
          <w:rFonts w:ascii="GHEA Grapalat" w:hAnsi="GHEA Grapalat" w:cs="Arial"/>
          <w:sz w:val="24"/>
          <w:szCs w:val="24"/>
          <w:lang w:val="hy-AM"/>
        </w:rPr>
        <w:t>ո</w:t>
      </w:r>
      <w:r w:rsidRPr="005726D7">
        <w:rPr>
          <w:rFonts w:ascii="GHEA Grapalat" w:hAnsi="GHEA Grapalat" w:cs="Arial"/>
          <w:sz w:val="24"/>
          <w:szCs w:val="24"/>
          <w:lang w:val="hy-AM"/>
        </w:rPr>
        <w:t>գրյալից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նպտակահարմար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է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փակել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նշյալ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բժշկական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կենտրոնների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տուբերկուլոզային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բաժանմունքները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5726D7">
        <w:rPr>
          <w:rFonts w:ascii="GHEA Grapalat" w:hAnsi="GHEA Grapalat" w:cs="Arial"/>
          <w:sz w:val="24"/>
          <w:szCs w:val="24"/>
          <w:lang w:val="hy-AM"/>
        </w:rPr>
        <w:t>հիվանդների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բուժումը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առավելապես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կազմակերպելով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բժշկական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կենտրոնների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պոլիկլինիկաների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տուբերկուլոզային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կաբինետների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միջոցով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726D7">
        <w:rPr>
          <w:rFonts w:ascii="GHEA Grapalat" w:hAnsi="GHEA Grapalat" w:cs="Arial"/>
          <w:sz w:val="24"/>
          <w:szCs w:val="24"/>
          <w:lang w:val="hy-AM"/>
        </w:rPr>
        <w:t>հաշվի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առնելով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նաև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այն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726D7">
        <w:rPr>
          <w:rFonts w:ascii="GHEA Grapalat" w:hAnsi="GHEA Grapalat" w:cs="Arial"/>
          <w:sz w:val="24"/>
          <w:szCs w:val="24"/>
          <w:lang w:val="hy-AM"/>
        </w:rPr>
        <w:t>որ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կաբինետներում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և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հիվանդանոցային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բաժանմունքներում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աշխատում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է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միևնույն</w:t>
      </w:r>
      <w:r w:rsidR="005726D7">
        <w:rPr>
          <w:rFonts w:ascii="GHEA Grapalat" w:hAnsi="GHEA Grapalat" w:cs="Arial"/>
          <w:sz w:val="24"/>
          <w:szCs w:val="24"/>
          <w:lang w:val="hy-AM"/>
        </w:rPr>
        <w:t xml:space="preserve">՝ 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մեկ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մասնագետը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BB730C" w:rsidRPr="005726D7" w:rsidRDefault="00BB730C" w:rsidP="005726D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726D7">
        <w:rPr>
          <w:rFonts w:ascii="GHEA Grapalat" w:hAnsi="GHEA Grapalat" w:cs="Arial"/>
          <w:sz w:val="24"/>
          <w:szCs w:val="24"/>
          <w:lang w:val="hy-AM"/>
        </w:rPr>
        <w:t>Համանման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իրավիճակ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է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Շիրակի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և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Լոռու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մարզերի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Գյումրի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և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Վանաձոր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քաղաքների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ինֆեկցիոն</w:t>
      </w:r>
      <w:r w:rsidRPr="005726D7">
        <w:rPr>
          <w:rFonts w:ascii="GHEA Grapalat" w:hAnsi="GHEA Grapalat"/>
          <w:sz w:val="24"/>
          <w:szCs w:val="24"/>
          <w:lang w:val="hy-AM"/>
        </w:rPr>
        <w:t>-</w:t>
      </w:r>
      <w:r w:rsidRPr="005726D7">
        <w:rPr>
          <w:rFonts w:ascii="GHEA Grapalat" w:hAnsi="GHEA Grapalat" w:cs="Arial"/>
          <w:sz w:val="24"/>
          <w:szCs w:val="24"/>
          <w:lang w:val="hy-AM"/>
        </w:rPr>
        <w:t>հակատուբերկուլոզային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դիսպանսերներում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5726D7">
        <w:rPr>
          <w:rFonts w:ascii="GHEA Grapalat" w:hAnsi="GHEA Grapalat" w:cs="Arial"/>
          <w:sz w:val="24"/>
          <w:szCs w:val="24"/>
          <w:lang w:val="hy-AM"/>
        </w:rPr>
        <w:t>Գյումրու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դիսպանսերի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հակատուբերկուլոզային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բաժանմունքն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աշխատում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է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թերբեռնված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726D7">
        <w:rPr>
          <w:rFonts w:ascii="GHEA Grapalat" w:hAnsi="GHEA Grapalat" w:cs="Arial"/>
          <w:sz w:val="24"/>
          <w:szCs w:val="24"/>
          <w:lang w:val="hy-AM"/>
        </w:rPr>
        <w:t>ընդամենը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35-36% </w:t>
      </w:r>
      <w:r w:rsidRPr="005726D7">
        <w:rPr>
          <w:rFonts w:ascii="GHEA Grapalat" w:hAnsi="GHEA Grapalat" w:cs="Arial"/>
          <w:sz w:val="24"/>
          <w:szCs w:val="24"/>
          <w:lang w:val="hy-AM"/>
        </w:rPr>
        <w:t>ծանրաբեռնվածությամբ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726D7">
        <w:rPr>
          <w:rFonts w:ascii="GHEA Grapalat" w:hAnsi="GHEA Grapalat" w:cs="Arial"/>
          <w:sz w:val="24"/>
          <w:szCs w:val="24"/>
          <w:lang w:val="hy-AM"/>
        </w:rPr>
        <w:t>ընդ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որում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ընդունված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հիվանդների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շուրջ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40%-</w:t>
      </w:r>
      <w:r w:rsidRPr="005726D7">
        <w:rPr>
          <w:rFonts w:ascii="GHEA Grapalat" w:hAnsi="GHEA Grapalat" w:cs="Arial"/>
          <w:sz w:val="24"/>
          <w:szCs w:val="24"/>
          <w:lang w:val="hy-AM"/>
        </w:rPr>
        <w:t>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է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ունեցել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տուբերկուլոզ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726D7">
        <w:rPr>
          <w:rFonts w:ascii="GHEA Grapalat" w:hAnsi="GHEA Grapalat" w:cs="Arial"/>
          <w:sz w:val="24"/>
          <w:szCs w:val="24"/>
          <w:lang w:val="hy-AM"/>
        </w:rPr>
        <w:t>որոնց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ընդամենը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22%-</w:t>
      </w:r>
      <w:r w:rsidRPr="005726D7">
        <w:rPr>
          <w:rFonts w:ascii="GHEA Grapalat" w:hAnsi="GHEA Grapalat" w:cs="Arial"/>
          <w:sz w:val="24"/>
          <w:szCs w:val="24"/>
          <w:lang w:val="hy-AM"/>
        </w:rPr>
        <w:t>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է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ունեցել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վարակիչ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տուբերկուլոզ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5726D7">
        <w:rPr>
          <w:rFonts w:ascii="GHEA Grapalat" w:hAnsi="GHEA Grapalat" w:cs="Arial"/>
          <w:sz w:val="24"/>
          <w:szCs w:val="24"/>
          <w:lang w:val="hy-AM"/>
        </w:rPr>
        <w:t>Վանաձորի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ինֆեկցիոն</w:t>
      </w:r>
      <w:r w:rsidRPr="005726D7">
        <w:rPr>
          <w:rFonts w:ascii="GHEA Grapalat" w:hAnsi="GHEA Grapalat"/>
          <w:sz w:val="24"/>
          <w:szCs w:val="24"/>
          <w:lang w:val="hy-AM"/>
        </w:rPr>
        <w:t>-</w:t>
      </w:r>
      <w:r w:rsidRPr="005726D7">
        <w:rPr>
          <w:rFonts w:ascii="GHEA Grapalat" w:hAnsi="GHEA Grapalat" w:cs="Arial"/>
          <w:sz w:val="24"/>
          <w:szCs w:val="24"/>
          <w:lang w:val="hy-AM"/>
        </w:rPr>
        <w:t>հակատուբերկուլոզային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դիսպանսերի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հակատուբերկուլոզային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բաժանմունքի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ծանրաբեռնվածությունը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փոքր</w:t>
      </w:r>
      <w:r w:rsidRPr="005726D7">
        <w:rPr>
          <w:rFonts w:ascii="GHEA Grapalat" w:hAnsi="GHEA Grapalat"/>
          <w:sz w:val="24"/>
          <w:szCs w:val="24"/>
          <w:lang w:val="hy-AM"/>
        </w:rPr>
        <w:t>-</w:t>
      </w:r>
      <w:r w:rsidRPr="005726D7">
        <w:rPr>
          <w:rFonts w:ascii="GHEA Grapalat" w:hAnsi="GHEA Grapalat" w:cs="Arial"/>
          <w:sz w:val="24"/>
          <w:szCs w:val="24"/>
          <w:lang w:val="hy-AM"/>
        </w:rPr>
        <w:t>ինչ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բարձր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է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եղել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5726D7">
        <w:rPr>
          <w:rFonts w:ascii="GHEA Grapalat" w:hAnsi="GHEA Grapalat" w:cs="Arial"/>
          <w:sz w:val="24"/>
          <w:szCs w:val="24"/>
          <w:lang w:val="hy-AM"/>
        </w:rPr>
        <w:t>հասնելով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48%-</w:t>
      </w:r>
      <w:r w:rsidRPr="005726D7">
        <w:rPr>
          <w:rFonts w:ascii="GHEA Grapalat" w:hAnsi="GHEA Grapalat" w:cs="Arial"/>
          <w:sz w:val="24"/>
          <w:szCs w:val="24"/>
          <w:lang w:val="hy-AM"/>
        </w:rPr>
        <w:t>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726D7">
        <w:rPr>
          <w:rFonts w:ascii="GHEA Grapalat" w:hAnsi="GHEA Grapalat" w:cs="Arial"/>
          <w:sz w:val="24"/>
          <w:szCs w:val="24"/>
          <w:lang w:val="hy-AM"/>
        </w:rPr>
        <w:t>սակայն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ուղեկցվել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է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40 </w:t>
      </w:r>
      <w:r w:rsidRPr="005726D7">
        <w:rPr>
          <w:rFonts w:ascii="GHEA Grapalat" w:hAnsi="GHEA Grapalat" w:cs="Arial"/>
          <w:sz w:val="24"/>
          <w:szCs w:val="24"/>
          <w:lang w:val="hy-AM"/>
        </w:rPr>
        <w:t>օր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և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ավելի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բուժման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միջին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տևողությամբ</w:t>
      </w:r>
      <w:r w:rsidRPr="005726D7">
        <w:rPr>
          <w:rFonts w:ascii="GHEA Grapalat" w:hAnsi="GHEA Grapalat"/>
          <w:sz w:val="24"/>
          <w:szCs w:val="24"/>
          <w:lang w:val="hy-AM"/>
        </w:rPr>
        <w:t>:</w:t>
      </w:r>
      <w:r w:rsid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Ելնելով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վերոգրյալից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726D7">
        <w:rPr>
          <w:rFonts w:ascii="GHEA Grapalat" w:hAnsi="GHEA Grapalat" w:cs="Arial"/>
          <w:sz w:val="24"/>
          <w:szCs w:val="24"/>
          <w:lang w:val="hy-AM"/>
        </w:rPr>
        <w:t>առաջարկվում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է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փակել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Գյումրու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հակատուբերկուլոզային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հիվանդանոցային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բաժանմունքը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5726D7">
        <w:rPr>
          <w:rFonts w:ascii="GHEA Grapalat" w:hAnsi="GHEA Grapalat" w:cs="Arial"/>
          <w:sz w:val="24"/>
          <w:szCs w:val="24"/>
          <w:lang w:val="hy-AM"/>
        </w:rPr>
        <w:t>ծառայությունները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կազմակերպելով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քաղաքի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6 </w:t>
      </w:r>
      <w:r w:rsidRPr="005726D7">
        <w:rPr>
          <w:rFonts w:ascii="GHEA Grapalat" w:hAnsi="GHEA Grapalat" w:cs="Arial"/>
          <w:sz w:val="24"/>
          <w:szCs w:val="24"/>
          <w:lang w:val="hy-AM"/>
        </w:rPr>
        <w:t>պոլիկլինիկաների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տուբերկուլոզային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կաբիենտների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միջոցով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5726D7">
        <w:rPr>
          <w:rFonts w:ascii="GHEA Grapalat" w:hAnsi="GHEA Grapalat" w:cs="Arial"/>
          <w:sz w:val="24"/>
          <w:szCs w:val="24"/>
          <w:lang w:val="hy-AM"/>
        </w:rPr>
        <w:t>Վանաձոր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քաղաքում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նույնպես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առաջարկվում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է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փակել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հիվանդանոցային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բաժանմունքն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ու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ծառայությունները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կազմակերպել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արտահիվանդանոցային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lastRenderedPageBreak/>
        <w:t>եղանակով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726D7">
        <w:rPr>
          <w:rFonts w:ascii="GHEA Grapalat" w:hAnsi="GHEA Grapalat" w:cs="Arial"/>
          <w:sz w:val="24"/>
          <w:szCs w:val="24"/>
          <w:lang w:val="hy-AM"/>
        </w:rPr>
        <w:t>սակայն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հաշվի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առնելով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տարվա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կտրվածքով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հիվանդների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փոքր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թիվը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726D7">
        <w:rPr>
          <w:rFonts w:ascii="GHEA Grapalat" w:hAnsi="GHEA Grapalat" w:cs="Arial"/>
          <w:sz w:val="24"/>
          <w:szCs w:val="24"/>
          <w:lang w:val="hy-AM"/>
        </w:rPr>
        <w:t>առաջարկվում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է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քաղաքի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ներկայում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գործող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չորս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տուբերկուլոզային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կաբինետների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ծառայությունները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կենտրոնացնել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թիվ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="00B5430A" w:rsidRPr="00B5430A">
        <w:rPr>
          <w:rFonts w:ascii="GHEA Grapalat" w:hAnsi="GHEA Grapalat"/>
          <w:sz w:val="24"/>
          <w:szCs w:val="24"/>
          <w:lang w:val="hy-AM"/>
        </w:rPr>
        <w:t>3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, </w:t>
      </w:r>
      <w:r w:rsidR="00B5430A">
        <w:rPr>
          <w:rFonts w:ascii="GHEA Grapalat" w:hAnsi="GHEA Grapalat"/>
          <w:sz w:val="24"/>
          <w:szCs w:val="24"/>
          <w:lang w:val="hy-AM"/>
        </w:rPr>
        <w:t>թիվ 5 և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5726D7">
        <w:rPr>
          <w:rFonts w:ascii="GHEA Grapalat" w:hAnsi="GHEA Grapalat" w:cs="Arial"/>
          <w:sz w:val="24"/>
          <w:szCs w:val="24"/>
          <w:lang w:val="hy-AM"/>
        </w:rPr>
        <w:t>Գուգարք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5726D7">
        <w:rPr>
          <w:rFonts w:ascii="GHEA Grapalat" w:hAnsi="GHEA Grapalat" w:cs="Arial"/>
          <w:sz w:val="24"/>
          <w:szCs w:val="24"/>
          <w:lang w:val="hy-AM"/>
        </w:rPr>
        <w:t>կենտրոնական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պոլիկլինիկա</w:t>
      </w:r>
      <w:r w:rsidR="00B5430A">
        <w:rPr>
          <w:rFonts w:ascii="GHEA Grapalat" w:hAnsi="GHEA Grapalat" w:cs="Arial"/>
          <w:sz w:val="24"/>
          <w:szCs w:val="24"/>
          <w:lang w:val="hy-AM"/>
        </w:rPr>
        <w:t>ներ</w:t>
      </w:r>
      <w:r w:rsidRPr="005726D7">
        <w:rPr>
          <w:rFonts w:ascii="GHEA Grapalat" w:hAnsi="GHEA Grapalat" w:cs="Arial"/>
          <w:sz w:val="24"/>
          <w:szCs w:val="24"/>
          <w:lang w:val="hy-AM"/>
        </w:rPr>
        <w:t>ում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5726D7">
        <w:rPr>
          <w:rFonts w:ascii="GHEA Grapalat" w:hAnsi="GHEA Grapalat" w:cs="Arial"/>
          <w:sz w:val="24"/>
          <w:szCs w:val="24"/>
          <w:lang w:val="hy-AM"/>
        </w:rPr>
        <w:t>Նշյալ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որոշմ</w:t>
      </w:r>
      <w:r w:rsidR="005726D7">
        <w:rPr>
          <w:rFonts w:ascii="GHEA Grapalat" w:hAnsi="GHEA Grapalat" w:cs="Arial"/>
          <w:sz w:val="24"/>
          <w:szCs w:val="24"/>
          <w:lang w:val="hy-AM"/>
        </w:rPr>
        <w:t>ան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հիմք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է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ընդունվել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="00B5430A">
        <w:rPr>
          <w:rFonts w:ascii="GHEA Grapalat" w:hAnsi="GHEA Grapalat" w:cs="Arial"/>
          <w:sz w:val="24"/>
          <w:szCs w:val="24"/>
          <w:lang w:val="hy-AM"/>
        </w:rPr>
        <w:t>պոլիկլինիկաների հեռավորությունը միմյանցից,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մատչելի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աշխարհագրական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դիրքը</w:t>
      </w:r>
      <w:r w:rsidR="0031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և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ախտորոշիչ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հնարավորությունները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5726D7">
        <w:rPr>
          <w:rFonts w:ascii="GHEA Grapalat" w:hAnsi="GHEA Grapalat" w:cs="Arial"/>
          <w:sz w:val="24"/>
          <w:szCs w:val="24"/>
          <w:lang w:val="hy-AM"/>
        </w:rPr>
        <w:t>Հաշվի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է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առնվել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նաև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այն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726D7">
        <w:rPr>
          <w:rFonts w:ascii="GHEA Grapalat" w:hAnsi="GHEA Grapalat" w:cs="Arial"/>
          <w:sz w:val="24"/>
          <w:szCs w:val="24"/>
          <w:lang w:val="hy-AM"/>
        </w:rPr>
        <w:t>որ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5726D7">
        <w:rPr>
          <w:rFonts w:ascii="GHEA Grapalat" w:hAnsi="GHEA Grapalat" w:cs="Arial"/>
          <w:sz w:val="24"/>
          <w:szCs w:val="24"/>
          <w:lang w:val="hy-AM"/>
        </w:rPr>
        <w:t>Գուգարք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5726D7">
        <w:rPr>
          <w:rFonts w:ascii="GHEA Grapalat" w:hAnsi="GHEA Grapalat" w:cs="Arial"/>
          <w:sz w:val="24"/>
          <w:szCs w:val="24"/>
          <w:lang w:val="hy-AM"/>
        </w:rPr>
        <w:t>պոլիկլինիկան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առաջիկայում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համալրվելու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է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նոր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5726D7">
        <w:rPr>
          <w:rFonts w:ascii="GHEA Grapalat" w:hAnsi="GHEA Grapalat" w:cs="Arial"/>
          <w:sz w:val="24"/>
          <w:szCs w:val="24"/>
          <w:lang w:val="hy-AM"/>
        </w:rPr>
        <w:t>բազմաֆունկցիոնալ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ռենտգեն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սարքով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726D7">
        <w:rPr>
          <w:rFonts w:ascii="GHEA Grapalat" w:hAnsi="GHEA Grapalat" w:cs="Arial"/>
          <w:sz w:val="24"/>
          <w:szCs w:val="24"/>
          <w:lang w:val="hy-AM"/>
        </w:rPr>
        <w:t>ինչը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շատ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կարևոր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է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հիվանդության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ժամանակին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ախտորոշման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և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բուժման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ընթացքին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հետևելու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BB730C" w:rsidRPr="005726D7" w:rsidRDefault="00BB730C" w:rsidP="005726D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726D7">
        <w:rPr>
          <w:rFonts w:ascii="GHEA Grapalat" w:hAnsi="GHEA Grapalat" w:cs="Arial"/>
          <w:sz w:val="24"/>
          <w:szCs w:val="24"/>
          <w:lang w:val="hy-AM"/>
        </w:rPr>
        <w:t>Հարկ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ենք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համարում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նշել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նաև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726D7">
        <w:rPr>
          <w:rFonts w:ascii="GHEA Grapalat" w:hAnsi="GHEA Grapalat" w:cs="Arial"/>
          <w:sz w:val="24"/>
          <w:szCs w:val="24"/>
          <w:lang w:val="hy-AM"/>
        </w:rPr>
        <w:t>որ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նշյալ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քաղաքներում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տուբերկուլոզային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մասնագետները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սակավաթիվ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են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5726D7">
        <w:rPr>
          <w:rFonts w:ascii="GHEA Grapalat" w:hAnsi="GHEA Grapalat" w:cs="Arial"/>
          <w:sz w:val="24"/>
          <w:szCs w:val="24"/>
          <w:lang w:val="hy-AM"/>
        </w:rPr>
        <w:t>որոնց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մի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մասը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համատեղությամբ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աշխատում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է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թե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հիվանդանոցային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բաժանմունքներում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և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թե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պոլիկինիաների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տուբերկուլոզային</w:t>
      </w:r>
      <w:r w:rsidRPr="005726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26D7">
        <w:rPr>
          <w:rFonts w:ascii="GHEA Grapalat" w:hAnsi="GHEA Grapalat" w:cs="Arial"/>
          <w:sz w:val="24"/>
          <w:szCs w:val="24"/>
          <w:lang w:val="hy-AM"/>
        </w:rPr>
        <w:t>կաբինետներում</w:t>
      </w:r>
      <w:r w:rsidRPr="005726D7">
        <w:rPr>
          <w:rFonts w:ascii="GHEA Grapalat" w:hAnsi="GHEA Grapalat"/>
          <w:sz w:val="24"/>
          <w:szCs w:val="24"/>
          <w:lang w:val="hy-AM"/>
        </w:rPr>
        <w:t>:</w:t>
      </w:r>
    </w:p>
    <w:p w:rsidR="00FE1AF6" w:rsidRPr="0088602A" w:rsidRDefault="00BB730C" w:rsidP="00267EA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16516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88602A">
        <w:rPr>
          <w:rFonts w:ascii="GHEA Grapalat" w:hAnsi="GHEA Grapalat" w:cs="Arial"/>
          <w:sz w:val="24"/>
          <w:szCs w:val="24"/>
          <w:lang w:val="hy-AM"/>
        </w:rPr>
        <w:t>Ինչ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վերաբերվում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է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նշյալ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մարզերի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և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քաղաքների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հիվանդանոցային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բուժման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կարիք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ունեցող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դեղազգայուն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հիվանդներին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8602A">
        <w:rPr>
          <w:rFonts w:ascii="GHEA Grapalat" w:hAnsi="GHEA Grapalat" w:cs="Arial"/>
          <w:sz w:val="24"/>
          <w:szCs w:val="24"/>
          <w:lang w:val="hy-AM"/>
        </w:rPr>
        <w:t>ապա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վերջիններիս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բուժումը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առաջարկվում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է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կազմակերպել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հանրապետական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նշանակության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Տուբերկուլոզի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ազգային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կենտրոնում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8602A">
        <w:rPr>
          <w:rFonts w:ascii="GHEA Grapalat" w:hAnsi="GHEA Grapalat" w:cs="Arial"/>
          <w:sz w:val="24"/>
          <w:szCs w:val="24"/>
          <w:lang w:val="hy-AM"/>
        </w:rPr>
        <w:t>որը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նույնպես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թերբեռնված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է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աշխատում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8602A">
        <w:rPr>
          <w:rFonts w:ascii="GHEA Grapalat" w:hAnsi="GHEA Grapalat" w:cs="Arial"/>
          <w:sz w:val="24"/>
          <w:szCs w:val="24"/>
          <w:lang w:val="hy-AM"/>
        </w:rPr>
        <w:t>արդիականացվել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է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Գլոբալ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հիմնադրամի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դրամաշնորհային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ծրագրի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շրջանակներում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8602A">
        <w:rPr>
          <w:rFonts w:ascii="GHEA Grapalat" w:hAnsi="GHEA Grapalat" w:cs="Arial"/>
          <w:sz w:val="24"/>
          <w:szCs w:val="24"/>
          <w:lang w:val="hy-AM"/>
        </w:rPr>
        <w:t>և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ի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տարբերություն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անբավարար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շենքային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պայմաններ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ունեցող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վերը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թվարկված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8602A">
        <w:rPr>
          <w:rFonts w:ascii="GHEA Grapalat" w:hAnsi="GHEA Grapalat" w:cs="Arial"/>
          <w:sz w:val="24"/>
          <w:szCs w:val="24"/>
          <w:lang w:val="hy-AM"/>
        </w:rPr>
        <w:t>տարածաշրջանային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հակատուբերկուլոզային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բաժանմունքների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88602A">
        <w:rPr>
          <w:rFonts w:ascii="GHEA Grapalat" w:hAnsi="GHEA Grapalat" w:cs="Arial"/>
          <w:sz w:val="24"/>
          <w:szCs w:val="24"/>
          <w:lang w:val="hy-AM"/>
        </w:rPr>
        <w:t>ունի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վարակի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վերհսկման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անհրաժեշտ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ենթակառուցվածք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8602A">
        <w:rPr>
          <w:rFonts w:ascii="GHEA Grapalat" w:hAnsi="GHEA Grapalat" w:cs="Arial"/>
          <w:sz w:val="24"/>
          <w:szCs w:val="24"/>
          <w:lang w:val="hy-AM"/>
        </w:rPr>
        <w:t>և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արդեն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իսկ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ծառայում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է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որպես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միակ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ստացիոնար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տուբերկուլոզի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դեղակայուն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ձևերի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բուժման</w:t>
      </w:r>
      <w:r w:rsidRPr="008860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02A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88602A">
        <w:rPr>
          <w:rFonts w:ascii="GHEA Grapalat" w:hAnsi="GHEA Grapalat"/>
          <w:sz w:val="24"/>
          <w:szCs w:val="24"/>
          <w:lang w:val="hy-AM"/>
        </w:rPr>
        <w:t>:</w:t>
      </w:r>
    </w:p>
    <w:sectPr w:rsidR="00FE1AF6" w:rsidRPr="008860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E5D"/>
    <w:rsid w:val="00216516"/>
    <w:rsid w:val="00267EA7"/>
    <w:rsid w:val="00316EDC"/>
    <w:rsid w:val="003D081C"/>
    <w:rsid w:val="005726D7"/>
    <w:rsid w:val="007541A8"/>
    <w:rsid w:val="007D50A8"/>
    <w:rsid w:val="0088602A"/>
    <w:rsid w:val="00921A9D"/>
    <w:rsid w:val="00B5430A"/>
    <w:rsid w:val="00BB730C"/>
    <w:rsid w:val="00BC0F09"/>
    <w:rsid w:val="00E55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62663D0-3DE0-4248-B202-97AC56A39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684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MAghajanova</dc:creator>
  <cp:keywords>Mulberry 2.0</cp:keywords>
  <dc:description/>
  <cp:lastModifiedBy>Yana Boyajyan</cp:lastModifiedBy>
  <cp:revision>2</cp:revision>
  <dcterms:created xsi:type="dcterms:W3CDTF">2019-09-25T09:05:00Z</dcterms:created>
  <dcterms:modified xsi:type="dcterms:W3CDTF">2019-09-25T09:05:00Z</dcterms:modified>
</cp:coreProperties>
</file>