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D0F78" w:rsidRPr="00201E4F" w:rsidRDefault="002D0F78" w:rsidP="002D0F7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</w:pPr>
      <w:r w:rsidRPr="00201E4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  <w:r w:rsidRPr="00201E4F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 </w:t>
      </w:r>
    </w:p>
    <w:p w:rsidR="002D0F78" w:rsidRPr="00201E4F" w:rsidRDefault="002D0F78" w:rsidP="002D0F7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</w:pPr>
    </w:p>
    <w:p w:rsidR="002D0F78" w:rsidRPr="00201E4F" w:rsidRDefault="009C4D15" w:rsidP="002D0F78">
      <w:pPr>
        <w:spacing w:after="0" w:line="240" w:lineRule="auto"/>
        <w:jc w:val="center"/>
        <w:rPr>
          <w:rFonts w:ascii="GHEA Grapalat" w:hAnsi="GHEA Grapalat" w:cs="Times New Roman"/>
          <w:b/>
          <w:bCs/>
          <w:sz w:val="24"/>
          <w:szCs w:val="24"/>
          <w:lang w:val="hy-AM"/>
        </w:rPr>
      </w:pPr>
      <w:r w:rsidRPr="00201E4F">
        <w:rPr>
          <w:rFonts w:ascii="GHEA Grapalat" w:hAnsi="GHEA Grapalat" w:cs="Times New Roman"/>
          <w:b/>
          <w:bCs/>
          <w:sz w:val="24"/>
          <w:szCs w:val="24"/>
          <w:lang w:val="hy-AM"/>
        </w:rPr>
        <w:t>ՊԵՏԱԿԱՆ ԳՈՒՅՔՆ ՕՏԱՐԵԼՈՒ ՄԱՍԻՆ</w:t>
      </w:r>
    </w:p>
    <w:p w:rsidR="002D0F78" w:rsidRPr="00201E4F" w:rsidRDefault="002D0F78" w:rsidP="002D0F78">
      <w:pPr>
        <w:spacing w:after="0" w:line="240" w:lineRule="auto"/>
        <w:jc w:val="center"/>
        <w:rPr>
          <w:rFonts w:ascii="GHEA Grapalat" w:hAnsi="GHEA Grapalat" w:cs="Times New Roman"/>
          <w:b/>
          <w:bCs/>
          <w:sz w:val="24"/>
          <w:szCs w:val="24"/>
          <w:lang w:val="hy-AM"/>
        </w:rPr>
      </w:pPr>
    </w:p>
    <w:p w:rsidR="002D0F78" w:rsidRPr="00201E4F" w:rsidRDefault="002D0F78" w:rsidP="002D0F78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201E4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ՀՀ ԿԱՌԱՎԱՐՈՒԹՅԱՆ ՈՐՈՇՄԱՆ ՆԱԽԱԳԾԻ</w:t>
      </w:r>
    </w:p>
    <w:p w:rsidR="002D0F78" w:rsidRPr="00201E4F" w:rsidRDefault="002D0F78" w:rsidP="002D0F78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657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34"/>
        <w:gridCol w:w="4323"/>
      </w:tblGrid>
      <w:tr w:rsidR="0092374E" w:rsidRPr="00201E4F" w:rsidTr="00993EDB">
        <w:trPr>
          <w:tblCellSpacing w:w="0" w:type="dxa"/>
        </w:trPr>
        <w:tc>
          <w:tcPr>
            <w:tcW w:w="6334" w:type="dxa"/>
            <w:vMerge w:val="restart"/>
            <w:shd w:val="clear" w:color="auto" w:fill="D0D0D0"/>
            <w:vAlign w:val="center"/>
            <w:hideMark/>
          </w:tcPr>
          <w:p w:rsidR="002D0F78" w:rsidRPr="00201E4F" w:rsidRDefault="002D0F78" w:rsidP="009335EF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201E4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       </w:t>
            </w:r>
            <w:r w:rsidR="00BF271C" w:rsidRPr="00201E4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1</w:t>
            </w:r>
            <w:r w:rsidRPr="00201E4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.  </w:t>
            </w:r>
            <w:r w:rsidR="00103CEA" w:rsidRPr="00201E4F">
              <w:rPr>
                <w:rFonts w:ascii="GHEA Grapalat" w:hAnsi="GHEA Grapalat"/>
              </w:rPr>
              <w:t xml:space="preserve"> </w:t>
            </w:r>
            <w:r w:rsidR="00103CEA" w:rsidRPr="00201E4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ՀՀ կադաստրի կոմիտե</w:t>
            </w:r>
          </w:p>
        </w:tc>
        <w:tc>
          <w:tcPr>
            <w:tcW w:w="4323" w:type="dxa"/>
            <w:shd w:val="clear" w:color="auto" w:fill="D0CECE" w:themeFill="background2" w:themeFillShade="E6"/>
          </w:tcPr>
          <w:p w:rsidR="002D0F78" w:rsidRPr="00201E4F" w:rsidRDefault="00103CEA" w:rsidP="009335EF">
            <w:pPr>
              <w:spacing w:after="0" w:line="276" w:lineRule="auto"/>
              <w:jc w:val="center"/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</w:pPr>
            <w:r w:rsidRPr="00201E4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03</w:t>
            </w:r>
            <w:r w:rsidR="007D5372" w:rsidRPr="00201E4F">
              <w:rPr>
                <w:rFonts w:ascii="MS Mincho" w:eastAsia="MS Mincho" w:hAnsi="MS Mincho" w:cs="MS Mincho" w:hint="eastAsia"/>
                <w:bCs/>
                <w:sz w:val="24"/>
                <w:szCs w:val="24"/>
                <w:lang w:val="hy-AM"/>
              </w:rPr>
              <w:t>․</w:t>
            </w:r>
            <w:r w:rsidR="00D36AEE" w:rsidRPr="00201E4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0</w:t>
            </w:r>
            <w:r w:rsidRPr="00201E4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9</w:t>
            </w:r>
            <w:r w:rsidR="007D5372" w:rsidRPr="00201E4F">
              <w:rPr>
                <w:rFonts w:ascii="MS Mincho" w:eastAsia="MS Mincho" w:hAnsi="MS Mincho" w:cs="MS Mincho" w:hint="eastAsia"/>
                <w:bCs/>
                <w:sz w:val="24"/>
                <w:szCs w:val="24"/>
                <w:lang w:val="hy-AM"/>
              </w:rPr>
              <w:t>․</w:t>
            </w:r>
            <w:r w:rsidR="007D5372" w:rsidRPr="00201E4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202</w:t>
            </w:r>
            <w:r w:rsidR="0097330D" w:rsidRPr="00201E4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5</w:t>
            </w:r>
            <w:r w:rsidR="002D0F78" w:rsidRPr="00201E4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թ</w:t>
            </w:r>
            <w:r w:rsidR="002D0F78" w:rsidRPr="00201E4F">
              <w:rPr>
                <w:rFonts w:ascii="MS Mincho" w:eastAsia="MS Mincho" w:hAnsi="MS Mincho" w:cs="MS Mincho" w:hint="eastAsia"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9335EF" w:rsidRPr="00201E4F" w:rsidTr="00993EDB">
        <w:trPr>
          <w:trHeight w:val="55"/>
          <w:tblCellSpacing w:w="0" w:type="dxa"/>
        </w:trPr>
        <w:tc>
          <w:tcPr>
            <w:tcW w:w="6334" w:type="dxa"/>
            <w:vMerge/>
            <w:shd w:val="clear" w:color="auto" w:fill="FFFFFF"/>
            <w:vAlign w:val="center"/>
            <w:hideMark/>
          </w:tcPr>
          <w:p w:rsidR="009335EF" w:rsidRPr="00201E4F" w:rsidRDefault="009335EF" w:rsidP="009335EF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</w:tc>
        <w:tc>
          <w:tcPr>
            <w:tcW w:w="4323" w:type="dxa"/>
            <w:shd w:val="clear" w:color="auto" w:fill="D0CECE" w:themeFill="background2" w:themeFillShade="E6"/>
            <w:vAlign w:val="center"/>
          </w:tcPr>
          <w:p w:rsidR="009335EF" w:rsidRPr="00201E4F" w:rsidRDefault="009335EF" w:rsidP="009335EF">
            <w:pPr>
              <w:spacing w:after="0" w:line="276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01E4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N </w:t>
            </w:r>
            <w:r w:rsidR="00FE21F8" w:rsidRPr="00201E4F">
              <w:rPr>
                <w:rFonts w:ascii="GHEA Grapalat" w:hAnsi="GHEA Grapalat"/>
              </w:rPr>
              <w:t xml:space="preserve"> </w:t>
            </w:r>
            <w:r w:rsidR="00103CEA" w:rsidRPr="00201E4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ՍԹ/16555-2025</w:t>
            </w:r>
          </w:p>
        </w:tc>
      </w:tr>
      <w:tr w:rsidR="00993EDB" w:rsidRPr="00201E4F" w:rsidTr="008E3526">
        <w:trPr>
          <w:trHeight w:val="913"/>
          <w:tblCellSpacing w:w="0" w:type="dxa"/>
        </w:trPr>
        <w:tc>
          <w:tcPr>
            <w:tcW w:w="10657" w:type="dxa"/>
            <w:gridSpan w:val="2"/>
            <w:shd w:val="clear" w:color="auto" w:fill="FFFFFF"/>
            <w:vAlign w:val="center"/>
          </w:tcPr>
          <w:p w:rsidR="00993EDB" w:rsidRPr="00201E4F" w:rsidRDefault="00993EDB" w:rsidP="009335EF">
            <w:pPr>
              <w:spacing w:after="0" w:line="276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993EDB" w:rsidRPr="00201E4F" w:rsidRDefault="00103CEA" w:rsidP="009335EF">
            <w:pPr>
              <w:spacing w:after="0" w:line="276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01E4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«Պետական գույքն օտարելու մասին» ՀՀ կառավարության որոշման նախագծի վերաբերյալ առաջարկություններ չունենք</w:t>
            </w:r>
          </w:p>
          <w:p w:rsidR="00103CEA" w:rsidRPr="00201E4F" w:rsidRDefault="00103CEA" w:rsidP="009335EF">
            <w:pPr>
              <w:spacing w:after="0" w:line="276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  <w:tr w:rsidR="009335EF" w:rsidRPr="00201E4F" w:rsidTr="00993EDB">
        <w:trPr>
          <w:tblCellSpacing w:w="0" w:type="dxa"/>
        </w:trPr>
        <w:tc>
          <w:tcPr>
            <w:tcW w:w="6334" w:type="dxa"/>
            <w:vMerge w:val="restart"/>
            <w:shd w:val="clear" w:color="auto" w:fill="D0D0D0"/>
            <w:vAlign w:val="center"/>
            <w:hideMark/>
          </w:tcPr>
          <w:p w:rsidR="009335EF" w:rsidRPr="00201E4F" w:rsidRDefault="009335EF" w:rsidP="009335EF">
            <w:pPr>
              <w:tabs>
                <w:tab w:val="left" w:pos="615"/>
              </w:tabs>
              <w:spacing w:after="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01E4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       2 </w:t>
            </w:r>
            <w:r w:rsidRPr="00201E4F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103CEA" w:rsidRPr="00201E4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4323" w:type="dxa"/>
            <w:shd w:val="clear" w:color="auto" w:fill="D0CECE" w:themeFill="background2" w:themeFillShade="E6"/>
          </w:tcPr>
          <w:p w:rsidR="009335EF" w:rsidRPr="00201E4F" w:rsidRDefault="009335EF" w:rsidP="009335EF">
            <w:pPr>
              <w:tabs>
                <w:tab w:val="left" w:pos="1410"/>
                <w:tab w:val="center" w:pos="2151"/>
              </w:tabs>
              <w:spacing w:after="0" w:line="276" w:lineRule="auto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  <w:r w:rsidRPr="00201E4F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ab/>
            </w:r>
            <w:r w:rsidR="00201E4F" w:rsidRPr="00201E4F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12</w:t>
            </w:r>
            <w:r w:rsidRPr="00201E4F">
              <w:rPr>
                <w:rFonts w:ascii="MS Mincho" w:eastAsia="MS Mincho" w:hAnsi="MS Mincho" w:cs="MS Mincho" w:hint="eastAsia"/>
                <w:bCs/>
                <w:sz w:val="24"/>
                <w:szCs w:val="24"/>
                <w:lang w:val="hy-AM"/>
              </w:rPr>
              <w:t>․</w:t>
            </w:r>
            <w:r w:rsidR="00201E4F" w:rsidRPr="00201E4F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>09</w:t>
            </w:r>
            <w:r w:rsidRPr="00201E4F">
              <w:rPr>
                <w:rFonts w:ascii="MS Mincho" w:eastAsia="MS Mincho" w:hAnsi="MS Mincho" w:cs="MS Mincho" w:hint="eastAsia"/>
                <w:bCs/>
                <w:sz w:val="24"/>
                <w:szCs w:val="24"/>
                <w:lang w:val="hy-AM"/>
              </w:rPr>
              <w:t>․</w:t>
            </w:r>
            <w:r w:rsidRPr="00201E4F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2025թ</w:t>
            </w:r>
            <w:r w:rsidRPr="00201E4F">
              <w:rPr>
                <w:rFonts w:ascii="MS Mincho" w:eastAsia="MS Mincho" w:hAnsi="MS Mincho" w:cs="MS Mincho" w:hint="eastAsia"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9335EF" w:rsidRPr="00201E4F" w:rsidTr="00993EDB">
        <w:trPr>
          <w:trHeight w:val="55"/>
          <w:tblCellSpacing w:w="0" w:type="dxa"/>
        </w:trPr>
        <w:tc>
          <w:tcPr>
            <w:tcW w:w="6334" w:type="dxa"/>
            <w:vMerge/>
            <w:shd w:val="clear" w:color="auto" w:fill="FFFFFF"/>
            <w:vAlign w:val="center"/>
            <w:hideMark/>
          </w:tcPr>
          <w:p w:rsidR="009335EF" w:rsidRPr="00201E4F" w:rsidRDefault="009335EF" w:rsidP="009335EF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</w:tc>
        <w:tc>
          <w:tcPr>
            <w:tcW w:w="4323" w:type="dxa"/>
            <w:shd w:val="clear" w:color="auto" w:fill="D0CECE" w:themeFill="background2" w:themeFillShade="E6"/>
          </w:tcPr>
          <w:p w:rsidR="009335EF" w:rsidRPr="00201E4F" w:rsidRDefault="009335EF" w:rsidP="009335EF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201E4F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 xml:space="preserve">N </w:t>
            </w:r>
            <w:r w:rsidR="00D0350F" w:rsidRPr="00201E4F">
              <w:rPr>
                <w:rFonts w:ascii="GHEA Grapalat" w:hAnsi="GHEA Grapalat"/>
              </w:rPr>
              <w:t xml:space="preserve"> </w:t>
            </w:r>
            <w:r w:rsidR="00201E4F" w:rsidRPr="00201E4F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01/11-1/19787-2025</w:t>
            </w:r>
          </w:p>
        </w:tc>
      </w:tr>
      <w:tr w:rsidR="009335EF" w:rsidRPr="00201E4F" w:rsidTr="00993EDB">
        <w:trPr>
          <w:trHeight w:val="913"/>
          <w:tblCellSpacing w:w="0" w:type="dxa"/>
        </w:trPr>
        <w:tc>
          <w:tcPr>
            <w:tcW w:w="6334" w:type="dxa"/>
            <w:shd w:val="clear" w:color="auto" w:fill="FFFFFF"/>
            <w:vAlign w:val="center"/>
          </w:tcPr>
          <w:p w:rsidR="009335EF" w:rsidRDefault="00201E4F" w:rsidP="00201E4F">
            <w:pPr>
              <w:tabs>
                <w:tab w:val="left" w:pos="409"/>
              </w:tabs>
              <w:spacing w:after="0" w:line="360" w:lineRule="auto"/>
              <w:ind w:left="267" w:right="3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201E4F">
              <w:rPr>
                <w:rFonts w:ascii="GHEA Grapalat" w:hAnsi="GHEA Grapalat"/>
                <w:sz w:val="24"/>
                <w:szCs w:val="24"/>
                <w:lang w:val="hy-AM"/>
              </w:rPr>
              <w:t>ՀՀ ֆինանսների նախարարությունն ուսումնասիրել է «Պետական գույքն օտարելու մասին» ՀՀ կառավարության որոշման նախագիծը և առաջարկում է Նախագծի հիմնավորմամբ հստակեցնել՝ արդյոք պետական գույքի արդյունավետ կառավարման տեսանկյունից հնարավոր այլընտանքների մեջ օտարումը դիտարկվել է որպես լավագույն լուծում (օրինակ, քննարկվել է տարածքը վարձակալությամբ տրամադրելու տարբերակը):</w:t>
            </w:r>
          </w:p>
          <w:p w:rsidR="00201E4F" w:rsidRPr="00201E4F" w:rsidRDefault="00201E4F" w:rsidP="00201E4F">
            <w:pPr>
              <w:tabs>
                <w:tab w:val="left" w:pos="409"/>
              </w:tabs>
              <w:spacing w:after="0" w:line="360" w:lineRule="auto"/>
              <w:ind w:left="267" w:right="3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323" w:type="dxa"/>
            <w:shd w:val="clear" w:color="auto" w:fill="FFFFFF"/>
          </w:tcPr>
          <w:p w:rsidR="009335EF" w:rsidRDefault="009335EF" w:rsidP="009335E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01E4F" w:rsidRDefault="00201E4F" w:rsidP="009335E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01E4F" w:rsidRPr="00201E4F" w:rsidRDefault="00201E4F" w:rsidP="009335E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335EF" w:rsidRPr="00201E4F" w:rsidRDefault="00201E4F" w:rsidP="009335E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01E4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է,  հիմնավորման մեջ անդրադարձ է կատարվել նշված հարցին։</w:t>
            </w:r>
          </w:p>
        </w:tc>
      </w:tr>
    </w:tbl>
    <w:p w:rsidR="00F12C76" w:rsidRPr="00201E4F" w:rsidRDefault="00F12C76" w:rsidP="006C0B77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F12C76" w:rsidRPr="00201E4F" w:rsidSect="002D0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F78"/>
    <w:rsid w:val="00005C7F"/>
    <w:rsid w:val="00060526"/>
    <w:rsid w:val="00061938"/>
    <w:rsid w:val="00074CC6"/>
    <w:rsid w:val="00076938"/>
    <w:rsid w:val="00077E19"/>
    <w:rsid w:val="000B257A"/>
    <w:rsid w:val="000B44D0"/>
    <w:rsid w:val="000C1090"/>
    <w:rsid w:val="000D210D"/>
    <w:rsid w:val="00103CEA"/>
    <w:rsid w:val="00105306"/>
    <w:rsid w:val="00123137"/>
    <w:rsid w:val="001406DB"/>
    <w:rsid w:val="001546B1"/>
    <w:rsid w:val="001A241B"/>
    <w:rsid w:val="001E560B"/>
    <w:rsid w:val="001F6FAC"/>
    <w:rsid w:val="00201E4F"/>
    <w:rsid w:val="002101FC"/>
    <w:rsid w:val="00222820"/>
    <w:rsid w:val="00291D25"/>
    <w:rsid w:val="002B4388"/>
    <w:rsid w:val="002C2D90"/>
    <w:rsid w:val="002D0F78"/>
    <w:rsid w:val="002D159D"/>
    <w:rsid w:val="002E3826"/>
    <w:rsid w:val="00313C3B"/>
    <w:rsid w:val="00314AE7"/>
    <w:rsid w:val="00383886"/>
    <w:rsid w:val="00394B16"/>
    <w:rsid w:val="004137B6"/>
    <w:rsid w:val="0042117A"/>
    <w:rsid w:val="00471AD5"/>
    <w:rsid w:val="004971AB"/>
    <w:rsid w:val="004A5957"/>
    <w:rsid w:val="004B7DF6"/>
    <w:rsid w:val="004E0300"/>
    <w:rsid w:val="004F108B"/>
    <w:rsid w:val="00513330"/>
    <w:rsid w:val="00513706"/>
    <w:rsid w:val="0053779D"/>
    <w:rsid w:val="00546E4A"/>
    <w:rsid w:val="0054771D"/>
    <w:rsid w:val="005771A8"/>
    <w:rsid w:val="00591237"/>
    <w:rsid w:val="005A3E22"/>
    <w:rsid w:val="005A7CF1"/>
    <w:rsid w:val="005E0095"/>
    <w:rsid w:val="005E1339"/>
    <w:rsid w:val="00602E1C"/>
    <w:rsid w:val="006040D3"/>
    <w:rsid w:val="00620F58"/>
    <w:rsid w:val="00663F8A"/>
    <w:rsid w:val="00697DEC"/>
    <w:rsid w:val="006A3CF6"/>
    <w:rsid w:val="006C0B77"/>
    <w:rsid w:val="006F04E3"/>
    <w:rsid w:val="006F73EA"/>
    <w:rsid w:val="00704576"/>
    <w:rsid w:val="00725C1C"/>
    <w:rsid w:val="00757A6A"/>
    <w:rsid w:val="007807B6"/>
    <w:rsid w:val="00780D08"/>
    <w:rsid w:val="007A1B81"/>
    <w:rsid w:val="007D5372"/>
    <w:rsid w:val="007F3504"/>
    <w:rsid w:val="00802F34"/>
    <w:rsid w:val="0081250C"/>
    <w:rsid w:val="00815BA4"/>
    <w:rsid w:val="008242FF"/>
    <w:rsid w:val="00870751"/>
    <w:rsid w:val="00885B97"/>
    <w:rsid w:val="008B5663"/>
    <w:rsid w:val="0090459E"/>
    <w:rsid w:val="00922C48"/>
    <w:rsid w:val="0092374E"/>
    <w:rsid w:val="009335EF"/>
    <w:rsid w:val="00946C78"/>
    <w:rsid w:val="009676BE"/>
    <w:rsid w:val="0097330D"/>
    <w:rsid w:val="00993EDB"/>
    <w:rsid w:val="009C14E9"/>
    <w:rsid w:val="009C4D15"/>
    <w:rsid w:val="009E5A2C"/>
    <w:rsid w:val="009F0DFB"/>
    <w:rsid w:val="009F1044"/>
    <w:rsid w:val="00A00C4E"/>
    <w:rsid w:val="00A12F63"/>
    <w:rsid w:val="00AA7323"/>
    <w:rsid w:val="00AC252B"/>
    <w:rsid w:val="00B26ECD"/>
    <w:rsid w:val="00B451B6"/>
    <w:rsid w:val="00B75784"/>
    <w:rsid w:val="00B915B7"/>
    <w:rsid w:val="00BA4A42"/>
    <w:rsid w:val="00BB49A5"/>
    <w:rsid w:val="00BF271C"/>
    <w:rsid w:val="00C03E1D"/>
    <w:rsid w:val="00C2110E"/>
    <w:rsid w:val="00C50F46"/>
    <w:rsid w:val="00C55CC5"/>
    <w:rsid w:val="00C80EDE"/>
    <w:rsid w:val="00D0350F"/>
    <w:rsid w:val="00D36AEE"/>
    <w:rsid w:val="00D82FAA"/>
    <w:rsid w:val="00D95573"/>
    <w:rsid w:val="00DA505F"/>
    <w:rsid w:val="00E05F03"/>
    <w:rsid w:val="00E3021E"/>
    <w:rsid w:val="00E32C75"/>
    <w:rsid w:val="00E3751F"/>
    <w:rsid w:val="00E6141A"/>
    <w:rsid w:val="00E6212B"/>
    <w:rsid w:val="00EA59DF"/>
    <w:rsid w:val="00EA7F2B"/>
    <w:rsid w:val="00ED1DE7"/>
    <w:rsid w:val="00EE4070"/>
    <w:rsid w:val="00F12C76"/>
    <w:rsid w:val="00F81611"/>
    <w:rsid w:val="00FA2216"/>
    <w:rsid w:val="00FD2BC7"/>
    <w:rsid w:val="00FE21F8"/>
    <w:rsid w:val="00FE6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D2254"/>
  <w15:chartTrackingRefBased/>
  <w15:docId w15:val="{770CA181-BCAE-4674-BC35-2FF678C7E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D0F78"/>
    <w:pPr>
      <w:spacing w:line="256" w:lineRule="auto"/>
    </w:pPr>
    <w:rPr>
      <w:kern w:val="0"/>
      <w:lang w:val="en-US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2D0F78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ru-RU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D0F78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u-RU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D0F78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:lang w:val="ru-RU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D0F78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8"/>
      <w:lang w:val="ru-RU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D0F78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2F5496" w:themeColor="accent1" w:themeShade="BF"/>
      <w:kern w:val="2"/>
      <w:sz w:val="28"/>
      <w:lang w:val="ru-RU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D0F78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8"/>
      <w:lang w:val="ru-RU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D0F78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kern w:val="2"/>
      <w:sz w:val="28"/>
      <w:lang w:val="ru-RU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D0F78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8"/>
      <w:lang w:val="ru-RU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D0F78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kern w:val="2"/>
      <w:sz w:val="28"/>
      <w:lang w:val="ru-RU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D0F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D0F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D0F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D0F78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2D0F78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2D0F78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2D0F78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2D0F78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2D0F78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2D0F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2D0F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D0F78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2D0F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D0F78"/>
    <w:pPr>
      <w:spacing w:before="160" w:line="240" w:lineRule="auto"/>
      <w:jc w:val="center"/>
    </w:pPr>
    <w:rPr>
      <w:rFonts w:ascii="Times New Roman" w:hAnsi="Times New Roman"/>
      <w:i/>
      <w:iCs/>
      <w:color w:val="404040" w:themeColor="text1" w:themeTint="BF"/>
      <w:kern w:val="2"/>
      <w:sz w:val="28"/>
      <w:lang w:val="ru-RU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2D0F78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a"/>
    <w:link w:val="a8"/>
    <w:uiPriority w:val="34"/>
    <w:qFormat/>
    <w:rsid w:val="002D0F78"/>
    <w:pPr>
      <w:spacing w:line="240" w:lineRule="auto"/>
      <w:ind w:left="720"/>
      <w:contextualSpacing/>
    </w:pPr>
    <w:rPr>
      <w:rFonts w:ascii="Times New Roman" w:hAnsi="Times New Roman"/>
      <w:kern w:val="2"/>
      <w:sz w:val="28"/>
      <w:lang w:val="ru-RU"/>
      <w14:ligatures w14:val="standardContextual"/>
    </w:rPr>
  </w:style>
  <w:style w:type="character" w:styleId="a9">
    <w:name w:val="Intense Emphasis"/>
    <w:basedOn w:val="a0"/>
    <w:uiPriority w:val="21"/>
    <w:qFormat/>
    <w:rsid w:val="002D0F78"/>
    <w:rPr>
      <w:i/>
      <w:iCs/>
      <w:color w:val="2F5496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2D0F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40" w:lineRule="auto"/>
      <w:ind w:left="864" w:right="864"/>
      <w:jc w:val="center"/>
    </w:pPr>
    <w:rPr>
      <w:rFonts w:ascii="Times New Roman" w:hAnsi="Times New Roman"/>
      <w:i/>
      <w:iCs/>
      <w:color w:val="2F5496" w:themeColor="accent1" w:themeShade="BF"/>
      <w:kern w:val="2"/>
      <w:sz w:val="28"/>
      <w:lang w:val="ru-RU"/>
      <w14:ligatures w14:val="standardContextual"/>
    </w:rPr>
  </w:style>
  <w:style w:type="character" w:customStyle="1" w:styleId="ab">
    <w:name w:val="Выделенная цитата Знак"/>
    <w:basedOn w:val="a0"/>
    <w:link w:val="aa"/>
    <w:uiPriority w:val="30"/>
    <w:rsid w:val="002D0F78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c">
    <w:name w:val="Intense Reference"/>
    <w:basedOn w:val="a0"/>
    <w:uiPriority w:val="32"/>
    <w:qFormat/>
    <w:rsid w:val="002D0F78"/>
    <w:rPr>
      <w:b/>
      <w:bCs/>
      <w:smallCaps/>
      <w:color w:val="2F5496" w:themeColor="accent1" w:themeShade="BF"/>
      <w:spacing w:val="5"/>
    </w:rPr>
  </w:style>
  <w:style w:type="character" w:customStyle="1" w:styleId="a8">
    <w:name w:val="Абзац списка Знак"/>
    <w:aliases w:val="List_Paragraph Знак,Multilevel para_II Знак,List Paragraph1 Знак,Akapit z listą BS Знак,Bullet1 Знак,Bullets Знак,List Paragraph 1 Знак,References Знак,List Paragraph (numbered (a)) Знак,IBL List Paragraph Знак,List Paragraph nowy Знак"/>
    <w:link w:val="a7"/>
    <w:uiPriority w:val="34"/>
    <w:qFormat/>
    <w:locked/>
    <w:rsid w:val="002D0F78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448632-7EEC-4BDD-B01B-69E205ACC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https://mul2-spm.gov.am/tasks/501992/oneclick?token=f1aec1cc78a54c233f1dc4ea553711e1</cp:keywords>
  <dc:description/>
  <cp:lastModifiedBy>User</cp:lastModifiedBy>
  <cp:revision>105</cp:revision>
  <dcterms:created xsi:type="dcterms:W3CDTF">2025-01-10T08:04:00Z</dcterms:created>
  <dcterms:modified xsi:type="dcterms:W3CDTF">2025-09-15T06:02:00Z</dcterms:modified>
</cp:coreProperties>
</file>