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CBB5A" w14:textId="77777777" w:rsidR="001D3BD1" w:rsidRPr="00691200" w:rsidRDefault="001D3BD1" w:rsidP="001D3BD1">
      <w:pPr>
        <w:spacing w:after="0" w:line="360" w:lineRule="auto"/>
        <w:jc w:val="center"/>
        <w:rPr>
          <w:rFonts w:ascii="GHEA Grapalat" w:hAnsi="GHEA Grapalat"/>
          <w:b/>
          <w:sz w:val="24"/>
          <w:szCs w:val="24"/>
          <w:lang w:val="hy-AM"/>
        </w:rPr>
      </w:pPr>
      <w:r w:rsidRPr="00691200">
        <w:rPr>
          <w:rFonts w:ascii="GHEA Grapalat" w:hAnsi="GHEA Grapalat"/>
          <w:b/>
          <w:sz w:val="24"/>
          <w:szCs w:val="24"/>
          <w:lang w:val="hy-AM"/>
        </w:rPr>
        <w:t>ՏԵՂԵԿԱՆՔ</w:t>
      </w:r>
    </w:p>
    <w:p w14:paraId="79CC556A" w14:textId="50688CDC" w:rsidR="001D3BD1" w:rsidRPr="00691200" w:rsidRDefault="001D3BD1" w:rsidP="001D3BD1">
      <w:pPr>
        <w:shd w:val="clear" w:color="auto" w:fill="FFFFFF"/>
        <w:spacing w:after="0" w:line="240" w:lineRule="auto"/>
        <w:jc w:val="center"/>
        <w:rPr>
          <w:rFonts w:ascii="GHEA Grapalat" w:eastAsia="Times New Roman" w:hAnsi="GHEA Grapalat" w:cs="Times New Roman"/>
          <w:color w:val="000000"/>
          <w:sz w:val="24"/>
          <w:szCs w:val="24"/>
          <w:lang w:val="hy-AM"/>
        </w:rPr>
      </w:pPr>
      <w:r w:rsidRPr="00691200">
        <w:rPr>
          <w:rFonts w:ascii="GHEA Grapalat" w:hAnsi="GHEA Grapalat"/>
          <w:b/>
          <w:sz w:val="24"/>
          <w:szCs w:val="24"/>
          <w:lang w:val="hy-AM"/>
        </w:rPr>
        <w:t>«</w:t>
      </w:r>
      <w:r w:rsidRPr="00691200">
        <w:rPr>
          <w:rFonts w:ascii="GHEA Grapalat" w:eastAsia="Times New Roman" w:hAnsi="GHEA Grapalat" w:cs="Times New Roman"/>
          <w:b/>
          <w:bCs/>
          <w:color w:val="000000"/>
          <w:sz w:val="24"/>
          <w:szCs w:val="24"/>
          <w:lang w:val="hy-AM"/>
        </w:rPr>
        <w:t>«ՏԵԽՆԻԿԱԿԱՆ ԱՆՎՏԱՆԳՈՒԹՅԱՆ ԱՊԱՀՈՎՄԱՆ ՊԵՏԱԿԱՆ ԿԱՐԳԱՎՈՐՄԱՆ ՄԱՍԻՆ» ՕՐԵՆՔՈՒՄ ՓՈՓՈԽՈՒԹՅՈՒՆՆԵՐ ԿԱՏԱՐԵԼՈՒ ՄԱՍԻՆ</w:t>
      </w:r>
      <w:r w:rsidRPr="00691200">
        <w:rPr>
          <w:rFonts w:ascii="GHEA Grapalat" w:hAnsi="GHEA Grapalat"/>
          <w:b/>
          <w:sz w:val="24"/>
          <w:szCs w:val="24"/>
          <w:lang w:val="hy-AM"/>
        </w:rPr>
        <w:t>» ՕՐԵՆՔ</w:t>
      </w:r>
      <w:r w:rsidR="00532FD1">
        <w:rPr>
          <w:rFonts w:ascii="GHEA Grapalat" w:hAnsi="GHEA Grapalat"/>
          <w:b/>
          <w:sz w:val="24"/>
          <w:szCs w:val="24"/>
          <w:lang w:val="hy-AM"/>
        </w:rPr>
        <w:t xml:space="preserve">Ի ՆԱԽԱԳԾՈՎ </w:t>
      </w:r>
      <w:r w:rsidRPr="00691200">
        <w:rPr>
          <w:rFonts w:ascii="GHEA Grapalat" w:eastAsia="Times New Roman" w:hAnsi="GHEA Grapalat" w:cs="Times New Roman"/>
          <w:b/>
          <w:bCs/>
          <w:color w:val="000000"/>
          <w:sz w:val="24"/>
          <w:szCs w:val="24"/>
          <w:lang w:val="hy-AM"/>
        </w:rPr>
        <w:t xml:space="preserve">ՓՈՓՈԽՎՈՂ </w:t>
      </w:r>
      <w:r w:rsidRPr="00691200">
        <w:rPr>
          <w:rFonts w:ascii="GHEA Grapalat" w:hAnsi="GHEA Grapalat"/>
          <w:b/>
          <w:sz w:val="24"/>
          <w:szCs w:val="24"/>
          <w:lang w:val="hy-AM"/>
        </w:rPr>
        <w:t>ՀՈԴՎԱԾԵՐԻ ՎԵՐԱԲԵՐՅԱԼ</w:t>
      </w:r>
    </w:p>
    <w:p w14:paraId="2EF5CF07" w14:textId="77777777" w:rsidR="001D3BD1" w:rsidRPr="00691200" w:rsidRDefault="001D3BD1" w:rsidP="001D3BD1">
      <w:pPr>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1D3BD1" w:rsidRPr="00691200" w14:paraId="6772608D" w14:textId="77777777" w:rsidTr="006F677F">
        <w:trPr>
          <w:tblCellSpacing w:w="0" w:type="dxa"/>
        </w:trPr>
        <w:tc>
          <w:tcPr>
            <w:tcW w:w="2025" w:type="dxa"/>
            <w:shd w:val="clear" w:color="auto" w:fill="FFFFFF"/>
            <w:hideMark/>
          </w:tcPr>
          <w:p w14:paraId="2713FB6A" w14:textId="77777777" w:rsidR="001D3BD1" w:rsidRPr="00691200" w:rsidRDefault="001D3BD1" w:rsidP="006F677F">
            <w:pPr>
              <w:tabs>
                <w:tab w:val="left" w:pos="-5812"/>
              </w:tabs>
              <w:spacing w:after="0"/>
              <w:ind w:right="168"/>
              <w:contextualSpacing/>
              <w:jc w:val="both"/>
              <w:rPr>
                <w:rFonts w:ascii="GHEA Grapalat" w:hAnsi="GHEA Grapalat"/>
                <w:sz w:val="24"/>
                <w:szCs w:val="24"/>
                <w:lang w:val="hy-AM"/>
              </w:rPr>
            </w:pPr>
            <w:r w:rsidRPr="00691200">
              <w:rPr>
                <w:rFonts w:ascii="GHEA Grapalat" w:hAnsi="GHEA Grapalat"/>
                <w:b/>
                <w:bCs/>
                <w:sz w:val="24"/>
                <w:szCs w:val="24"/>
                <w:lang w:val="hy-AM"/>
              </w:rPr>
              <w:t>Հոդված</w:t>
            </w:r>
            <w:r w:rsidRPr="00691200">
              <w:rPr>
                <w:rFonts w:ascii="Calibri" w:hAnsi="Calibri" w:cs="Calibri"/>
                <w:b/>
                <w:bCs/>
                <w:sz w:val="24"/>
                <w:szCs w:val="24"/>
                <w:lang w:val="hy-AM"/>
              </w:rPr>
              <w:t> </w:t>
            </w:r>
            <w:bookmarkStart w:id="0" w:name="178856_1"/>
            <w:bookmarkStart w:id="1" w:name="192735_4"/>
            <w:bookmarkEnd w:id="0"/>
            <w:bookmarkEnd w:id="1"/>
            <w:r w:rsidRPr="00691200">
              <w:rPr>
                <w:rFonts w:ascii="GHEA Grapalat" w:hAnsi="GHEA Grapalat"/>
                <w:b/>
                <w:bCs/>
                <w:sz w:val="24"/>
                <w:szCs w:val="24"/>
                <w:lang w:val="hy-AM"/>
              </w:rPr>
              <w:t>4.</w:t>
            </w:r>
          </w:p>
        </w:tc>
        <w:tc>
          <w:tcPr>
            <w:tcW w:w="0" w:type="auto"/>
            <w:shd w:val="clear" w:color="auto" w:fill="FFFFFF"/>
            <w:vAlign w:val="center"/>
            <w:hideMark/>
          </w:tcPr>
          <w:p w14:paraId="44A0CA01" w14:textId="77777777" w:rsidR="001D3BD1" w:rsidRPr="00691200" w:rsidRDefault="001D3BD1" w:rsidP="006F677F">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Օրենքի հիմնական հասկացությունները</w:t>
            </w:r>
          </w:p>
        </w:tc>
      </w:tr>
    </w:tbl>
    <w:p w14:paraId="29EEF969"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Սույն օրենքում օգտագործվում են հետևյալ հիմնական հասկացությունները`</w:t>
      </w:r>
    </w:p>
    <w:p w14:paraId="4FE2F21B"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անվտանգություն`</w:t>
      </w:r>
      <w:r w:rsidRPr="00691200">
        <w:rPr>
          <w:rFonts w:ascii="Calibri" w:hAnsi="Calibri" w:cs="Calibri"/>
          <w:sz w:val="24"/>
          <w:szCs w:val="24"/>
          <w:lang w:val="hy-AM"/>
        </w:rPr>
        <w:t> </w:t>
      </w:r>
      <w:r w:rsidRPr="00691200">
        <w:rPr>
          <w:rFonts w:ascii="GHEA Grapalat" w:hAnsi="GHEA Grapalat"/>
          <w:sz w:val="24"/>
          <w:szCs w:val="24"/>
          <w:lang w:val="hy-AM"/>
        </w:rPr>
        <w:t>արտադրական և սպասարկման ոլորտի օբյեկտներում տեխնածին վթարներից, արտադրական պատահարներից և դրանց հետևանքներից հասարակության և անհատի կենսականորեն առավելագույն պաշտպանվածության վիճակը.</w:t>
      </w:r>
    </w:p>
    <w:p w14:paraId="506EE22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տեխնածին վթար`</w:t>
      </w:r>
      <w:r w:rsidRPr="00691200">
        <w:rPr>
          <w:rFonts w:ascii="Calibri" w:hAnsi="Calibri" w:cs="Calibri"/>
          <w:sz w:val="24"/>
          <w:szCs w:val="24"/>
          <w:lang w:val="hy-AM"/>
        </w:rPr>
        <w:t> </w:t>
      </w:r>
      <w:r w:rsidRPr="00691200">
        <w:rPr>
          <w:rFonts w:ascii="GHEA Grapalat" w:hAnsi="GHEA Grapalat"/>
          <w:sz w:val="24"/>
          <w:szCs w:val="24"/>
          <w:lang w:val="hy-AM"/>
        </w:rPr>
        <w:t>արտադրության մեջ կիրառվող տեխնոլոգիական սարքավորումների, շենքերի, շինությունների ավերածություններ, չվերահսկվող պայթյուն և հրդեհ, վտանգավոր, վնասակար նյութերի արտանետումներ, որոնց հետևանքով վնաս է հասցվել մարդկանց առողջությանը, շրջակա միջավայրին, վնասվել կամ ոչնչացվել են նյութական միջոցներ.</w:t>
      </w:r>
    </w:p>
    <w:p w14:paraId="48E6E508"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միջոցներ`</w:t>
      </w:r>
      <w:r w:rsidRPr="00691200">
        <w:rPr>
          <w:rFonts w:ascii="Calibri" w:hAnsi="Calibri" w:cs="Calibri"/>
          <w:sz w:val="24"/>
          <w:szCs w:val="24"/>
          <w:lang w:val="hy-AM"/>
        </w:rPr>
        <w:t> </w:t>
      </w:r>
      <w:r w:rsidRPr="00691200">
        <w:rPr>
          <w:rFonts w:ascii="GHEA Grapalat" w:hAnsi="GHEA Grapalat"/>
          <w:sz w:val="24"/>
          <w:szCs w:val="24"/>
          <w:lang w:val="hy-AM"/>
        </w:rPr>
        <w:t>տեխնոլոգիական գործընթացի իրականացման համար անհրաժեշտ մեքենաներ, գործիքներ, պաշտպանական միջոցներ, չափիչ ստուգիչ սարքեր, ավտոմատացման միջոցներ, տեխնիկական սարքավորումներ, լողամիջոցներ.</w:t>
      </w:r>
    </w:p>
    <w:p w14:paraId="5CED4F34"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արտադրական պատահար`</w:t>
      </w:r>
      <w:r w:rsidRPr="00691200">
        <w:rPr>
          <w:rFonts w:ascii="Calibri" w:hAnsi="Calibri" w:cs="Calibri"/>
          <w:sz w:val="24"/>
          <w:szCs w:val="24"/>
          <w:lang w:val="hy-AM"/>
        </w:rPr>
        <w:t> </w:t>
      </w:r>
      <w:r w:rsidRPr="00691200">
        <w:rPr>
          <w:rFonts w:ascii="GHEA Grapalat" w:hAnsi="GHEA Grapalat"/>
          <w:sz w:val="24"/>
          <w:szCs w:val="24"/>
          <w:lang w:val="hy-AM"/>
        </w:rPr>
        <w:t>արտադրական վտանգավոր օբյեկտներում օգտագործվող տեխնիկական միջոցների խափանում կամ վնասում, տեխնոլոգիական պրոցեսի ռեժիմից շեղում, տեխնիկական անվտանգության ոլորտի օրենսդրության պահանջների խախտումներ, որոնք կարող են ստեղծել տեխնածին վթարի սպառնալիք.</w:t>
      </w:r>
    </w:p>
    <w:p w14:paraId="17045BEE"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վթարի ռիսկի գնահատում`</w:t>
      </w:r>
      <w:r w:rsidRPr="00691200">
        <w:rPr>
          <w:rFonts w:ascii="Calibri" w:hAnsi="Calibri" w:cs="Calibri"/>
          <w:sz w:val="24"/>
          <w:szCs w:val="24"/>
          <w:lang w:val="hy-AM"/>
        </w:rPr>
        <w:t> </w:t>
      </w:r>
      <w:r w:rsidRPr="00691200">
        <w:rPr>
          <w:rFonts w:ascii="GHEA Grapalat" w:hAnsi="GHEA Grapalat"/>
          <w:sz w:val="24"/>
          <w:szCs w:val="24"/>
          <w:lang w:val="hy-AM"/>
        </w:rPr>
        <w:t>գործընթաց, որի նպատակն է բացահայտել, վերլուծել և գնահատել արտադրական վտանգավոր օբյեկտում տեխնածին վթարի առաջացման հավանականության պայմանները, դրանց ընթացքի վրա ազդող գործոնների նկարագրությունը, վթարի մասշտաբները, մարդկանց առողջության և շրջակա միջավայրի վրա դրանց ազդեցության ծանրության աստիճանը.</w:t>
      </w:r>
    </w:p>
    <w:p w14:paraId="1D476B5E"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միջավայրի պաշտպանվածություն`</w:t>
      </w:r>
      <w:r w:rsidRPr="00691200">
        <w:rPr>
          <w:rFonts w:ascii="Calibri" w:hAnsi="Calibri" w:cs="Calibri"/>
          <w:sz w:val="24"/>
          <w:szCs w:val="24"/>
          <w:lang w:val="hy-AM"/>
        </w:rPr>
        <w:t> </w:t>
      </w:r>
      <w:r w:rsidRPr="00691200">
        <w:rPr>
          <w:rFonts w:ascii="GHEA Grapalat" w:hAnsi="GHEA Grapalat"/>
          <w:sz w:val="24"/>
          <w:szCs w:val="24"/>
          <w:lang w:val="hy-AM"/>
        </w:rPr>
        <w:t>վթարների հետևանքներից մարդկանց կյանքի և առողջության, բնական միջավայրի պաշտպանություն, ինչպես նաև պետության, այլ սեփականատերերի և քաղաքացիների գույքի պահպանության նպատակով իրավական, կազմակերպական և ինժեներատեխնիկական միջոցառումների իրականացում.</w:t>
      </w:r>
    </w:p>
    <w:p w14:paraId="57EEA793"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անվտանգության վկայագիր՝</w:t>
      </w:r>
      <w:r w:rsidRPr="00691200">
        <w:rPr>
          <w:rFonts w:ascii="Calibri" w:hAnsi="Calibri" w:cs="Calibri"/>
          <w:sz w:val="24"/>
          <w:szCs w:val="24"/>
          <w:lang w:val="hy-AM"/>
        </w:rPr>
        <w:t> </w:t>
      </w:r>
      <w:r w:rsidRPr="00691200">
        <w:rPr>
          <w:rFonts w:ascii="GHEA Grapalat" w:hAnsi="GHEA Grapalat"/>
          <w:sz w:val="24"/>
          <w:szCs w:val="24"/>
          <w:lang w:val="hy-AM"/>
        </w:rPr>
        <w:t xml:space="preserve">արտադրական վտանգավոր օբյեկտ շահագործող անձի կողմից հաստատված փաստաթուղթ, որի մեջ արտացոլվում և ամփոփվում են տվյալներ արտադրական վտանգավոր օբյեկտում տեխնածին վթարների հավանականության, դրանց բնույթի ու մասշտաբների, աշխատողների, շրջակա բնակչության և միջավայրի վրա վտանգավոր գործոնների հնարավոր ազդեցության, դրանց կանխարգելման և վերացման համար նախատեսված միջոցառումների, ինչպես </w:t>
      </w:r>
      <w:r w:rsidRPr="00691200">
        <w:rPr>
          <w:rFonts w:ascii="GHEA Grapalat" w:hAnsi="GHEA Grapalat"/>
          <w:sz w:val="24"/>
          <w:szCs w:val="24"/>
          <w:lang w:val="hy-AM"/>
        </w:rPr>
        <w:lastRenderedPageBreak/>
        <w:t>նաև միջավայրի պաշտպանվածությունն ապահովելու նպատակով արտադրական վտանգավոր օբյեկտը գոտիավորող տարածքների մասին.</w:t>
      </w:r>
    </w:p>
    <w:p w14:paraId="799F959B"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անվտանգության փորձաքննություն`</w:t>
      </w:r>
      <w:r w:rsidRPr="00691200">
        <w:rPr>
          <w:rFonts w:ascii="Calibri" w:hAnsi="Calibri" w:cs="Calibri"/>
          <w:sz w:val="24"/>
          <w:szCs w:val="24"/>
          <w:lang w:val="hy-AM"/>
        </w:rPr>
        <w:t> </w:t>
      </w:r>
      <w:r w:rsidRPr="00691200">
        <w:rPr>
          <w:rFonts w:ascii="GHEA Grapalat" w:hAnsi="GHEA Grapalat"/>
          <w:sz w:val="24"/>
          <w:szCs w:val="24"/>
          <w:lang w:val="hy-AM"/>
        </w:rPr>
        <w:t>գործունեություն, որի նպատակն է ուսումնասիրել և տալ եզրակացություն արտադրական վտանգավոր օբյեկտի շինարարության, ընդլայնման, վերակառուցման, տեխնիկական վերազինման, կոնսերվացման, ապամոնտաժման նախագծային փաստաթղթերի, տեխնիկական անվտանգության վկայագրի, շահագործվող կամ գործարկման ենթակա արտադրական վտանգավոր օբյեկտների շենքերի, շինությունների, տեխնոլոգիական սարքավորումների և տեխնիկական միջոցների` տեխնիկական անվտանգության ոլորտի օրենսդրության պահանջներին համապատասխանության մասին.</w:t>
      </w:r>
    </w:p>
    <w:p w14:paraId="7A3B480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փորձագիտական եզրակացություն`</w:t>
      </w:r>
      <w:r w:rsidRPr="00691200">
        <w:rPr>
          <w:rFonts w:ascii="Calibri" w:hAnsi="Calibri" w:cs="Calibri"/>
          <w:sz w:val="24"/>
          <w:szCs w:val="24"/>
          <w:lang w:val="hy-AM"/>
        </w:rPr>
        <w:t> </w:t>
      </w:r>
      <w:r w:rsidRPr="00691200">
        <w:rPr>
          <w:rFonts w:ascii="GHEA Grapalat" w:hAnsi="GHEA Grapalat"/>
          <w:sz w:val="24"/>
          <w:szCs w:val="24"/>
          <w:lang w:val="hy-AM"/>
        </w:rPr>
        <w:t>տեխնիկական անվտանգության փորձաքննության արդյունքում կազմվող փաստաթուղթ, որի մեջ ամփոփվում են տեխնիկական անվտանգության ոլորտի օրենսդրության պահանջների պահպանման վիճակը բնութագրող վերլուծություններ, հետևություններ և եզրահանգումներ.</w:t>
      </w:r>
    </w:p>
    <w:p w14:paraId="4F4723F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քննություն`</w:t>
      </w:r>
      <w:r w:rsidRPr="00691200">
        <w:rPr>
          <w:rFonts w:ascii="Calibri" w:hAnsi="Calibri" w:cs="Calibri"/>
          <w:sz w:val="24"/>
          <w:szCs w:val="24"/>
          <w:lang w:val="hy-AM"/>
        </w:rPr>
        <w:t> </w:t>
      </w:r>
      <w:r w:rsidRPr="00691200">
        <w:rPr>
          <w:rFonts w:ascii="GHEA Grapalat" w:hAnsi="GHEA Grapalat"/>
          <w:sz w:val="24"/>
          <w:szCs w:val="24"/>
          <w:lang w:val="hy-AM"/>
        </w:rPr>
        <w:t>գործառույթ, որի ընթացքում ուսումնասիրվում և փաստաթղթով ձևակերպվում են հիմնավորումներ և եզրահանգումներ տեղի ունեցած վթարների և (կամ) արտադրական դժբախտ դեպքերի տեխնածին բնույթ կրող պատճառների և հանգամանքների վերաբերյալ.</w:t>
      </w:r>
    </w:p>
    <w:p w14:paraId="773B7219"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լիազոր մարմին`</w:t>
      </w:r>
      <w:r w:rsidRPr="00691200">
        <w:rPr>
          <w:rFonts w:ascii="Calibri" w:hAnsi="Calibri" w:cs="Calibri"/>
          <w:sz w:val="24"/>
          <w:szCs w:val="24"/>
          <w:lang w:val="hy-AM"/>
        </w:rPr>
        <w:t> </w:t>
      </w:r>
      <w:r w:rsidRPr="00691200">
        <w:rPr>
          <w:rFonts w:ascii="GHEA Grapalat" w:hAnsi="GHEA Grapalat"/>
          <w:sz w:val="24"/>
          <w:szCs w:val="24"/>
          <w:lang w:val="hy-AM"/>
        </w:rPr>
        <w:t>ներքին գործերի բնագավառում պետական կառավարման լիազոր մարմին.</w:t>
      </w:r>
    </w:p>
    <w:p w14:paraId="3E953234"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b/>
          <w:bCs/>
          <w:strike/>
          <w:color w:val="EE0000"/>
          <w:sz w:val="24"/>
          <w:szCs w:val="24"/>
          <w:lang w:val="hy-AM"/>
        </w:rPr>
        <w:t>տեխնիկական անվտանգության ազգային կենտրոն`</w:t>
      </w:r>
      <w:r w:rsidRPr="00532FD1">
        <w:rPr>
          <w:rFonts w:ascii="Calibri" w:hAnsi="Calibri" w:cs="Calibri"/>
          <w:strike/>
          <w:color w:val="EE0000"/>
          <w:sz w:val="24"/>
          <w:szCs w:val="24"/>
          <w:lang w:val="hy-AM"/>
        </w:rPr>
        <w:t> </w:t>
      </w:r>
      <w:r w:rsidRPr="00532FD1">
        <w:rPr>
          <w:rFonts w:ascii="GHEA Grapalat" w:hAnsi="GHEA Grapalat"/>
          <w:strike/>
          <w:color w:val="EE0000"/>
          <w:sz w:val="24"/>
          <w:szCs w:val="24"/>
          <w:lang w:val="hy-AM"/>
        </w:rPr>
        <w:t>սույն օրենքին համապատասխան՝ Հայաստանի Հանրապետության կառավարության ստեղծած պետական ոչ առևտրային կազմակերպություն.</w:t>
      </w:r>
    </w:p>
    <w:p w14:paraId="7CB3B7F3"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արտադրական վտանգավոր</w:t>
      </w:r>
      <w:r w:rsidRPr="00691200">
        <w:rPr>
          <w:rFonts w:ascii="Calibri" w:hAnsi="Calibri" w:cs="Calibri"/>
          <w:sz w:val="24"/>
          <w:szCs w:val="24"/>
          <w:lang w:val="hy-AM"/>
        </w:rPr>
        <w:t> </w:t>
      </w:r>
      <w:r w:rsidRPr="00691200">
        <w:rPr>
          <w:rFonts w:ascii="GHEA Grapalat" w:hAnsi="GHEA Grapalat"/>
          <w:b/>
          <w:bCs/>
          <w:sz w:val="24"/>
          <w:szCs w:val="24"/>
          <w:lang w:val="hy-AM"/>
        </w:rPr>
        <w:t>օբյեկտ շահագործող անձ`</w:t>
      </w:r>
      <w:r w:rsidRPr="00691200">
        <w:rPr>
          <w:rFonts w:ascii="Calibri" w:hAnsi="Calibri" w:cs="Calibri"/>
          <w:sz w:val="24"/>
          <w:szCs w:val="24"/>
          <w:lang w:val="hy-AM"/>
        </w:rPr>
        <w:t> </w:t>
      </w:r>
      <w:r w:rsidRPr="00691200">
        <w:rPr>
          <w:rFonts w:ascii="GHEA Grapalat" w:hAnsi="GHEA Grapalat"/>
          <w:sz w:val="24"/>
          <w:szCs w:val="24"/>
          <w:lang w:val="hy-AM"/>
        </w:rPr>
        <w:t>Հայաստանի Հանրապետության տարածքում սույն օրենքի 6-րդ հոդվածով սահմանված բնորոշմանը համապատասխանող օբյեկտ փաստացի շահագործող, շահագործման նպատակով նախապատրաստող ֆիզիկական անձ կամ կազմակերպություն, այդ թվում` օտարերկրյա, պետական և տեղական ինքնակառավարման մարմիններ` անկախ տվյալ օբյեկտի նկատմամբ առկա իրավունքի բնույթից.</w:t>
      </w:r>
    </w:p>
    <w:p w14:paraId="15A4D4E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շահագործման նպատակով նախապատրաստվող արտադրական վտանգավոր օբյեկտ</w:t>
      </w:r>
      <w:r w:rsidRPr="00691200">
        <w:rPr>
          <w:rFonts w:ascii="GHEA Grapalat" w:hAnsi="GHEA Grapalat"/>
          <w:sz w:val="24"/>
          <w:szCs w:val="24"/>
          <w:lang w:val="hy-AM"/>
        </w:rPr>
        <w:t>` սույն օրենքի 9-րդ հոդվածով սահմանված նախագծային փաստաթղթերի վերաբերյալ դրական փորձագիտական եզրակացություն ստացած օբյեկտ.</w:t>
      </w:r>
    </w:p>
    <w:p w14:paraId="6F892E1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հրագործական արտադրատեսակ՝</w:t>
      </w:r>
      <w:r w:rsidRPr="00691200">
        <w:rPr>
          <w:rFonts w:ascii="Calibri" w:hAnsi="Calibri" w:cs="Calibri"/>
          <w:sz w:val="24"/>
          <w:szCs w:val="24"/>
          <w:lang w:val="hy-AM"/>
        </w:rPr>
        <w:t> </w:t>
      </w:r>
      <w:r w:rsidRPr="00691200">
        <w:rPr>
          <w:rFonts w:ascii="GHEA Grapalat" w:hAnsi="GHEA Grapalat"/>
          <w:sz w:val="24"/>
          <w:szCs w:val="24"/>
          <w:lang w:val="hy-AM"/>
        </w:rPr>
        <w:t>հրագործական բաղադրիչների այրման (պայթյունի) օգնությամբ անհրաժեշտ արդյունք ստանալու համար նախատեսված արտադրատեսակ.</w:t>
      </w:r>
    </w:p>
    <w:p w14:paraId="7CB9DF59"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հրագործական</w:t>
      </w:r>
      <w:r w:rsidRPr="00691200">
        <w:rPr>
          <w:rFonts w:ascii="Calibri" w:hAnsi="Calibri" w:cs="Calibri"/>
          <w:b/>
          <w:bCs/>
          <w:sz w:val="24"/>
          <w:szCs w:val="24"/>
          <w:lang w:val="hy-AM"/>
        </w:rPr>
        <w:t> </w:t>
      </w:r>
      <w:r w:rsidRPr="00691200">
        <w:rPr>
          <w:rFonts w:ascii="GHEA Grapalat" w:hAnsi="GHEA Grapalat"/>
          <w:b/>
          <w:bCs/>
          <w:sz w:val="24"/>
          <w:szCs w:val="24"/>
          <w:lang w:val="hy-AM"/>
        </w:rPr>
        <w:t>բաղադրիչ՝</w:t>
      </w:r>
      <w:r w:rsidRPr="00691200">
        <w:rPr>
          <w:rFonts w:ascii="Calibri" w:hAnsi="Calibri" w:cs="Calibri"/>
          <w:b/>
          <w:bCs/>
          <w:sz w:val="24"/>
          <w:szCs w:val="24"/>
          <w:lang w:val="hy-AM"/>
        </w:rPr>
        <w:t> </w:t>
      </w:r>
      <w:r w:rsidRPr="00691200">
        <w:rPr>
          <w:rFonts w:ascii="GHEA Grapalat" w:hAnsi="GHEA Grapalat"/>
          <w:sz w:val="24"/>
          <w:szCs w:val="24"/>
          <w:lang w:val="hy-AM"/>
        </w:rPr>
        <w:t>որոշակի քիմիական նյութերի և միացությունների խտացված խառնուրդ, որն այրման և (կամ) պայթյունի արդյունքում գազային, ջերմային, մեխանիկական էներգիայի արտազատման միջոցով ստեղծում է օպտիկական, լուսային, ձայնային, էլեկտրական կամ ճնշումային տարբեր ազդեցություններ.</w:t>
      </w:r>
    </w:p>
    <w:p w14:paraId="01BA6620"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lastRenderedPageBreak/>
        <w:t>կենցաղային նշանակության հրագործական արտադրատեսակ</w:t>
      </w:r>
      <w:r w:rsidRPr="00691200">
        <w:rPr>
          <w:rFonts w:ascii="Calibri" w:hAnsi="Calibri" w:cs="Calibri"/>
          <w:sz w:val="24"/>
          <w:szCs w:val="24"/>
          <w:lang w:val="hy-AM"/>
        </w:rPr>
        <w:t> </w:t>
      </w:r>
      <w:r w:rsidRPr="00691200">
        <w:rPr>
          <w:rFonts w:ascii="GHEA Grapalat" w:hAnsi="GHEA Grapalat"/>
          <w:sz w:val="24"/>
          <w:szCs w:val="24"/>
          <w:lang w:val="hy-AM"/>
        </w:rPr>
        <w:t>(</w:t>
      </w:r>
      <w:r w:rsidRPr="00691200">
        <w:rPr>
          <w:rFonts w:ascii="GHEA Grapalat" w:hAnsi="GHEA Grapalat" w:cs="GHEA Grapalat"/>
          <w:sz w:val="24"/>
          <w:szCs w:val="24"/>
          <w:lang w:val="hy-AM"/>
        </w:rPr>
        <w:t>«</w:t>
      </w:r>
      <w:r w:rsidRPr="00691200">
        <w:rPr>
          <w:rFonts w:ascii="GHEA Grapalat" w:hAnsi="GHEA Grapalat"/>
          <w:sz w:val="24"/>
          <w:szCs w:val="24"/>
          <w:lang w:val="hy-AM"/>
        </w:rPr>
        <w:t>Մաքսային միության հանձնաժողովի 2011 թվականի օգոստոսի 16-ի N 770 որոշմամբ հաստատված «Հրատեխնիկական արտադրատեսակների անվտանգության մասին» (ՄՄ ՏԿ 006/2011) Մաքսային միության տեխնիկական կանոնակարգին համապատասխան I, II և III դասեր)՝ արտադրատեսակ, որը նախատեսված է բնակչության կողմից կիրառման համար, և որի շահագործումը, կիրառման հրահանգին համապատասխան, ապահովում է մարդկանց, ունեցվածքի և շրջակա միջավայրի անվտանգությունը.</w:t>
      </w:r>
    </w:p>
    <w:p w14:paraId="66EC98C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նշանակության հրագործական արտադրատեսակ</w:t>
      </w:r>
      <w:r w:rsidRPr="00691200">
        <w:rPr>
          <w:rFonts w:ascii="Calibri" w:hAnsi="Calibri" w:cs="Calibri"/>
          <w:sz w:val="24"/>
          <w:szCs w:val="24"/>
          <w:lang w:val="hy-AM"/>
        </w:rPr>
        <w:t> </w:t>
      </w:r>
      <w:r w:rsidRPr="00691200">
        <w:rPr>
          <w:rFonts w:ascii="GHEA Grapalat" w:hAnsi="GHEA Grapalat"/>
          <w:sz w:val="24"/>
          <w:szCs w:val="24"/>
          <w:lang w:val="hy-AM"/>
        </w:rPr>
        <w:t>(</w:t>
      </w:r>
      <w:r w:rsidRPr="00691200">
        <w:rPr>
          <w:rFonts w:ascii="GHEA Grapalat" w:hAnsi="GHEA Grapalat" w:cs="GHEA Grapalat"/>
          <w:sz w:val="24"/>
          <w:szCs w:val="24"/>
          <w:lang w:val="hy-AM"/>
        </w:rPr>
        <w:t>«</w:t>
      </w:r>
      <w:r w:rsidRPr="00691200">
        <w:rPr>
          <w:rFonts w:ascii="GHEA Grapalat" w:hAnsi="GHEA Grapalat"/>
          <w:sz w:val="24"/>
          <w:szCs w:val="24"/>
          <w:lang w:val="hy-AM"/>
        </w:rPr>
        <w:t>Մաքսային միության հանձնաժողովի 2011 թվականի օգոստոսի 16-ի N 770 որոշմամբ հաստատված «Հրատեխնիկական արտադրատեսակների անվտանգության մասին» (ՄՄ ՏԿ 006/2011) Մաքսային միության տեխնիկական կանոնակարգին համապատասխան IV և V դասեր)՝ արտադրատեսակ, որի կիրառման համար պահանջվում են հատուկ գիտելիքներ և հարմարանքներ (սարքեր).</w:t>
      </w:r>
    </w:p>
    <w:p w14:paraId="1DAE5BF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ոչ հավաստի փորձագիտական եզրակացություն՝</w:t>
      </w:r>
      <w:r w:rsidRPr="00691200">
        <w:rPr>
          <w:rFonts w:ascii="Calibri" w:hAnsi="Calibri" w:cs="Calibri"/>
          <w:sz w:val="24"/>
          <w:szCs w:val="24"/>
          <w:lang w:val="hy-AM"/>
        </w:rPr>
        <w:t> </w:t>
      </w:r>
      <w:r w:rsidRPr="00691200">
        <w:rPr>
          <w:rFonts w:ascii="GHEA Grapalat" w:hAnsi="GHEA Grapalat"/>
          <w:sz w:val="24"/>
          <w:szCs w:val="24"/>
          <w:lang w:val="hy-AM"/>
        </w:rPr>
        <w:t>օրենսդրության պահանջներին չհամապատասխանող արտադրական վտանգավոր օբյեկտի վերաբերյալ տրված փորձագիտական դրական եզրակացություն, ինչպես նաև օրենսդրության պահանջներին համապատասխանող արտադրական վտանգավոր օբյեկտի վերաբերյալ տրված փորձագիտական բացասական եզրակացություն:</w:t>
      </w:r>
    </w:p>
    <w:p w14:paraId="450A263C" w14:textId="62AF9A5B"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Կենցաղային և տեխնիկական նշանակության հրագործական արտադրատեսակների</w:t>
      </w:r>
      <w:r w:rsidRPr="00691200">
        <w:rPr>
          <w:rFonts w:ascii="Calibri" w:hAnsi="Calibri" w:cs="Calibri"/>
          <w:sz w:val="24"/>
          <w:szCs w:val="24"/>
          <w:lang w:val="hy-AM"/>
        </w:rPr>
        <w:t> </w:t>
      </w:r>
      <w:r w:rsidRPr="00532FD1">
        <w:rPr>
          <w:rFonts w:ascii="GHEA Grapalat" w:hAnsi="GHEA Grapalat"/>
          <w:sz w:val="24"/>
          <w:szCs w:val="24"/>
          <w:lang w:val="hy-AM"/>
        </w:rPr>
        <w:t>չափորոշիչները,</w:t>
      </w:r>
      <w:r w:rsidRPr="00691200">
        <w:rPr>
          <w:rFonts w:ascii="Calibri" w:hAnsi="Calibri" w:cs="Calibri"/>
          <w:sz w:val="24"/>
          <w:szCs w:val="24"/>
          <w:lang w:val="hy-AM"/>
        </w:rPr>
        <w:t> </w:t>
      </w:r>
      <w:r w:rsidRPr="00691200">
        <w:rPr>
          <w:rFonts w:ascii="GHEA Grapalat" w:hAnsi="GHEA Grapalat"/>
          <w:sz w:val="24"/>
          <w:szCs w:val="24"/>
          <w:lang w:val="hy-AM"/>
        </w:rPr>
        <w:t>դասակարգումները, ինչպես նաև տեխնիկական անվտանգության ոլորտում տեխնիկական անվտանգության նորմերը,</w:t>
      </w:r>
      <w:r w:rsidRPr="00532FD1">
        <w:rPr>
          <w:rFonts w:ascii="Calibri" w:hAnsi="Calibri" w:cs="Calibri"/>
          <w:sz w:val="24"/>
          <w:szCs w:val="24"/>
          <w:lang w:val="hy-AM"/>
        </w:rPr>
        <w:t> </w:t>
      </w:r>
      <w:r w:rsidRPr="00532FD1">
        <w:rPr>
          <w:rFonts w:ascii="GHEA Grapalat" w:hAnsi="GHEA Grapalat"/>
          <w:sz w:val="24"/>
          <w:szCs w:val="24"/>
          <w:lang w:val="hy-AM"/>
        </w:rPr>
        <w:t>կանոնները</w:t>
      </w:r>
      <w:r w:rsidRPr="00691200">
        <w:rPr>
          <w:rFonts w:ascii="Calibri" w:hAnsi="Calibri" w:cs="Calibri"/>
          <w:sz w:val="24"/>
          <w:szCs w:val="24"/>
          <w:lang w:val="hy-AM"/>
        </w:rPr>
        <w:t> </w:t>
      </w:r>
      <w:r w:rsidRPr="00691200">
        <w:rPr>
          <w:rFonts w:ascii="GHEA Grapalat" w:hAnsi="GHEA Grapalat"/>
          <w:sz w:val="24"/>
          <w:szCs w:val="24"/>
          <w:lang w:val="hy-AM"/>
        </w:rPr>
        <w:t>և հրահանգները սահմանվում են Հայաստանի Հանրապետության կառավարության որոշմամբ:</w:t>
      </w:r>
    </w:p>
    <w:p w14:paraId="3169A50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Կենցաղային նշանակության հրագործական III դասի և տեխնիկական նշանակության հրագործական արտադրատեսակների ներմուծումը և կիրառումը թույլատրվում են միայն լիազոր մարմնի կողմից բացառապես պետական և համայնքային նշանակության կամ պետական և համայնքային մասնակցությամբ միջոցառումների համար:</w:t>
      </w:r>
    </w:p>
    <w:p w14:paraId="3CED30E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1D3BD1" w:rsidRPr="009668A4" w14:paraId="121262D3" w14:textId="77777777" w:rsidTr="006F677F">
        <w:trPr>
          <w:tblCellSpacing w:w="0" w:type="dxa"/>
        </w:trPr>
        <w:tc>
          <w:tcPr>
            <w:tcW w:w="2025" w:type="dxa"/>
            <w:shd w:val="clear" w:color="auto" w:fill="FFFFFF"/>
            <w:hideMark/>
          </w:tcPr>
          <w:p w14:paraId="727AA1BA" w14:textId="77777777" w:rsidR="001D3BD1" w:rsidRPr="00691200" w:rsidRDefault="001D3BD1" w:rsidP="006F677F">
            <w:pPr>
              <w:tabs>
                <w:tab w:val="left" w:pos="-5812"/>
              </w:tabs>
              <w:spacing w:after="0"/>
              <w:ind w:right="168"/>
              <w:contextualSpacing/>
              <w:jc w:val="both"/>
              <w:rPr>
                <w:rFonts w:ascii="GHEA Grapalat" w:hAnsi="GHEA Grapalat"/>
                <w:sz w:val="24"/>
                <w:szCs w:val="24"/>
                <w:lang w:val="hy-AM"/>
              </w:rPr>
            </w:pPr>
            <w:r w:rsidRPr="00691200">
              <w:rPr>
                <w:rFonts w:ascii="GHEA Grapalat" w:hAnsi="GHEA Grapalat"/>
                <w:b/>
                <w:bCs/>
                <w:sz w:val="24"/>
                <w:szCs w:val="24"/>
                <w:lang w:val="hy-AM"/>
              </w:rPr>
              <w:t>Հոդված 10.</w:t>
            </w:r>
          </w:p>
        </w:tc>
        <w:tc>
          <w:tcPr>
            <w:tcW w:w="0" w:type="auto"/>
            <w:shd w:val="clear" w:color="auto" w:fill="FFFFFF"/>
            <w:vAlign w:val="center"/>
            <w:hideMark/>
          </w:tcPr>
          <w:p w14:paraId="659B4E29" w14:textId="77777777" w:rsidR="001D3BD1" w:rsidRPr="00691200" w:rsidRDefault="001D3BD1" w:rsidP="006F677F">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Տեխնածին վթարների, արտադրական դժբախտ դեպքերի հաշվառումը և տեխնիկական քննությունը</w:t>
            </w:r>
          </w:p>
        </w:tc>
      </w:tr>
    </w:tbl>
    <w:p w14:paraId="6665E9A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 Հաշվառման և տեխնիկական քննության ենթակա են արտադրական վտանգավոր օբյեկտում տեղի ունեցած`</w:t>
      </w:r>
    </w:p>
    <w:p w14:paraId="6EC1A3E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ա) տեխնածին վթարի յուրաքանչյուր դեպք.</w:t>
      </w:r>
    </w:p>
    <w:p w14:paraId="15BAA96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բ) մահացու կամ ծանր ելքով արտադրական դժբախտ դեպքերը:</w:t>
      </w:r>
    </w:p>
    <w:p w14:paraId="3501498E"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Սույն հոդվածով նախատեսված տեխնիկական քննության և հաշվառման կարգը սահմանում է Հայաստանի Հանրապետության կառավարությունը: Սույն հոդվածի 1-ին մասով նախատեսված տեխնածին վթարների և արտադրական դժբախտ դեպքերի հաշվառումն իրականացնում է լիազոր մարմինը:</w:t>
      </w:r>
    </w:p>
    <w:p w14:paraId="0D6F997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lastRenderedPageBreak/>
        <w:t xml:space="preserve">3. Տեխնիկական քննություն կարող են իրականացնել </w:t>
      </w:r>
      <w:r w:rsidRPr="00532FD1">
        <w:rPr>
          <w:rFonts w:ascii="GHEA Grapalat" w:hAnsi="GHEA Grapalat"/>
          <w:strike/>
          <w:color w:val="EE0000"/>
          <w:sz w:val="24"/>
          <w:szCs w:val="24"/>
          <w:lang w:val="hy-AM"/>
        </w:rPr>
        <w:t>Տեխնիկական անվտանգության ազգային կենտրոնը և</w:t>
      </w:r>
      <w:r w:rsidRPr="00691200">
        <w:rPr>
          <w:rFonts w:ascii="GHEA Grapalat" w:hAnsi="GHEA Grapalat"/>
          <w:sz w:val="24"/>
          <w:szCs w:val="24"/>
          <w:lang w:val="hy-AM"/>
        </w:rPr>
        <w:t xml:space="preserve"> հավատարմագրված անձինք: Տեխնիկական քննություն չի կարող իրականացնել սույն մասում նշված այն կազմակերպությունը, որը տեխնածին վթարին կամ արտադրական դժբախտ դեպքին նախորդող 1 տարվա ընթացքում դրական փորձագիտական եզրակացություն է տվել տվյալ օբյեկտի վերաբերյալ: Հայաստանի Հանրապետության կառավարության նախատեսած առանձին դեպքերում տեխնիկական քննություն իրականացնում է լիազոր մարմնի կողմից ստեղծված հանձնաժողովը:</w:t>
      </w:r>
    </w:p>
    <w:p w14:paraId="0D5F2BA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1D3BD1" w:rsidRPr="00691200" w14:paraId="45DF7DDA" w14:textId="77777777" w:rsidTr="006F677F">
        <w:trPr>
          <w:tblCellSpacing w:w="0" w:type="dxa"/>
        </w:trPr>
        <w:tc>
          <w:tcPr>
            <w:tcW w:w="2025" w:type="dxa"/>
            <w:shd w:val="clear" w:color="auto" w:fill="FFFFFF"/>
            <w:hideMark/>
          </w:tcPr>
          <w:p w14:paraId="171A2260" w14:textId="77777777" w:rsidR="001D3BD1" w:rsidRPr="00691200" w:rsidRDefault="001D3BD1" w:rsidP="006F677F">
            <w:pPr>
              <w:tabs>
                <w:tab w:val="left" w:pos="-5812"/>
              </w:tabs>
              <w:spacing w:after="0"/>
              <w:ind w:right="168"/>
              <w:contextualSpacing/>
              <w:jc w:val="both"/>
              <w:rPr>
                <w:rFonts w:ascii="GHEA Grapalat" w:hAnsi="GHEA Grapalat"/>
                <w:sz w:val="24"/>
                <w:szCs w:val="24"/>
                <w:lang w:val="hy-AM"/>
              </w:rPr>
            </w:pPr>
            <w:r w:rsidRPr="00691200">
              <w:rPr>
                <w:rFonts w:ascii="GHEA Grapalat" w:hAnsi="GHEA Grapalat"/>
                <w:b/>
                <w:bCs/>
                <w:sz w:val="24"/>
                <w:szCs w:val="24"/>
                <w:lang w:val="hy-AM"/>
              </w:rPr>
              <w:t>Հոդված 11.</w:t>
            </w:r>
          </w:p>
        </w:tc>
        <w:tc>
          <w:tcPr>
            <w:tcW w:w="0" w:type="auto"/>
            <w:shd w:val="clear" w:color="auto" w:fill="FFFFFF"/>
            <w:vAlign w:val="center"/>
            <w:hideMark/>
          </w:tcPr>
          <w:p w14:paraId="60A570A6" w14:textId="77777777" w:rsidR="001D3BD1" w:rsidRPr="00691200" w:rsidRDefault="001D3BD1" w:rsidP="006F677F">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անվտանգության փորձաքննությունը</w:t>
            </w:r>
          </w:p>
        </w:tc>
      </w:tr>
    </w:tbl>
    <w:p w14:paraId="29EBDD1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 xml:space="preserve">1. Տեխնիկական անվտանգության փորձաքննություն կարող են իրականացնել </w:t>
      </w:r>
      <w:r w:rsidRPr="00532FD1">
        <w:rPr>
          <w:rFonts w:ascii="GHEA Grapalat" w:hAnsi="GHEA Grapalat"/>
          <w:strike/>
          <w:color w:val="EE0000"/>
          <w:sz w:val="24"/>
          <w:szCs w:val="24"/>
          <w:lang w:val="hy-AM"/>
        </w:rPr>
        <w:t>Տեխնիկական անվտանգության ազգային կենտրոնը և</w:t>
      </w:r>
      <w:r w:rsidRPr="00532FD1">
        <w:rPr>
          <w:rFonts w:ascii="GHEA Grapalat" w:hAnsi="GHEA Grapalat"/>
          <w:color w:val="EE0000"/>
          <w:sz w:val="24"/>
          <w:szCs w:val="24"/>
          <w:lang w:val="hy-AM"/>
        </w:rPr>
        <w:t xml:space="preserve"> </w:t>
      </w:r>
      <w:r w:rsidRPr="00691200">
        <w:rPr>
          <w:rFonts w:ascii="GHEA Grapalat" w:hAnsi="GHEA Grapalat"/>
          <w:sz w:val="24"/>
          <w:szCs w:val="24"/>
          <w:lang w:val="hy-AM"/>
        </w:rPr>
        <w:t>Հայաստանի Հանրապետության կառավարության սահմանած կարգով հավատարմագրված և լիազոր մարմնի կողմից հաշվառված իրավաբանական անձինք կամ անհատ ձեռնարկատերերը (այսուհետ` հավատարմագրված անձ):</w:t>
      </w:r>
    </w:p>
    <w:p w14:paraId="588DFE2B"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Տեխնիկական անվտանգության փորձաքննությունն իրականացվում է արտադրական վտանգավոր օբյեկտ շահագործող անձի հետ կնքված պայմանագրի հիման վրա` պայմանագրով նախատեսված ժամկետներում` պահպանելով տեխնիկական անվտանգության ոլորտի օրենսդրությամբ սահմանված պայմանների կատարումը:</w:t>
      </w:r>
    </w:p>
    <w:p w14:paraId="5A5C9BA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3. Տեխնիկական անվտանգության փորձաքննության արդյունքում կազմվում է փորձագիտական եզրակացություն: Փորձագետը (փորձագիտական խումբը) պատասխանատվություն է կրում իր կազմած փորձագիտական եզրակացության հավաստիության համար:</w:t>
      </w:r>
    </w:p>
    <w:p w14:paraId="2DCC1BF4"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4. Մինչև փորձագիտական եզրակացություն կազմելը փորձագետի և արտադրական վտանգավոր օբյեկտ շահագործող անձի միջև կարող է կազմվել տեխնիկական անվտանգության փորձաքննության ընթացքում բացահայտված խախտումների վերացմանն ուղղված միջոցառումների ծրագիր այն դեպքում, եթե բացահայտված թերություններն իրենց բնույթով տվյալ պահին տեխնածին վթարի սպառնալիք չեն առաջացնում:</w:t>
      </w:r>
    </w:p>
    <w:p w14:paraId="0A5921A8"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Սույն մասով նախատեսված դեպքում փորձագիտական եզրակացությունը կազմվում է միջոցառումների ծրագրով սահմանված ժամկետի ավարտին:</w:t>
      </w:r>
    </w:p>
    <w:p w14:paraId="186CDE7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 xml:space="preserve">5. Փորձագիտական եզրակացությունն ստորագրվում է տվյալ փորձաքննությանը մասնակցած փորձագետի (փորձագիտական խմբի) և հաստատվում </w:t>
      </w:r>
      <w:r w:rsidRPr="00532FD1">
        <w:rPr>
          <w:rFonts w:ascii="GHEA Grapalat" w:hAnsi="GHEA Grapalat"/>
          <w:strike/>
          <w:color w:val="EE0000"/>
          <w:sz w:val="24"/>
          <w:szCs w:val="24"/>
          <w:lang w:val="hy-AM"/>
        </w:rPr>
        <w:t>Տեխնիկական անվտանգության ազգային կենտրոնի կամ</w:t>
      </w:r>
      <w:r w:rsidRPr="00532FD1">
        <w:rPr>
          <w:rFonts w:ascii="GHEA Grapalat" w:hAnsi="GHEA Grapalat"/>
          <w:color w:val="EE0000"/>
          <w:sz w:val="24"/>
          <w:szCs w:val="24"/>
          <w:lang w:val="hy-AM"/>
        </w:rPr>
        <w:t xml:space="preserve"> </w:t>
      </w:r>
      <w:r w:rsidRPr="00691200">
        <w:rPr>
          <w:rFonts w:ascii="GHEA Grapalat" w:hAnsi="GHEA Grapalat"/>
          <w:sz w:val="24"/>
          <w:szCs w:val="24"/>
          <w:lang w:val="hy-AM"/>
        </w:rPr>
        <w:t>հավատարմագրված անձի ղեկավարի կողմից:</w:t>
      </w:r>
    </w:p>
    <w:p w14:paraId="239FF438"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Սույն հոդվածի 1-ին մասում նշված՝ փորձաքննություն իրականացնող մարմինները իրենց կողմից տեխնիկական անվտանգության փորձաքննություն իրականացվելու դեպքում պարտավոր են փորձագիտական եզրակացության մեկ օրինակը ներկայացնել լիազոր մարմին այն սահմանված կարգով հաստատելուց հետո՝ եռօրյա ժամկետում, իսկ վթարի սպառնալիքի արձանագրման դեպքում՝ անմիջապես:</w:t>
      </w:r>
    </w:p>
    <w:p w14:paraId="4A68D28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lastRenderedPageBreak/>
        <w:t>6. Շահագործվող արտադրական վտանգավոր օբյեկտը ենթակա է տեխնիկական անվտանգության փորձաքննության տարեկան առնվազն մեկ անգամ: Կոնսերվացված արտադրական վտանգավոր օբյեկտը ենթակա է փորձաքննության երեք տարին մեկ անգամ։ Արտադրական վտանգավոր օբյեկտների առանձին խմբերի համար Հայաստանի Հանրապետության կառավարությունը կարող է սահմանել փորձաքննության իրականացման պարբերականության ավելի երկար ժամկետներ: Սույն մասով նախատեսված ժամկետների հաշվարկն սկսվում է նախորդ փորձաքննության իրականացման պահից։</w:t>
      </w:r>
    </w:p>
    <w:p w14:paraId="326131C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7. Արտադրական պատահարի կամ տեխնածին վթարի դեպքում արտադրական վտանգավոր օբյեկտը ենթակա է փորձաքննության անկախ սույն հոդվածի վեցերորդ մասով նախատեսված ժամկետից:</w:t>
      </w:r>
    </w:p>
    <w:p w14:paraId="55BF63A0"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 Տեխնիկական անվտանգության փորձաքննությունն իրականացվում է`</w:t>
      </w:r>
    </w:p>
    <w:p w14:paraId="2A5DE424"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ա) նախագծային փաստաթղթերի նկատմամբ` նախագծման փուլի ավարտին, մինչև նախագծային փաստաթղթերի հաստատման պահը.</w:t>
      </w:r>
    </w:p>
    <w:p w14:paraId="6F060BF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բ) գործարկվող (վերագործարկվող) արտադրական վտանգավոր օբյեկտների նկատմամբ` նախքան գործարկման (վերագործարկման) աշխատանքները սկսելը.</w:t>
      </w:r>
    </w:p>
    <w:p w14:paraId="56053F1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գ) շահագործվող արտադրական վտանգավոր օբյեկտների նկատմամբ` սույն օրենքով սահմանված կարգով արտադրական վտանգավոր օբյեկտների հաշվառման գրանցամատյանում (այսուհետ` ռեեստր) գրանցվելուց հետո:</w:t>
      </w:r>
    </w:p>
    <w:p w14:paraId="22516EA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9. Տեխնիկական փորձաքննության իրականացման կարգը սահմանում է Հայաստանի Հանրապետության կառավարությունը:</w:t>
      </w:r>
    </w:p>
    <w:p w14:paraId="290DEF3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1D3BD1" w:rsidRPr="009668A4" w14:paraId="5AF7DA33" w14:textId="77777777" w:rsidTr="006F677F">
        <w:trPr>
          <w:tblCellSpacing w:w="0" w:type="dxa"/>
        </w:trPr>
        <w:tc>
          <w:tcPr>
            <w:tcW w:w="2025" w:type="dxa"/>
            <w:shd w:val="clear" w:color="auto" w:fill="FFFFFF"/>
            <w:hideMark/>
          </w:tcPr>
          <w:p w14:paraId="169E7A21" w14:textId="77777777" w:rsidR="001D3BD1" w:rsidRPr="00691200" w:rsidRDefault="001D3BD1" w:rsidP="006F677F">
            <w:pPr>
              <w:tabs>
                <w:tab w:val="left" w:pos="-5812"/>
              </w:tabs>
              <w:spacing w:after="0"/>
              <w:ind w:right="168"/>
              <w:contextualSpacing/>
              <w:jc w:val="both"/>
              <w:rPr>
                <w:rFonts w:ascii="GHEA Grapalat" w:hAnsi="GHEA Grapalat"/>
                <w:sz w:val="24"/>
                <w:szCs w:val="24"/>
                <w:lang w:val="hy-AM"/>
              </w:rPr>
            </w:pPr>
            <w:r w:rsidRPr="00691200">
              <w:rPr>
                <w:rFonts w:ascii="GHEA Grapalat" w:hAnsi="GHEA Grapalat"/>
                <w:b/>
                <w:bCs/>
                <w:sz w:val="24"/>
                <w:szCs w:val="24"/>
                <w:lang w:val="hy-AM"/>
              </w:rPr>
              <w:t>Հոդված 15.</w:t>
            </w:r>
          </w:p>
        </w:tc>
        <w:tc>
          <w:tcPr>
            <w:tcW w:w="0" w:type="auto"/>
            <w:shd w:val="clear" w:color="auto" w:fill="FFFFFF"/>
            <w:vAlign w:val="center"/>
            <w:hideMark/>
          </w:tcPr>
          <w:p w14:paraId="58C00E77" w14:textId="77777777" w:rsidR="001D3BD1" w:rsidRPr="00691200" w:rsidRDefault="001D3BD1" w:rsidP="006F677F">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անվտանգության կանոնների և նորմերի խախտման դեպքում կիրառվող կարգադրագրերը</w:t>
            </w:r>
          </w:p>
        </w:tc>
      </w:tr>
    </w:tbl>
    <w:p w14:paraId="717AB0B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p>
    <w:p w14:paraId="0ADB372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 Կարգադրագիրը տեխնիկական անվտանգության ապահովման բնագավառում վերահսկողություն իրականացնող տեսչական մարմնի (այսուհետ` տեսչական մարմին) կողմից օրենքով սահմանված կարգով և լիազորությունների սահմաններում ընդունված իրավական ակտ է, որն ուղղված է`</w:t>
      </w:r>
    </w:p>
    <w:p w14:paraId="16E07E3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տեխնիկական անվտանգության փորձաքննություն կամ չի գրանցվել ռեեստրում, ինչպես նաև արձանագրված խախտումների վերացմանը.</w:t>
      </w:r>
    </w:p>
    <w:p w14:paraId="3D568E5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 xml:space="preserve">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w:t>
      </w:r>
      <w:r w:rsidRPr="00691200">
        <w:rPr>
          <w:rFonts w:ascii="GHEA Grapalat" w:hAnsi="GHEA Grapalat"/>
          <w:sz w:val="24"/>
          <w:szCs w:val="24"/>
          <w:lang w:val="hy-AM"/>
        </w:rPr>
        <w:lastRenderedPageBreak/>
        <w:t>պահանջներին կամ սահմանված կարգով չի անցել տեխնիկական անվտանգության փորձաքննություն, ինչպես նաև արձանագրված խախտումների վերացմանը:</w:t>
      </w:r>
    </w:p>
    <w:p w14:paraId="3C9EBC2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Կարգադրագրով սահմանվում է խախտումը վերացնելու ժամկետը, որը կարող է փոփոխվել արտադրական վտանգավոր օբյեկտ շահագործող անձի համապատասխան հիմնավորման դեպքում:</w:t>
      </w:r>
    </w:p>
    <w:p w14:paraId="30A5E2C4"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3. Արտադրական վտանգավոր օբյեկտ շահագործող անձը պարտավոր է կարգադրագրով սահմանված ժամկետում դրա կատարման մասին տեղյակ պահել կարգադրագիրն արձակած տեսչական մարմնին:</w:t>
      </w:r>
    </w:p>
    <w:p w14:paraId="66F93991"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4. Կարգադրագիրը չկատարելը, ոչ պատշաճ կատարելը կամ կատարման մասին սահմանված ժամկետում կարգադրագիրն արձակած տեսչական մարմնին տեղյակ չպահելը համարվում է խախտում, որն առաջացնում է պատասխանատվություն` սույն օրենքով սահմանված կարգով:</w:t>
      </w:r>
    </w:p>
    <w:p w14:paraId="02224AA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5. Կարգադրագրերով նախատեսված պատասխանատվության միջոցները վերացվում են կարգադրագիրն արձակած տեսչական մարմնի կողմից` արտադրական վտանգավոր օբյեկտ շահագործող անձի դիմումով, տեխնիկական անվտանգության ոլորտի օրենսդրության պահանջներին արտադրական վտանգավոր օբյեկտի անհամապատասխանության վերացման դեպքում:</w:t>
      </w:r>
    </w:p>
    <w:p w14:paraId="78963CAF"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 xml:space="preserve">6. Սույն հոդվածով նախատեսված կարգադրագրերը տալիս, ինչպես նաև կարգադրագրերով նախատեսված պատասխանատվության միջոցները վերացնելիս հատուկ գիտելիքներ պահանջող հարցերի պարզաբանման նպատակով տեսչական մարմինը դիմում է հավատարմագրված անձին </w:t>
      </w:r>
      <w:r w:rsidRPr="00532FD1">
        <w:rPr>
          <w:rFonts w:ascii="GHEA Grapalat" w:hAnsi="GHEA Grapalat"/>
          <w:strike/>
          <w:color w:val="EE0000"/>
          <w:sz w:val="24"/>
          <w:szCs w:val="24"/>
          <w:lang w:val="hy-AM"/>
        </w:rPr>
        <w:t>կամ Տեխնիկական անվտանգության ազգային կենտրոն</w:t>
      </w:r>
      <w:r w:rsidRPr="00691200">
        <w:rPr>
          <w:rFonts w:ascii="GHEA Grapalat" w:hAnsi="GHEA Grapalat"/>
          <w:sz w:val="24"/>
          <w:szCs w:val="24"/>
          <w:lang w:val="hy-AM"/>
        </w:rPr>
        <w:t>՝ փորձագիտական եզրակացություն ստանալու համար:</w:t>
      </w:r>
    </w:p>
    <w:p w14:paraId="36A2EDE1"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6.1. Կարգադրագիրը, հանդիսանալով նաև որոշակի գործողություններ կատարելուն պարտադրող կամ որոշակի գործողություններից ձեռնպահ մնալուն հարկադրող վարչական ակտ, բովանդակում է՝</w:t>
      </w:r>
    </w:p>
    <w:p w14:paraId="238C954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 կարգադրագիրն ընդունող մարմնի լրիվ անվանումը.</w:t>
      </w:r>
    </w:p>
    <w:p w14:paraId="6348662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կարգադրագրի հասցեատիրոջ անունը, ազգանունը, իրավաբանական անձի դեպքում՝ լրիվ անվանումը.</w:t>
      </w:r>
    </w:p>
    <w:p w14:paraId="6B844620"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3) կարգադրագրի ընդունման տարին, ամիսը, ամսաթիվը և համարը.</w:t>
      </w:r>
    </w:p>
    <w:p w14:paraId="4C8336E8"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4) կարգադրագրով լուծվող հարցի նկարագրությունը.</w:t>
      </w:r>
    </w:p>
    <w:p w14:paraId="60DE30BB"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5) կարգադրագրի ընդունման իրավական հիմքը.</w:t>
      </w:r>
    </w:p>
    <w:p w14:paraId="47005697"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6) պարտադիր կատարման կամ ձեռնպահ մնալու ենթակա գործողությունների շարադրանքը.</w:t>
      </w:r>
    </w:p>
    <w:p w14:paraId="7306C4D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7) կարգադրագրի կատարման ժամկետը.</w:t>
      </w:r>
    </w:p>
    <w:p w14:paraId="65BA0162"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 կարգադրագրի գործողության ժամկետը.</w:t>
      </w:r>
    </w:p>
    <w:p w14:paraId="2BD3FCE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9) կարգադրագիրն ընդունող պաշտոնատար անձի պաշտոնը, անունը, ազգանունը և ստորագրությունը (ձեռագիր կամ էլեկտրոնային).</w:t>
      </w:r>
    </w:p>
    <w:p w14:paraId="7E9AA7E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10) կարգադրագրի բողոքարկման ժամկետը և մարմինը, ներառյալ դատարանը, որին կարող է այդ ակտը բողոքարկվել.</w:t>
      </w:r>
    </w:p>
    <w:p w14:paraId="0E28FFC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lastRenderedPageBreak/>
        <w:t>11) կարգադրագիրն ընդունած վարչական մարմնի պաշտոնական կնիքը, եթե այն ստորագրվել է ձեռագիր:</w:t>
      </w:r>
    </w:p>
    <w:p w14:paraId="55EA00B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7. Կարգադրագիրը պարտադիր է դրա հասցեատերերի համար և ենթակա է կատարման Հայաստանի Հանրապետության ամբողջ տարածքում դրանով սահմանված ժամկետում, իսկ արտադրական վտանգավոր օբյեկտի, արտադրական վտանգավոր օբյեկտում տեղակայված առանձին տեխնիկական միջոցի կամ տեխնոլոգիական սարքավորման շահագործումն արգելելու մասով կամովին չկատարելու դեպքում այն ենթակա է հարկադիր կատարման «Դատական ակտերի հարկադիր կատարման մասին» Հայաստանի Հանրապետության օրենքով սահմանված կարգով:</w:t>
      </w:r>
    </w:p>
    <w:p w14:paraId="0D2A2A8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 Կարգադրագիրն ուժի մեջ մտնելու օրվանից ենթակա է կատարման ոչ ուշ, քան դրանով սահմանված ժամկետում: Սույն հոդվածի 1-ին մասով սահմանված կարգադրագիրը՝ արտադրական վտանգավոր օբյեկտի, արտադրական վտանգավոր օբյեկտում տեղակայված առանձին տեխնիկական միջոցի կամ տեխնոլոգիական սարքավորման շահագործումն արգելելու մասով, ենթակա է անհապաղ կատարման։</w:t>
      </w:r>
    </w:p>
    <w:p w14:paraId="25AE1971"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8.1. Կարգադրագրի՝ դրանով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կարգադրագրի չկատարման արդյունքով առկա է քաղաքացիների կյանքին, առողջությանն սպառնացող անմիջական վտանգ կամ բնական կամ տեխնածին բնույթի արտակարգ իրավիճակի առաջացման վտանգ, տեսչական մարմինը կարգադրագրի չկատարման փաստն արձանագրելուց հետո՝ երեք աշխատանքային օրվա ընթացքում, դիմում է լիազոր մարմին՝ ներկայացնելով առաջարկություն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խախտումները վերացնելու վերաբերյալ:</w:t>
      </w:r>
    </w:p>
    <w:p w14:paraId="2312D7D3"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8.2. Լիազոր մարմինը սույն հոդվածի 8.1-ին մասով սահմանված առաջարկությունն ստանալուց հետո՝ հինգ աշխատանքային օրվա ընթացքում, տեսչական մարմին ներկայացնում է տեղեկություն՝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խախտումներն իր կողմից վերացնելու նպատակով համապատասխան գործողությունների, դրանց կատարման համար անհրաժեշտ ժամկետների, ինչպես նաև համապատասխան գործողությունների կատարման նախնական ծախսերի հաշվարկի վերաբերյալ:</w:t>
      </w:r>
    </w:p>
    <w:p w14:paraId="24EE6FF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8.3. Լիազոր մարմինը սույն հոդվածի 8.2-րդ մասով սահմանված գործողությունների կատարման ավարտից հետո՝ երեք աշխատանքային օրվա ընթացքում, տեսչական մարմին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արդյունքով կատարված ֆինանսական ծախսերի փոխհատուցման պահանջ:</w:t>
      </w:r>
    </w:p>
    <w:p w14:paraId="6A4A97BE"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lastRenderedPageBreak/>
        <w:t>8.4. Սույն հոդվածի 8.3-րդ մասով նախատեսված փոխհատուցման պահանջն ստուգվող սուբյեկտի կողմից այն ստանալուց հետո՝ մեկամսյա ժամկետում, չկատարվելու դեպքում գանձումն իրականացվում է դատական կարգով:</w:t>
      </w:r>
    </w:p>
    <w:p w14:paraId="4AAC50A1"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9. Սույն հոդվածով նախատեսված միջոցառումներն իրականացվում են «Վարչարարության հիմունքների և վարչական վարույթի մասին» Հայաստանի Հանրապետության օրենքով սահմանված կարգով:</w:t>
      </w:r>
    </w:p>
    <w:p w14:paraId="4F9E0CF3"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10. Կարգադրագիրը՝ արտադրական վտանգավոր օբյեկտի, արտադրական վտանգավոր օբյեկտում տեղակայված առանձին տեխնիկական միջոցի կամ տեխնոլոգիական սարքավորման շահագործումն արգելելու մասով, ներկայացվում է հարկադիր կատարման դրա չկատարման փաստը պարզելուց հետո՝ յոթ աշխատանքային օրվա ընթացքում:</w:t>
      </w:r>
    </w:p>
    <w:p w14:paraId="7D63A5A8"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11. Կարգադրագիրը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 որում նշվում են՝</w:t>
      </w:r>
    </w:p>
    <w:p w14:paraId="72D726FF"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 կարգադրագիրը հարկադիր կատարման ներկայացնելու տարին, ամիսը և ամսաթիվը.</w:t>
      </w:r>
    </w:p>
    <w:p w14:paraId="4300065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կարգադրագրի հիման վրա կատարման ենթակա գործողությունները կամ այն գործողությունները, որոնց կատարումից կարգադրագրի հասցեատեր անձը պետք է ձեռնպահ մնա.</w:t>
      </w:r>
    </w:p>
    <w:p w14:paraId="72FFFB43"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3) կարգադրագրի ընդունման տարին, ամիսը, ամսաթիվը և համարը.</w:t>
      </w:r>
    </w:p>
    <w:p w14:paraId="61573A5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4) կարգադրագրի հասցեատիրոջ անունը, ազգանունը, հայրանունը (առկայության դեպքում), իրավաբանական անձի դեպքում՝ լրիվ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14:paraId="6A66F9E5"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12. Սույն հոդվածի 11-րդ մասով նախատեսված՝ հարկադիր կատարման վերաբերյալ գրությունը և օրենքով նախատեսված այլ փաստաթղթեր կարող են հարկադիր կատարումն ապահովող ծառայություն ուղարկվել, և հարկադիր կատարումն ապահովող ծառայությունից փաստաթղթերը կարող են ստացվել օրենսդրությամբ սահմանված էլեկտրոնային եղանակով:</w:t>
      </w:r>
    </w:p>
    <w:p w14:paraId="0B8DA68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13. Կարգադրագիրը հարկադիր կատարման ներկայացնելը դրա հասցեատիրոջը չի ազատում կարգադրագրի պահանջը չկատարելու համար նախատեսված պատասխանատվությունից:</w:t>
      </w:r>
    </w:p>
    <w:p w14:paraId="543B3953" w14:textId="77777777" w:rsidR="001D3BD1" w:rsidRPr="00691200" w:rsidRDefault="001D3BD1" w:rsidP="001D3BD1">
      <w:pPr>
        <w:rPr>
          <w:rFonts w:ascii="GHEA Grapalat" w:hAnsi="GHEA Grapalat"/>
          <w:sz w:val="24"/>
          <w:szCs w:val="24"/>
          <w:lang w:val="hy-AM"/>
        </w:rPr>
      </w:pPr>
      <w:r w:rsidRPr="00691200">
        <w:rPr>
          <w:rFonts w:ascii="GHEA Grapalat" w:hAnsi="GHEA Grapalat"/>
          <w:sz w:val="24"/>
          <w:szCs w:val="24"/>
          <w:lang w:val="hy-AM"/>
        </w:rPr>
        <w:br w:type="page"/>
      </w:r>
    </w:p>
    <w:p w14:paraId="7F1317A4" w14:textId="77777777" w:rsidR="001D3BD1" w:rsidRPr="00691200" w:rsidRDefault="001D3BD1" w:rsidP="001D3BD1">
      <w:pPr>
        <w:tabs>
          <w:tab w:val="left" w:pos="-5812"/>
        </w:tabs>
        <w:spacing w:after="0"/>
        <w:ind w:right="168" w:firstLine="720"/>
        <w:contextualSpacing/>
        <w:jc w:val="both"/>
        <w:rPr>
          <w:rFonts w:ascii="GHEA Grapalat" w:hAnsi="GHEA Grapalat" w:cs="Calibri"/>
          <w:b/>
          <w:bCs/>
          <w:sz w:val="24"/>
          <w:szCs w:val="24"/>
          <w:lang w:val="hy-AM"/>
        </w:rPr>
      </w:pPr>
    </w:p>
    <w:p w14:paraId="1A7EDD66"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p>
    <w:p w14:paraId="10005E69" w14:textId="77777777" w:rsidR="001D3BD1" w:rsidRPr="00691200" w:rsidRDefault="001D3BD1" w:rsidP="001D3BD1">
      <w:pPr>
        <w:tabs>
          <w:tab w:val="left" w:pos="-5812"/>
        </w:tabs>
        <w:spacing w:after="0"/>
        <w:ind w:right="168" w:firstLine="720"/>
        <w:contextualSpacing/>
        <w:jc w:val="both"/>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1D3BD1" w:rsidRPr="00691200" w14:paraId="5290DAA6" w14:textId="77777777" w:rsidTr="006F677F">
        <w:trPr>
          <w:tblCellSpacing w:w="0" w:type="dxa"/>
        </w:trPr>
        <w:tc>
          <w:tcPr>
            <w:tcW w:w="2025" w:type="dxa"/>
            <w:shd w:val="clear" w:color="auto" w:fill="FFFFFF"/>
            <w:hideMark/>
          </w:tcPr>
          <w:p w14:paraId="79329924" w14:textId="77777777" w:rsidR="001D3BD1" w:rsidRPr="00691200" w:rsidRDefault="001D3BD1" w:rsidP="006F677F">
            <w:pPr>
              <w:tabs>
                <w:tab w:val="left" w:pos="-5812"/>
              </w:tabs>
              <w:spacing w:after="0"/>
              <w:ind w:right="168"/>
              <w:contextualSpacing/>
              <w:jc w:val="both"/>
              <w:rPr>
                <w:rFonts w:ascii="GHEA Grapalat" w:hAnsi="GHEA Grapalat"/>
                <w:sz w:val="24"/>
                <w:szCs w:val="24"/>
                <w:lang w:val="hy-AM"/>
              </w:rPr>
            </w:pPr>
            <w:r w:rsidRPr="00691200">
              <w:rPr>
                <w:rFonts w:ascii="GHEA Grapalat" w:hAnsi="GHEA Grapalat"/>
                <w:b/>
                <w:bCs/>
                <w:sz w:val="24"/>
                <w:szCs w:val="24"/>
                <w:lang w:val="hy-AM"/>
              </w:rPr>
              <w:t>Հոդված 16.</w:t>
            </w:r>
          </w:p>
        </w:tc>
        <w:tc>
          <w:tcPr>
            <w:tcW w:w="0" w:type="auto"/>
            <w:shd w:val="clear" w:color="auto" w:fill="FFFFFF"/>
            <w:vAlign w:val="center"/>
            <w:hideMark/>
          </w:tcPr>
          <w:p w14:paraId="2529E05B" w14:textId="77777777" w:rsidR="001D3BD1" w:rsidRPr="00691200" w:rsidRDefault="001D3BD1" w:rsidP="006F677F">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b/>
                <w:bCs/>
                <w:sz w:val="24"/>
                <w:szCs w:val="24"/>
                <w:lang w:val="hy-AM"/>
              </w:rPr>
              <w:t>Տեխնիկական անվտանգության ապահովման համակարգը</w:t>
            </w:r>
          </w:p>
        </w:tc>
      </w:tr>
    </w:tbl>
    <w:p w14:paraId="1A20F91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1. Տեխնիկական անվտանգության ապահովման համակարգի օղակներն են`</w:t>
      </w:r>
    </w:p>
    <w:p w14:paraId="7E0162BD"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ա) լիազոր մարմինը.</w:t>
      </w:r>
    </w:p>
    <w:p w14:paraId="1635D603"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բ) Տեխնիկական անվտանգության ազգային կենտրոնը.</w:t>
      </w:r>
    </w:p>
    <w:p w14:paraId="2A5FF38E"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գ) հավատարմագրված անձինք.</w:t>
      </w:r>
    </w:p>
    <w:p w14:paraId="3E0F467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դ) արտադրական վտանգավոր օբյեկտ շահագործող անձինք, այդ թվում՝ սույն օրենքի 19-րդ հոդվածի առաջին մասի «բ» կետով նախատեսված տեխնիկական անվտանգության ծառայությունները.</w:t>
      </w:r>
    </w:p>
    <w:p w14:paraId="6B0FC9DA"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ե) տեսչական մարմինը:</w:t>
      </w:r>
    </w:p>
    <w:p w14:paraId="57BFA2FC" w14:textId="77777777" w:rsidR="001D3BD1" w:rsidRPr="00691200" w:rsidRDefault="001D3BD1" w:rsidP="001D3BD1">
      <w:pPr>
        <w:tabs>
          <w:tab w:val="left" w:pos="-5812"/>
        </w:tabs>
        <w:spacing w:after="0"/>
        <w:ind w:right="168" w:firstLine="720"/>
        <w:contextualSpacing/>
        <w:jc w:val="both"/>
        <w:rPr>
          <w:rFonts w:ascii="GHEA Grapalat" w:hAnsi="GHEA Grapalat"/>
          <w:sz w:val="24"/>
          <w:szCs w:val="24"/>
          <w:lang w:val="hy-AM"/>
        </w:rPr>
      </w:pPr>
      <w:r w:rsidRPr="00691200">
        <w:rPr>
          <w:rFonts w:ascii="GHEA Grapalat" w:hAnsi="GHEA Grapalat"/>
          <w:sz w:val="24"/>
          <w:szCs w:val="24"/>
          <w:lang w:val="hy-AM"/>
        </w:rPr>
        <w:t>2. Տեխնիկական անվտանգության ապահովման համակարգի յուրաքանչյուր օղակ պատասխանատու է սույն օրենքով սահմանված իրավասությունների, լիազորությունների և պարտավորությունների պատշաճ կատարման համար:</w:t>
      </w:r>
    </w:p>
    <w:p w14:paraId="3132D6F8" w14:textId="77777777" w:rsidR="001D3BD1" w:rsidRPr="00691200" w:rsidRDefault="001D3BD1" w:rsidP="00381D65">
      <w:pPr>
        <w:tabs>
          <w:tab w:val="left" w:pos="-5812"/>
        </w:tabs>
        <w:spacing w:after="0"/>
        <w:ind w:right="168"/>
        <w:contextualSpacing/>
        <w:jc w:val="both"/>
        <w:rPr>
          <w:rFonts w:ascii="GHEA Grapalat" w:hAnsi="GHEA Grapalat"/>
          <w:sz w:val="24"/>
          <w:szCs w:val="24"/>
          <w:lang w:val="hy-AM"/>
        </w:rPr>
      </w:pPr>
    </w:p>
    <w:tbl>
      <w:tblPr>
        <w:tblW w:w="4955" w:type="pct"/>
        <w:tblCellSpacing w:w="0" w:type="dxa"/>
        <w:tblInd w:w="90" w:type="dxa"/>
        <w:shd w:val="clear" w:color="auto" w:fill="FFFFFF"/>
        <w:tblCellMar>
          <w:left w:w="0" w:type="dxa"/>
          <w:right w:w="0" w:type="dxa"/>
        </w:tblCellMar>
        <w:tblLook w:val="04A0" w:firstRow="1" w:lastRow="0" w:firstColumn="1" w:lastColumn="0" w:noHBand="0" w:noVBand="1"/>
      </w:tblPr>
      <w:tblGrid>
        <w:gridCol w:w="1935"/>
        <w:gridCol w:w="8054"/>
      </w:tblGrid>
      <w:tr w:rsidR="00532FD1" w:rsidRPr="009668A4" w14:paraId="1F3F502F" w14:textId="77777777" w:rsidTr="00532FD1">
        <w:trPr>
          <w:tblCellSpacing w:w="0" w:type="dxa"/>
        </w:trPr>
        <w:tc>
          <w:tcPr>
            <w:tcW w:w="1935" w:type="dxa"/>
            <w:shd w:val="clear" w:color="auto" w:fill="FFFFFF"/>
            <w:hideMark/>
          </w:tcPr>
          <w:p w14:paraId="066DBCB1" w14:textId="77777777" w:rsidR="001D3BD1" w:rsidRPr="00532FD1" w:rsidRDefault="001D3BD1" w:rsidP="006F677F">
            <w:pPr>
              <w:tabs>
                <w:tab w:val="left" w:pos="-5812"/>
              </w:tabs>
              <w:spacing w:after="0"/>
              <w:ind w:right="168"/>
              <w:contextualSpacing/>
              <w:jc w:val="both"/>
              <w:rPr>
                <w:rFonts w:ascii="GHEA Grapalat" w:hAnsi="GHEA Grapalat"/>
                <w:strike/>
                <w:color w:val="EE0000"/>
                <w:sz w:val="24"/>
                <w:szCs w:val="24"/>
                <w:lang w:val="hy-AM"/>
              </w:rPr>
            </w:pPr>
            <w:r w:rsidRPr="00532FD1">
              <w:rPr>
                <w:rFonts w:ascii="GHEA Grapalat" w:hAnsi="GHEA Grapalat"/>
                <w:b/>
                <w:bCs/>
                <w:strike/>
                <w:color w:val="EE0000"/>
                <w:sz w:val="24"/>
                <w:szCs w:val="24"/>
                <w:lang w:val="hy-AM"/>
              </w:rPr>
              <w:t>Հոդված 18.</w:t>
            </w:r>
          </w:p>
        </w:tc>
        <w:tc>
          <w:tcPr>
            <w:tcW w:w="0" w:type="auto"/>
            <w:shd w:val="clear" w:color="auto" w:fill="FFFFFF"/>
            <w:vAlign w:val="center"/>
            <w:hideMark/>
          </w:tcPr>
          <w:p w14:paraId="3AEC888D" w14:textId="77777777" w:rsidR="001D3BD1" w:rsidRPr="00532FD1" w:rsidRDefault="001D3BD1" w:rsidP="006F677F">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b/>
                <w:bCs/>
                <w:strike/>
                <w:color w:val="EE0000"/>
                <w:sz w:val="24"/>
                <w:szCs w:val="24"/>
                <w:lang w:val="hy-AM"/>
              </w:rPr>
              <w:t>Տեխնիկական անվտանգության ազգային կենտրոնի լիազորությունները</w:t>
            </w:r>
          </w:p>
        </w:tc>
      </w:tr>
    </w:tbl>
    <w:p w14:paraId="5AF3CF13"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Տեխնիկական անվտանգության ազգային կենտրոնի լիազորություններն են`</w:t>
      </w:r>
    </w:p>
    <w:p w14:paraId="565BE7FD"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ա) տեխնիկական անվտանգության պահանջներ սահմանող տեխնիկական կանոնակարգերի մշակումը.</w:t>
      </w:r>
    </w:p>
    <w:p w14:paraId="1EDFB7D1"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բ)</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079B9DC7"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գ) ուսումնամեթոդական ծրագրերի մշակումը, ոլորտի մասնագետների, փորձագետների, տնտեսության մեջ աշխատող ինժեներատեխնիկական և մասնագետ կադրերի ուսուցման և որակավորման գծով աշխատանքների կազմակերպումը.</w:t>
      </w:r>
    </w:p>
    <w:p w14:paraId="78008E64"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դ) միջպետական ծրագրերի և տեխնիկական նախագծերի մշակմանը, իրագործմանը գիտահետազոտական աշխատանքների համատեղ անցկացմանը մասնակցությունը.</w:t>
      </w:r>
    </w:p>
    <w:p w14:paraId="48638DE2"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ե) տեխնիկական անվտանգության բնագավառում նոր գիտական ուղղությունների, գիտափորձերի մշակումը.</w:t>
      </w:r>
    </w:p>
    <w:p w14:paraId="2E47052C"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զ) արտադրական վտանգավոր օբյեկտ շահագործող անձի հետ կնքված պայմանագրի համաձայն՝ սույն օրենքով սահմանված տեխնիկական անվտանգության փորձաքննության իրականացումը և համապատասխան փորձագիտական եզրակացության տրամադրումը.</w:t>
      </w:r>
    </w:p>
    <w:p w14:paraId="759E3C4D"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է)</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527C5593"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ը)</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06EBCF22"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թ)</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1F75FFF4"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ժ) սույն օրենքի 10-րդ հոդվածով նախատեսված տեխնիկական քննության իրականացումը.</w:t>
      </w:r>
    </w:p>
    <w:p w14:paraId="0CE8FAC0"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lastRenderedPageBreak/>
        <w:t>ժա)</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60E859AF"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ժբ) Հայաստանի Հանրապետության պետական կառավարման և տեղական ինքնակառավարման մարմիններին, կազմակերպություններին, քաղաքացիներին տեխնիկական անվտանգությանը առնչվող հարցերով տեղեկատվությամբ ապահովումը, այդ թվում նաև զանգվածային լրատվության միջոցներով.</w:t>
      </w:r>
    </w:p>
    <w:p w14:paraId="4CC588C8"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ժգ)</w:t>
      </w:r>
      <w:r w:rsidRPr="00532FD1">
        <w:rPr>
          <w:rFonts w:ascii="Calibri" w:hAnsi="Calibri" w:cs="Calibri"/>
          <w:strike/>
          <w:color w:val="EE0000"/>
          <w:sz w:val="24"/>
          <w:szCs w:val="24"/>
          <w:lang w:val="hy-AM"/>
        </w:rPr>
        <w:t> </w:t>
      </w:r>
      <w:r w:rsidRPr="00532FD1">
        <w:rPr>
          <w:rFonts w:ascii="GHEA Grapalat" w:hAnsi="GHEA Grapalat"/>
          <w:b/>
          <w:bCs/>
          <w:i/>
          <w:iCs/>
          <w:strike/>
          <w:color w:val="EE0000"/>
          <w:sz w:val="24"/>
          <w:szCs w:val="24"/>
          <w:lang w:val="hy-AM"/>
        </w:rPr>
        <w:t>(կետն ուժը կորցրել է</w:t>
      </w:r>
      <w:r w:rsidRPr="00532FD1">
        <w:rPr>
          <w:rFonts w:ascii="Calibri" w:hAnsi="Calibri" w:cs="Calibri"/>
          <w:b/>
          <w:bCs/>
          <w:i/>
          <w:iCs/>
          <w:strike/>
          <w:color w:val="EE0000"/>
          <w:sz w:val="24"/>
          <w:szCs w:val="24"/>
          <w:lang w:val="hy-AM"/>
        </w:rPr>
        <w:t> </w:t>
      </w:r>
      <w:r w:rsidRPr="00532FD1">
        <w:rPr>
          <w:rFonts w:ascii="GHEA Grapalat" w:hAnsi="GHEA Grapalat"/>
          <w:b/>
          <w:bCs/>
          <w:i/>
          <w:iCs/>
          <w:strike/>
          <w:color w:val="EE0000"/>
          <w:sz w:val="24"/>
          <w:szCs w:val="24"/>
          <w:lang w:val="hy-AM"/>
        </w:rPr>
        <w:t>22.12.10 ՀՕ-32-Ն)</w:t>
      </w:r>
    </w:p>
    <w:p w14:paraId="511D444F" w14:textId="77777777" w:rsidR="001D3BD1" w:rsidRPr="00532FD1" w:rsidRDefault="001D3BD1" w:rsidP="001D3BD1">
      <w:pPr>
        <w:tabs>
          <w:tab w:val="left" w:pos="-5812"/>
        </w:tabs>
        <w:spacing w:after="0"/>
        <w:ind w:right="168" w:firstLine="720"/>
        <w:contextualSpacing/>
        <w:jc w:val="both"/>
        <w:rPr>
          <w:rFonts w:ascii="GHEA Grapalat" w:hAnsi="GHEA Grapalat"/>
          <w:strike/>
          <w:color w:val="EE0000"/>
          <w:sz w:val="24"/>
          <w:szCs w:val="24"/>
          <w:lang w:val="hy-AM"/>
        </w:rPr>
      </w:pPr>
      <w:r w:rsidRPr="00532FD1">
        <w:rPr>
          <w:rFonts w:ascii="GHEA Grapalat" w:hAnsi="GHEA Grapalat"/>
          <w:strike/>
          <w:color w:val="EE0000"/>
          <w:sz w:val="24"/>
          <w:szCs w:val="24"/>
          <w:lang w:val="hy-AM"/>
        </w:rPr>
        <w:t>ժդ) Հայաստանի Հանրապետության օրենսդրությամբ սահմանված այլ լիազորություններ:</w:t>
      </w:r>
    </w:p>
    <w:p w14:paraId="6AD27ADD" w14:textId="77777777" w:rsidR="001D3BD1" w:rsidRPr="00691200" w:rsidRDefault="001D3BD1" w:rsidP="001D3BD1">
      <w:pPr>
        <w:tabs>
          <w:tab w:val="left" w:pos="-5812"/>
        </w:tabs>
        <w:spacing w:after="0"/>
        <w:ind w:right="168" w:firstLine="720"/>
        <w:contextualSpacing/>
        <w:jc w:val="both"/>
        <w:rPr>
          <w:rFonts w:ascii="GHEA Grapalat" w:hAnsi="GHEA Grapalat"/>
          <w:strike/>
          <w:sz w:val="24"/>
          <w:szCs w:val="24"/>
          <w:lang w:val="hy-AM"/>
        </w:rPr>
      </w:pPr>
    </w:p>
    <w:p w14:paraId="2E668BBF" w14:textId="77777777" w:rsidR="001D3BD1" w:rsidRPr="00691200" w:rsidRDefault="001D3BD1" w:rsidP="001D3BD1">
      <w:pPr>
        <w:tabs>
          <w:tab w:val="left" w:pos="-5812"/>
        </w:tabs>
        <w:spacing w:after="0"/>
        <w:ind w:right="168" w:firstLine="720"/>
        <w:contextualSpacing/>
        <w:jc w:val="both"/>
        <w:rPr>
          <w:lang w:val="hy-AM"/>
        </w:rPr>
      </w:pPr>
    </w:p>
    <w:p w14:paraId="7C9BF9C2" w14:textId="298EBAA0" w:rsidR="007C60F6" w:rsidRDefault="007C60F6">
      <w:pPr>
        <w:rPr>
          <w:lang w:val="hy-AM"/>
        </w:rPr>
      </w:pPr>
    </w:p>
    <w:p w14:paraId="639A66C9" w14:textId="77777777" w:rsidR="003938AB" w:rsidRPr="00691200" w:rsidRDefault="003938AB">
      <w:pPr>
        <w:rPr>
          <w:lang w:val="hy-AM"/>
        </w:rPr>
      </w:pPr>
    </w:p>
    <w:sectPr w:rsidR="003938AB" w:rsidRPr="00691200" w:rsidSect="002441A4">
      <w:pgSz w:w="12240" w:h="15840"/>
      <w:pgMar w:top="630" w:right="72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E248AC"/>
    <w:multiLevelType w:val="hybridMultilevel"/>
    <w:tmpl w:val="63AAE3CA"/>
    <w:lvl w:ilvl="0" w:tplc="75AA960A">
      <w:start w:val="1"/>
      <w:numFmt w:val="decimal"/>
      <w:lvlText w:val="%1."/>
      <w:lvlJc w:val="left"/>
      <w:pPr>
        <w:ind w:left="720" w:hanging="360"/>
      </w:pPr>
      <w:rPr>
        <w:rFonts w:eastAsiaTheme="minorHAnsi" w:cstheme="minorBid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A12"/>
    <w:rsid w:val="001D3BD1"/>
    <w:rsid w:val="00381D65"/>
    <w:rsid w:val="003938AB"/>
    <w:rsid w:val="00401F68"/>
    <w:rsid w:val="004A7E34"/>
    <w:rsid w:val="00532FD1"/>
    <w:rsid w:val="00691200"/>
    <w:rsid w:val="007028B3"/>
    <w:rsid w:val="007C60F6"/>
    <w:rsid w:val="008D0FE2"/>
    <w:rsid w:val="009668A4"/>
    <w:rsid w:val="00A669AB"/>
    <w:rsid w:val="00C97A12"/>
    <w:rsid w:val="00D51B62"/>
    <w:rsid w:val="00FF1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8C44B"/>
  <w15:chartTrackingRefBased/>
  <w15:docId w15:val="{572A3B42-98B3-4808-B928-94D67F5D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BD1"/>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D3B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3BD1"/>
    <w:rPr>
      <w:b/>
      <w:bCs/>
    </w:rPr>
  </w:style>
  <w:style w:type="character" w:styleId="Emphasis">
    <w:name w:val="Emphasis"/>
    <w:basedOn w:val="DefaultParagraphFont"/>
    <w:uiPriority w:val="20"/>
    <w:qFormat/>
    <w:rsid w:val="001D3BD1"/>
    <w:rPr>
      <w:i/>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1"/>
    <w:qFormat/>
    <w:rsid w:val="001D3BD1"/>
    <w:pPr>
      <w:spacing w:after="160" w:line="259" w:lineRule="auto"/>
      <w:ind w:left="720"/>
      <w:contextualSpacing/>
    </w:pPr>
    <w:rPr>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1"/>
    <w:locked/>
    <w:rsid w:val="001D3BD1"/>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D3BD1"/>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1D3BD1"/>
    <w:rPr>
      <w:color w:val="0563C1" w:themeColor="hyperlink"/>
      <w:u w:val="single"/>
    </w:rPr>
  </w:style>
  <w:style w:type="character" w:styleId="UnresolvedMention">
    <w:name w:val="Unresolved Mention"/>
    <w:basedOn w:val="DefaultParagraphFont"/>
    <w:uiPriority w:val="99"/>
    <w:semiHidden/>
    <w:unhideWhenUsed/>
    <w:rsid w:val="001D3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2955</Words>
  <Characters>16845</Characters>
  <Application>Microsoft Office Word</Application>
  <DocSecurity>0</DocSecurity>
  <Lines>140</Lines>
  <Paragraphs>39</Paragraphs>
  <ScaleCrop>false</ScaleCrop>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https://mul2.gov.am/tasks/1218361/oneclick?token=a8f558a2489c1343ec9abd81eca1c542</cp:keywords>
  <dc:description/>
  <cp:lastModifiedBy>Anush Aghekyan</cp:lastModifiedBy>
  <cp:revision>5</cp:revision>
  <dcterms:created xsi:type="dcterms:W3CDTF">2025-09-29T12:04:00Z</dcterms:created>
  <dcterms:modified xsi:type="dcterms:W3CDTF">2025-09-30T11:52:00Z</dcterms:modified>
</cp:coreProperties>
</file>