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C29F91" w14:textId="7B5A0965" w:rsidR="00A00F0F" w:rsidRPr="006713A9" w:rsidRDefault="006713A9" w:rsidP="00A00F0F">
      <w:pPr>
        <w:shd w:val="clear" w:color="auto" w:fill="FFFFFF"/>
        <w:spacing w:after="0" w:line="240" w:lineRule="auto"/>
        <w:jc w:val="right"/>
        <w:rPr>
          <w:rFonts w:ascii="GHEA Grapalat" w:hAnsi="GHEA Grapalat" w:cs="Times New Roman"/>
          <w:b/>
          <w:bCs/>
          <w:sz w:val="24"/>
          <w:szCs w:val="24"/>
          <w:lang w:val="hy-AM"/>
        </w:rPr>
      </w:pPr>
      <w:r>
        <w:rPr>
          <w:rFonts w:ascii="Arial" w:hAnsi="Arial" w:cs="Calibri"/>
          <w:b/>
          <w:bCs/>
          <w:sz w:val="24"/>
          <w:szCs w:val="24"/>
          <w:lang w:val="hy-AM"/>
        </w:rPr>
        <w:t xml:space="preserve"> </w:t>
      </w:r>
      <w:r w:rsidR="00A00F0F" w:rsidRPr="2ECA1E25">
        <w:rPr>
          <w:rFonts w:ascii="Calibri" w:hAnsi="Calibri" w:cs="Calibri"/>
          <w:b/>
          <w:bCs/>
          <w:sz w:val="24"/>
          <w:szCs w:val="24"/>
          <w:lang w:val="hy-AM"/>
        </w:rPr>
        <w:t> </w:t>
      </w:r>
      <w:proofErr w:type="spellStart"/>
      <w:r w:rsidR="00A00F0F" w:rsidRPr="2ECA1E25">
        <w:rPr>
          <w:rFonts w:ascii="GHEA Grapalat" w:hAnsi="GHEA Grapalat" w:cs="Times New Roman"/>
          <w:b/>
          <w:bCs/>
          <w:sz w:val="24"/>
          <w:szCs w:val="24"/>
          <w:lang w:val="hy-AM"/>
        </w:rPr>
        <w:t>Ձև</w:t>
      </w:r>
      <w:proofErr w:type="spellEnd"/>
      <w:r w:rsidR="00A00F0F" w:rsidRPr="2ECA1E25">
        <w:rPr>
          <w:rFonts w:ascii="GHEA Grapalat" w:hAnsi="GHEA Grapalat" w:cs="Times New Roman"/>
          <w:b/>
          <w:bCs/>
          <w:sz w:val="24"/>
          <w:szCs w:val="24"/>
          <w:lang w:val="hy-AM"/>
        </w:rPr>
        <w:t xml:space="preserve"> </w:t>
      </w:r>
      <w:r w:rsidR="00127A4E" w:rsidRPr="006713A9">
        <w:rPr>
          <w:rFonts w:ascii="GHEA Grapalat" w:hAnsi="GHEA Grapalat" w:cs="Times New Roman"/>
          <w:b/>
          <w:bCs/>
          <w:sz w:val="24"/>
          <w:szCs w:val="24"/>
          <w:lang w:val="hy-AM"/>
        </w:rPr>
        <w:t>2</w:t>
      </w:r>
    </w:p>
    <w:p w14:paraId="4E6D7728" w14:textId="6F1DC89E" w:rsidR="001460E5" w:rsidRPr="00127A4E" w:rsidRDefault="0009684E" w:rsidP="0009684E">
      <w:pPr>
        <w:spacing w:before="200" w:after="0" w:line="360" w:lineRule="auto"/>
        <w:jc w:val="center"/>
        <w:rPr>
          <w:rFonts w:ascii="GHEA Grapalat" w:hAnsi="GHEA Grapalat" w:cs="Times New Roman"/>
          <w:b/>
          <w:bCs/>
          <w:sz w:val="24"/>
          <w:szCs w:val="24"/>
          <w:lang w:val="hy-AM"/>
          <w14:ligatures w14:val="none"/>
        </w:rPr>
      </w:pPr>
      <w:r w:rsidRPr="00127A4E">
        <w:rPr>
          <w:rFonts w:ascii="GHEA Grapalat" w:hAnsi="GHEA Grapalat" w:cs="Times New Roman"/>
          <w:b/>
          <w:bCs/>
          <w:sz w:val="24"/>
          <w:szCs w:val="24"/>
          <w:lang w:val="hy-AM"/>
          <w14:ligatures w14:val="none"/>
        </w:rPr>
        <w:t>ՆԱԽՆԱԿԱՆ ՏԵԽՆԻԿԱՏՆՏԵՍԱԿԱՆ ՀԻՄՆԱՎՈՐՄԱՆ ԲՈՎԱՆԴԱԿՈՒԹՅԱՆ և ՏԵԽՆԻԿԱՏՆՏԵՍԱԿԱՆ ՈՒՍՈՒՄՆԱՍԻՐՈՒԹՅԱՆ ԲՈՎԱՆԴԱԿՈՒԹՅԱՆ ՆՎԱԶԱԳՈՒՅՆ ՊԱՀԱՆՋՆԵՐԸ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0" w:type="dxa"/>
        </w:tblCellMar>
        <w:tblLook w:val="04A0" w:firstRow="1" w:lastRow="0" w:firstColumn="1" w:lastColumn="0" w:noHBand="0" w:noVBand="1"/>
      </w:tblPr>
      <w:tblGrid>
        <w:gridCol w:w="1831"/>
        <w:gridCol w:w="3795"/>
        <w:gridCol w:w="3724"/>
      </w:tblGrid>
      <w:tr w:rsidR="00F10F9D" w:rsidRPr="00127A4E" w14:paraId="1A099D0E" w14:textId="77777777" w:rsidTr="00DF6CF3">
        <w:trPr>
          <w:trHeight w:val="1220"/>
        </w:trPr>
        <w:tc>
          <w:tcPr>
            <w:tcW w:w="134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CAA39A8" w14:textId="6A97C169" w:rsidR="00F10F9D" w:rsidRPr="00127A4E" w:rsidRDefault="0046560C" w:rsidP="0046560C">
            <w:pPr>
              <w:spacing w:before="200" w:after="0" w:line="360" w:lineRule="auto"/>
              <w:jc w:val="center"/>
              <w:rPr>
                <w:rFonts w:ascii="GHEA Grapalat" w:hAnsi="GHEA Grapalat" w:cs="Arial"/>
                <w:color w:val="auto"/>
                <w:sz w:val="20"/>
                <w:szCs w:val="20"/>
                <w:lang w:val="hy-AM"/>
              </w:rPr>
            </w:pPr>
            <w:r w:rsidRPr="00127A4E">
              <w:rPr>
                <w:rFonts w:ascii="GHEA Grapalat" w:hAnsi="GHEA Grapalat" w:cs="Arial"/>
                <w:b/>
                <w:bCs/>
                <w:color w:val="auto"/>
                <w:sz w:val="20"/>
                <w:szCs w:val="20"/>
                <w:lang w:val="hy-AM"/>
              </w:rPr>
              <w:t>Բաժին</w:t>
            </w:r>
          </w:p>
        </w:tc>
        <w:tc>
          <w:tcPr>
            <w:tcW w:w="4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972B188" w14:textId="77777777" w:rsidR="00F10F9D" w:rsidRPr="00127A4E" w:rsidRDefault="00F10F9D" w:rsidP="00DF6CF3">
            <w:pPr>
              <w:spacing w:before="200" w:after="0" w:line="360" w:lineRule="auto"/>
              <w:jc w:val="center"/>
              <w:rPr>
                <w:rFonts w:ascii="GHEA Grapalat" w:hAnsi="GHEA Grapalat" w:cs="Arial"/>
                <w:b/>
                <w:bCs/>
                <w:color w:val="auto"/>
                <w:sz w:val="20"/>
                <w:szCs w:val="20"/>
                <w:lang w:val="hy-AM"/>
              </w:rPr>
            </w:pPr>
            <w:r w:rsidRPr="00127A4E">
              <w:rPr>
                <w:rFonts w:ascii="GHEA Grapalat" w:hAnsi="GHEA Grapalat" w:cs="Arial"/>
                <w:b/>
                <w:bCs/>
                <w:color w:val="auto"/>
                <w:sz w:val="20"/>
                <w:szCs w:val="20"/>
                <w:lang w:val="hy-AM"/>
              </w:rPr>
              <w:t>Նախնական տեխնիկատնտեսական հիմնավորում</w:t>
            </w:r>
          </w:p>
        </w:tc>
        <w:tc>
          <w:tcPr>
            <w:tcW w:w="4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0117D87" w14:textId="77777777" w:rsidR="00F10F9D" w:rsidRPr="00127A4E" w:rsidRDefault="00F10F9D" w:rsidP="00DF6CF3">
            <w:pPr>
              <w:spacing w:before="200" w:after="0" w:line="360" w:lineRule="auto"/>
              <w:jc w:val="center"/>
              <w:rPr>
                <w:rFonts w:ascii="GHEA Grapalat" w:hAnsi="GHEA Grapalat" w:cs="Arial"/>
                <w:b/>
                <w:bCs/>
                <w:color w:val="auto"/>
                <w:sz w:val="20"/>
                <w:szCs w:val="20"/>
                <w:lang w:val="hy-AM"/>
              </w:rPr>
            </w:pPr>
            <w:r w:rsidRPr="00127A4E">
              <w:rPr>
                <w:rFonts w:ascii="GHEA Grapalat" w:hAnsi="GHEA Grapalat" w:cs="Arial"/>
                <w:b/>
                <w:bCs/>
                <w:color w:val="auto"/>
                <w:sz w:val="20"/>
                <w:szCs w:val="20"/>
                <w:lang w:val="hy-AM"/>
              </w:rPr>
              <w:t>Տեխնիկատնտեսական վերլուծություն</w:t>
            </w:r>
          </w:p>
        </w:tc>
      </w:tr>
      <w:tr w:rsidR="00F10F9D" w:rsidRPr="006713A9" w14:paraId="565ADB94" w14:textId="77777777" w:rsidTr="00DF6CF3">
        <w:trPr>
          <w:trHeight w:val="1220"/>
        </w:trPr>
        <w:tc>
          <w:tcPr>
            <w:tcW w:w="134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DDAE2F8"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t>Ծրագրի շրջանակ, այլընտրանքներ</w:t>
            </w:r>
          </w:p>
        </w:tc>
        <w:tc>
          <w:tcPr>
            <w:tcW w:w="4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1424FD6"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t>Ծրագրի ընդհանուր նկարագիրը, շրջանակը, նպատակները, պահանջվող ենթակառուցվածքները և ծառայությունները, նպատակներին հասնելու հնարավոր այլընտրանքները</w:t>
            </w:r>
          </w:p>
        </w:tc>
        <w:tc>
          <w:tcPr>
            <w:tcW w:w="4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7FD9570"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t xml:space="preserve">Ծրագրի մանրամասն նկարագրություն, ներառյալ </w:t>
            </w:r>
            <w:proofErr w:type="spellStart"/>
            <w:r w:rsidRPr="00127A4E">
              <w:rPr>
                <w:rFonts w:ascii="GHEA Grapalat" w:hAnsi="GHEA Grapalat" w:cs="Arial"/>
                <w:color w:val="auto"/>
                <w:sz w:val="20"/>
                <w:szCs w:val="20"/>
                <w:lang w:val="hy-AM"/>
              </w:rPr>
              <w:t>տեղայնքը</w:t>
            </w:r>
            <w:proofErr w:type="spellEnd"/>
            <w:r w:rsidRPr="00127A4E">
              <w:rPr>
                <w:rFonts w:ascii="GHEA Grapalat" w:hAnsi="GHEA Grapalat" w:cs="Arial"/>
                <w:color w:val="auto"/>
                <w:sz w:val="20"/>
                <w:szCs w:val="20"/>
                <w:lang w:val="hy-AM"/>
              </w:rPr>
              <w:t xml:space="preserve">, դիզայնի ամփոփ նկարագիրը, շրջանակը </w:t>
            </w:r>
          </w:p>
        </w:tc>
      </w:tr>
      <w:tr w:rsidR="00F10F9D" w:rsidRPr="006713A9" w14:paraId="4885B59B" w14:textId="77777777" w:rsidTr="00DF6CF3">
        <w:trPr>
          <w:trHeight w:val="3505"/>
        </w:trPr>
        <w:tc>
          <w:tcPr>
            <w:tcW w:w="134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6A69A33"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t xml:space="preserve">Նախագիծ </w:t>
            </w:r>
          </w:p>
        </w:tc>
        <w:tc>
          <w:tcPr>
            <w:tcW w:w="4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07683C5"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t xml:space="preserve">Ծրագրի նախագիծը, որը հանդիսանում է տվյալ ոլորտի համար սովորաբար կիրառելի ընդհանրական նախագիծ՝ ծրագրի իրականացման վայրին բնորոշ առանձնահատկություններով։ </w:t>
            </w:r>
          </w:p>
          <w:p w14:paraId="0DAA167A" w14:textId="77777777" w:rsidR="00F10F9D" w:rsidRPr="00127A4E" w:rsidRDefault="00F10F9D" w:rsidP="00DF6CF3">
            <w:pPr>
              <w:spacing w:before="200" w:after="0" w:line="360" w:lineRule="auto"/>
              <w:rPr>
                <w:rFonts w:ascii="GHEA Grapalat" w:hAnsi="GHEA Grapalat" w:cs="Arial"/>
                <w:color w:val="auto"/>
                <w:sz w:val="20"/>
                <w:szCs w:val="20"/>
                <w:lang w:val="hy-AM"/>
              </w:rPr>
            </w:pPr>
          </w:p>
        </w:tc>
        <w:tc>
          <w:tcPr>
            <w:tcW w:w="4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12D0E2D"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t xml:space="preserve">Հաշվի են առնվում շինարարական տեղամասի, տարածքի </w:t>
            </w:r>
            <w:proofErr w:type="spellStart"/>
            <w:r w:rsidRPr="00127A4E">
              <w:rPr>
                <w:rFonts w:ascii="GHEA Grapalat" w:hAnsi="GHEA Grapalat" w:cs="Arial"/>
                <w:color w:val="auto"/>
                <w:sz w:val="20"/>
                <w:szCs w:val="20"/>
                <w:lang w:val="hy-AM"/>
              </w:rPr>
              <w:t>ինժեներաերկրաբանական</w:t>
            </w:r>
            <w:proofErr w:type="spellEnd"/>
            <w:r w:rsidRPr="00127A4E">
              <w:rPr>
                <w:rFonts w:ascii="GHEA Grapalat" w:hAnsi="GHEA Grapalat" w:cs="Arial"/>
                <w:color w:val="auto"/>
                <w:sz w:val="20"/>
                <w:szCs w:val="20"/>
                <w:lang w:val="hy-AM"/>
              </w:rPr>
              <w:t xml:space="preserve">, գոյություն ունեցող շենքերի, շինությունների և կառուցվածքների փաստացի տեխնիկական վիճակի </w:t>
            </w:r>
            <w:proofErr w:type="spellStart"/>
            <w:r w:rsidRPr="00127A4E">
              <w:rPr>
                <w:rFonts w:ascii="GHEA Grapalat" w:hAnsi="GHEA Grapalat" w:cs="Arial"/>
                <w:color w:val="auto"/>
                <w:sz w:val="20"/>
                <w:szCs w:val="20"/>
                <w:lang w:val="hy-AM"/>
              </w:rPr>
              <w:t>հետազննության</w:t>
            </w:r>
            <w:proofErr w:type="spellEnd"/>
            <w:r w:rsidRPr="00127A4E">
              <w:rPr>
                <w:rFonts w:ascii="GHEA Grapalat" w:hAnsi="GHEA Grapalat" w:cs="Arial"/>
                <w:color w:val="auto"/>
                <w:sz w:val="20"/>
                <w:szCs w:val="20"/>
                <w:lang w:val="hy-AM"/>
              </w:rPr>
              <w:t xml:space="preserve"> հետ կապված ինժեներատեխնիկական և նախագծանախահաշվային աշխատանքների </w:t>
            </w:r>
            <w:proofErr w:type="spellStart"/>
            <w:r w:rsidRPr="00127A4E">
              <w:rPr>
                <w:rFonts w:ascii="GHEA Grapalat" w:hAnsi="GHEA Grapalat" w:cs="Arial"/>
                <w:color w:val="auto"/>
                <w:sz w:val="20"/>
                <w:szCs w:val="20"/>
                <w:lang w:val="hy-AM"/>
              </w:rPr>
              <w:t>արդյուքնները</w:t>
            </w:r>
            <w:proofErr w:type="spellEnd"/>
            <w:r w:rsidRPr="00127A4E">
              <w:rPr>
                <w:rFonts w:ascii="GHEA Grapalat" w:hAnsi="GHEA Grapalat" w:cs="Arial"/>
                <w:color w:val="auto"/>
                <w:sz w:val="20"/>
                <w:szCs w:val="20"/>
                <w:lang w:val="hy-AM"/>
              </w:rPr>
              <w:t>.</w:t>
            </w:r>
          </w:p>
        </w:tc>
      </w:tr>
      <w:tr w:rsidR="00F10F9D" w:rsidRPr="006713A9" w14:paraId="0CC01D6B" w14:textId="77777777" w:rsidTr="00DF6CF3">
        <w:trPr>
          <w:trHeight w:val="5220"/>
        </w:trPr>
        <w:tc>
          <w:tcPr>
            <w:tcW w:w="134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C94CC4E"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lastRenderedPageBreak/>
              <w:t>Շրջակա միջավայրի վրա ազդեցություն</w:t>
            </w:r>
          </w:p>
        </w:tc>
        <w:tc>
          <w:tcPr>
            <w:tcW w:w="4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6EB3BE"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t xml:space="preserve">Ծրագրի՝ շրջակա    միջավայրի վրա ազդեցությունը՝ ներառյալ  ծրագրի իրականացման արդյունքում շրջակա միջավայրի և մարդկանց առողջության վրա հնարավոր բացասական ազդեցությունը.   </w:t>
            </w:r>
          </w:p>
        </w:tc>
        <w:tc>
          <w:tcPr>
            <w:tcW w:w="4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8F2269C"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t xml:space="preserve">«Շրջակա միջավայրի վրա ազդեցության  գնահատման և փորձաքննության մասին» օրենքի  համաձայն հնարավոր ծրագրի նախագծի ռազմավարական գնահատումն ու փորձաքննության անցկացումը, որը ներառում է նախքան շինարարությունը շինարարության և դրան հաջորդող փուլերի բնապահպանական խնդիրների </w:t>
            </w:r>
            <w:proofErr w:type="spellStart"/>
            <w:r w:rsidRPr="00127A4E">
              <w:rPr>
                <w:rFonts w:ascii="GHEA Grapalat" w:hAnsi="GHEA Grapalat" w:cs="Arial"/>
                <w:color w:val="auto"/>
                <w:sz w:val="20"/>
                <w:szCs w:val="20"/>
                <w:lang w:val="hy-AM"/>
              </w:rPr>
              <w:t>վերհանումը</w:t>
            </w:r>
            <w:proofErr w:type="spellEnd"/>
            <w:r w:rsidRPr="00127A4E">
              <w:rPr>
                <w:rFonts w:ascii="GHEA Grapalat" w:hAnsi="GHEA Grapalat" w:cs="Arial"/>
                <w:color w:val="auto"/>
                <w:sz w:val="20"/>
                <w:szCs w:val="20"/>
                <w:lang w:val="hy-AM"/>
              </w:rPr>
              <w:t>, դրանց ազդեցության գնահատումը և անհրաժեշտության դեպքում մեղմացման միջոցառումների մշակումը, այդ թվում` դրանց առնչվող ծախսերի գնահատումը.</w:t>
            </w:r>
          </w:p>
        </w:tc>
      </w:tr>
      <w:tr w:rsidR="00F10F9D" w:rsidRPr="006713A9" w14:paraId="652AB821" w14:textId="77777777" w:rsidTr="00DF6CF3">
        <w:trPr>
          <w:trHeight w:val="2915"/>
        </w:trPr>
        <w:tc>
          <w:tcPr>
            <w:tcW w:w="134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135572E"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t>Սոցիալական ազդեցություն</w:t>
            </w:r>
          </w:p>
        </w:tc>
        <w:tc>
          <w:tcPr>
            <w:tcW w:w="4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65E5A3A"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t>Ծրագրի սոցիալական ազդեցությունը, ներառյալ` հողի և վերաբնակեցման անհրաժեշտության վերլուծությունը` սահմանափակված հողի ձեռքբերման և վերաբնակեցման հետ կապված և ծրագրի իրականացմանը խոչընդոտող կամ լրացուցիչ ծախսեր առաջացնող խնդիրների վերհանմամբ, ծրագրի` գենդերային, համայնքների, տեղական զբաղվածության վրա ազդեցության վերլուծությունը` սահմանափակված ծրագրի իրականացման էական խնդիրներին անդրադարձով</w:t>
            </w:r>
            <w:r w:rsidRPr="00127A4E">
              <w:rPr>
                <w:rFonts w:ascii="MS Mincho" w:eastAsia="MS Mincho" w:hAnsi="MS Mincho" w:cs="MS Mincho" w:hint="eastAsia"/>
                <w:color w:val="auto"/>
                <w:sz w:val="20"/>
                <w:szCs w:val="20"/>
                <w:lang w:val="hy-AM"/>
              </w:rPr>
              <w:t>․</w:t>
            </w:r>
            <w:r w:rsidRPr="00127A4E">
              <w:rPr>
                <w:rFonts w:ascii="GHEA Grapalat" w:hAnsi="GHEA Grapalat" w:cs="Arial"/>
                <w:color w:val="auto"/>
                <w:sz w:val="20"/>
                <w:szCs w:val="20"/>
                <w:lang w:val="hy-AM"/>
              </w:rPr>
              <w:t xml:space="preserve"> </w:t>
            </w:r>
          </w:p>
        </w:tc>
        <w:tc>
          <w:tcPr>
            <w:tcW w:w="4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CB826BB"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t>Ծրագրի սոցիալական ազդեցությունը, ներառյալ`</w:t>
            </w:r>
          </w:p>
          <w:p w14:paraId="1FB2AE99"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t xml:space="preserve">- հողամասերի և վերաբնակեցման անհրաժեշտության վերլուծությունը` հիմք ընդունելով հողամասերի սեփականության իրավունքի ձեռքբերման գծով անհրաժեշտ և նախատեսվող ծախսերը, ինչպես նաև հանրության գերակա շահերի ապահովման նպատակով սեփականության օտարման </w:t>
            </w:r>
            <w:r w:rsidRPr="00127A4E">
              <w:rPr>
                <w:rFonts w:ascii="GHEA Grapalat" w:hAnsi="GHEA Grapalat" w:cs="Arial"/>
                <w:color w:val="auto"/>
                <w:sz w:val="20"/>
                <w:szCs w:val="20"/>
                <w:lang w:val="hy-AM"/>
              </w:rPr>
              <w:lastRenderedPageBreak/>
              <w:t>ընթացակարգերի կիրառման ծախսերը և ժամկետները.</w:t>
            </w:r>
          </w:p>
          <w:p w14:paraId="24E0F52E"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t>- ծրագրի` ժողովրդագրական, տեղական համայնքների, տեղական զբաղվածության վրա ազդեցության ամբողջական վերլուծություն.</w:t>
            </w:r>
          </w:p>
        </w:tc>
      </w:tr>
      <w:tr w:rsidR="00F10F9D" w:rsidRPr="006713A9" w14:paraId="4B392248" w14:textId="77777777" w:rsidTr="00DF6CF3">
        <w:trPr>
          <w:trHeight w:val="3935"/>
        </w:trPr>
        <w:tc>
          <w:tcPr>
            <w:tcW w:w="134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2E6C2B3"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lastRenderedPageBreak/>
              <w:t>Տնտեսական ազդեցություն</w:t>
            </w:r>
          </w:p>
        </w:tc>
        <w:tc>
          <w:tcPr>
            <w:tcW w:w="4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9C81867"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t>Ծրագրի տնտեսական ազդեցությունը, որը ծրագրի գործողության ողջ ժամանակահատվածում հասարակության համար դրա ընդհանուր տնտեսական ծախսերի և օգուտների գնահատումն է: Ծրագրի տնտեսական ազդեցության ուսումնասիրությունը ներառում է նախնական ՏՇՆԴ-ի հաշվարկման և դրա բազային դրույքի հետ համադրման միջոցով որոշվող ծրագրի տնտեսական կենսունակության գնահատումը, ֆիզիկական ենթակառուցվածքների և շահագործման գծով ծախսերը` հաշվարկված՝ ըստ մոտավոր արժեքների,     սոցիալական ծախսերը և օգուտները` ըստ շահառուների մոտավոր թվով հաշվարկված ազգային միջին արժեքների.</w:t>
            </w:r>
          </w:p>
        </w:tc>
        <w:tc>
          <w:tcPr>
            <w:tcW w:w="4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C5D1D47"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t>Ծրագրի տնտեսական ազդեցությունը, որը ծրագրի գործողության ողջ ժամանակահատվածում հասարակության համար դրա ընդհանուր տնտեսական ծախսերի և օգուտների գնահատումն է: Սոցիալական ծախսերը և օգուտները` ըստ շահառուների ճշգրիտ թվով հաշվարկված ազգային կամ տարածաշրջանային միջին արժեքների.</w:t>
            </w:r>
          </w:p>
        </w:tc>
      </w:tr>
      <w:tr w:rsidR="00F10F9D" w:rsidRPr="00127A4E" w14:paraId="492E7D34" w14:textId="77777777" w:rsidTr="00DF6CF3">
        <w:trPr>
          <w:trHeight w:val="4790"/>
        </w:trPr>
        <w:tc>
          <w:tcPr>
            <w:tcW w:w="134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9E4F6CD"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lastRenderedPageBreak/>
              <w:t>Կապիտալ ծախսեր</w:t>
            </w:r>
          </w:p>
        </w:tc>
        <w:tc>
          <w:tcPr>
            <w:tcW w:w="4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FDCFDBA"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t>Ծրագրի ծախսերը գնահատվում են՝ հիմք ընդունելով ծրագրի ընդհանրական նախագիծը և դրանց առկայության դեպքում հնարավոր առանձնահատկությունները</w:t>
            </w:r>
            <w:r w:rsidRPr="00127A4E">
              <w:rPr>
                <w:rFonts w:ascii="MS Mincho" w:eastAsia="MS Mincho" w:hAnsi="MS Mincho" w:cs="MS Mincho" w:hint="eastAsia"/>
                <w:color w:val="auto"/>
                <w:sz w:val="20"/>
                <w:szCs w:val="20"/>
                <w:lang w:val="hy-AM"/>
              </w:rPr>
              <w:t>․</w:t>
            </w:r>
          </w:p>
          <w:p w14:paraId="2BFE8796"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t xml:space="preserve">Ծրագրի հետ կապված շինարարության, սարքավորումների և անհրաժեշտ հողամասերի գծով ծախսերի </w:t>
            </w:r>
            <w:proofErr w:type="spellStart"/>
            <w:r w:rsidRPr="00127A4E">
              <w:rPr>
                <w:rFonts w:ascii="GHEA Grapalat" w:hAnsi="GHEA Grapalat" w:cs="Arial"/>
                <w:color w:val="auto"/>
                <w:sz w:val="20"/>
                <w:szCs w:val="20"/>
                <w:lang w:val="hy-AM"/>
              </w:rPr>
              <w:t>մոտարկված</w:t>
            </w:r>
            <w:proofErr w:type="spellEnd"/>
            <w:r w:rsidRPr="00127A4E">
              <w:rPr>
                <w:rFonts w:ascii="GHEA Grapalat" w:hAnsi="GHEA Grapalat" w:cs="Arial"/>
                <w:color w:val="auto"/>
                <w:sz w:val="20"/>
                <w:szCs w:val="20"/>
                <w:lang w:val="hy-AM"/>
              </w:rPr>
              <w:t xml:space="preserve"> գնահատում՝ մոտավոր քանակների և </w:t>
            </w:r>
            <w:proofErr w:type="spellStart"/>
            <w:r w:rsidRPr="00127A4E">
              <w:rPr>
                <w:rFonts w:ascii="GHEA Grapalat" w:hAnsi="GHEA Grapalat" w:cs="Arial"/>
                <w:color w:val="auto"/>
                <w:sz w:val="20"/>
                <w:szCs w:val="20"/>
                <w:lang w:val="hy-AM"/>
              </w:rPr>
              <w:t>ուղենիշային</w:t>
            </w:r>
            <w:proofErr w:type="spellEnd"/>
            <w:r w:rsidRPr="00127A4E">
              <w:rPr>
                <w:rFonts w:ascii="GHEA Grapalat" w:hAnsi="GHEA Grapalat" w:cs="Arial"/>
                <w:color w:val="auto"/>
                <w:sz w:val="20"/>
                <w:szCs w:val="20"/>
                <w:lang w:val="hy-AM"/>
              </w:rPr>
              <w:t xml:space="preserve"> ծախսերի </w:t>
            </w:r>
            <w:proofErr w:type="spellStart"/>
            <w:r w:rsidRPr="00127A4E">
              <w:rPr>
                <w:rFonts w:ascii="GHEA Grapalat" w:hAnsi="GHEA Grapalat" w:cs="Arial"/>
                <w:color w:val="auto"/>
                <w:sz w:val="20"/>
                <w:szCs w:val="20"/>
                <w:lang w:val="hy-AM"/>
              </w:rPr>
              <w:t>կիրառությամբ</w:t>
            </w:r>
            <w:proofErr w:type="spellEnd"/>
          </w:p>
          <w:p w14:paraId="5EA4561D"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t>- +/-30% - 50% ճշգրտություն</w:t>
            </w:r>
          </w:p>
        </w:tc>
        <w:tc>
          <w:tcPr>
            <w:tcW w:w="4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1888175" w14:textId="77777777" w:rsidR="00F10F9D" w:rsidRPr="00127A4E" w:rsidRDefault="00F10F9D" w:rsidP="00F10F9D">
            <w:pPr>
              <w:rPr>
                <w:rFonts w:ascii="GHEA Grapalat" w:hAnsi="GHEA Grapalat" w:cs="Arial"/>
                <w:color w:val="auto"/>
                <w:sz w:val="20"/>
                <w:szCs w:val="20"/>
                <w:lang w:val="hy-AM"/>
              </w:rPr>
            </w:pPr>
            <w:r w:rsidRPr="00127A4E">
              <w:rPr>
                <w:rFonts w:ascii="GHEA Grapalat" w:hAnsi="GHEA Grapalat" w:cs="Arial"/>
                <w:color w:val="auto"/>
                <w:sz w:val="20"/>
                <w:szCs w:val="20"/>
                <w:lang w:val="hy-AM"/>
              </w:rPr>
              <w:t>Ծրագրի տեխնիկական գնահատումը     և կապիտալ ծախսերը հաշվարկվում են` հիմք ընդունելով կառուցվող ենթակառուցվածքների ֆիզիկական բնութագրերի կամ    առկա ենթակառուցվածքների ամբողջական ուսումնասիրությունը</w:t>
            </w:r>
            <w:r w:rsidRPr="00127A4E">
              <w:rPr>
                <w:rFonts w:ascii="MS Mincho" w:eastAsia="MS Mincho" w:hAnsi="MS Mincho" w:cs="MS Mincho" w:hint="eastAsia"/>
                <w:color w:val="auto"/>
                <w:sz w:val="20"/>
                <w:szCs w:val="20"/>
                <w:lang w:val="hy-AM"/>
              </w:rPr>
              <w:t>․</w:t>
            </w:r>
          </w:p>
          <w:p w14:paraId="4CDB470F" w14:textId="77777777" w:rsidR="00F10F9D" w:rsidRPr="00127A4E" w:rsidRDefault="00F10F9D" w:rsidP="00DF6CF3">
            <w:pPr>
              <w:spacing w:before="200" w:after="0" w:line="360" w:lineRule="auto"/>
              <w:rPr>
                <w:rFonts w:ascii="GHEA Grapalat" w:hAnsi="GHEA Grapalat" w:cs="Arial"/>
                <w:color w:val="auto"/>
                <w:sz w:val="20"/>
                <w:szCs w:val="20"/>
                <w:lang w:val="hy-AM"/>
              </w:rPr>
            </w:pPr>
            <w:proofErr w:type="spellStart"/>
            <w:r w:rsidRPr="00127A4E">
              <w:rPr>
                <w:rFonts w:ascii="GHEA Grapalat" w:hAnsi="GHEA Grapalat" w:cs="Arial"/>
                <w:color w:val="auto"/>
                <w:sz w:val="20"/>
                <w:szCs w:val="20"/>
                <w:lang w:val="hy-AM"/>
              </w:rPr>
              <w:t>նախագծահաշվային</w:t>
            </w:r>
            <w:proofErr w:type="spellEnd"/>
            <w:r w:rsidRPr="00127A4E">
              <w:rPr>
                <w:rFonts w:ascii="GHEA Grapalat" w:hAnsi="GHEA Grapalat" w:cs="Arial"/>
                <w:color w:val="auto"/>
                <w:sz w:val="20"/>
                <w:szCs w:val="20"/>
                <w:lang w:val="hy-AM"/>
              </w:rPr>
              <w:t xml:space="preserve"> փաստաթղթեր</w:t>
            </w:r>
          </w:p>
          <w:p w14:paraId="1341F753"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t>սարքավորումների մատակարարների գնային առաջարկներ</w:t>
            </w:r>
          </w:p>
          <w:p w14:paraId="64B9DBB4"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t>- +/-10% -15% ճշգրտություն</w:t>
            </w:r>
          </w:p>
        </w:tc>
      </w:tr>
      <w:tr w:rsidR="00F10F9D" w:rsidRPr="00127A4E" w14:paraId="49999D90" w14:textId="77777777" w:rsidTr="00DF6CF3">
        <w:trPr>
          <w:trHeight w:val="1220"/>
        </w:trPr>
        <w:tc>
          <w:tcPr>
            <w:tcW w:w="134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786148D"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t>Շահագործման և պահպանման ծախսեր</w:t>
            </w:r>
          </w:p>
        </w:tc>
        <w:tc>
          <w:tcPr>
            <w:tcW w:w="4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DCF24D7"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t>Շահագործման, պահպանման, վարչական, ծառայությունների մատուցման ծախսերի նախնական գնահատականներ՝ հիմնված են համանման ծրագրերի ծախսերի, աշխատակիցների թվի ենթադրությունների  վրա</w:t>
            </w:r>
          </w:p>
        </w:tc>
        <w:tc>
          <w:tcPr>
            <w:tcW w:w="4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EC507BF"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t xml:space="preserve">- Շահագործման ծախսերի ամբողջական գնահատում </w:t>
            </w:r>
          </w:p>
          <w:p w14:paraId="47C71AB4"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t xml:space="preserve">- Հաստիքացուցակ </w:t>
            </w:r>
          </w:p>
          <w:p w14:paraId="3C584FF2"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t xml:space="preserve">- Պահպանման ծախսեր, կոմունալ ծախսեր </w:t>
            </w:r>
          </w:p>
          <w:p w14:paraId="22FFC79D"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t>- Չնախատեսված ծախսերի ենթադրություններ</w:t>
            </w:r>
          </w:p>
        </w:tc>
      </w:tr>
      <w:tr w:rsidR="00F10F9D" w:rsidRPr="006713A9" w14:paraId="04F01119" w14:textId="77777777" w:rsidTr="00DF6CF3">
        <w:trPr>
          <w:trHeight w:val="875"/>
        </w:trPr>
        <w:tc>
          <w:tcPr>
            <w:tcW w:w="134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53E7AC0"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t>Կատարողական չափանիշներ</w:t>
            </w:r>
          </w:p>
        </w:tc>
        <w:tc>
          <w:tcPr>
            <w:tcW w:w="4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8F7DEA1" w14:textId="77777777" w:rsidR="00F10F9D" w:rsidRPr="00127A4E" w:rsidRDefault="00F10F9D" w:rsidP="00DF6CF3">
            <w:pPr>
              <w:spacing w:before="200" w:after="0" w:line="360" w:lineRule="auto"/>
              <w:rPr>
                <w:rFonts w:ascii="GHEA Grapalat" w:hAnsi="GHEA Grapalat" w:cs="Arial"/>
                <w:color w:val="auto"/>
                <w:sz w:val="20"/>
                <w:szCs w:val="20"/>
                <w:lang w:val="hy-AM"/>
              </w:rPr>
            </w:pPr>
          </w:p>
        </w:tc>
        <w:tc>
          <w:tcPr>
            <w:tcW w:w="4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824C040"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t>սահմանվում են ենթակառուցվածքի տեխնիկական կատարողական նվազագույն ստանդարտները և ցուցանիշները</w:t>
            </w:r>
            <w:r w:rsidRPr="00127A4E">
              <w:rPr>
                <w:rFonts w:ascii="MS Mincho" w:eastAsia="MS Mincho" w:hAnsi="MS Mincho" w:cs="MS Mincho" w:hint="eastAsia"/>
                <w:color w:val="auto"/>
                <w:sz w:val="20"/>
                <w:szCs w:val="20"/>
                <w:lang w:val="hy-AM"/>
              </w:rPr>
              <w:t>․</w:t>
            </w:r>
            <w:r w:rsidRPr="00127A4E">
              <w:rPr>
                <w:rFonts w:ascii="GHEA Grapalat" w:hAnsi="GHEA Grapalat" w:cs="Arial"/>
                <w:color w:val="auto"/>
                <w:sz w:val="20"/>
                <w:szCs w:val="20"/>
                <w:lang w:val="hy-AM"/>
              </w:rPr>
              <w:t xml:space="preserve"> </w:t>
            </w:r>
          </w:p>
        </w:tc>
      </w:tr>
      <w:tr w:rsidR="00F10F9D" w:rsidRPr="006713A9" w14:paraId="6990C037" w14:textId="77777777" w:rsidTr="00DF6CF3">
        <w:trPr>
          <w:trHeight w:val="2585"/>
        </w:trPr>
        <w:tc>
          <w:tcPr>
            <w:tcW w:w="134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8CCA841"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lastRenderedPageBreak/>
              <w:t xml:space="preserve">Իրավական և կարգավորող շրջանակ </w:t>
            </w:r>
          </w:p>
        </w:tc>
        <w:tc>
          <w:tcPr>
            <w:tcW w:w="4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E5F739F"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t>- կիրառելի իրավական շրջանակի նկարագրություն</w:t>
            </w:r>
          </w:p>
          <w:p w14:paraId="1EE36278"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t xml:space="preserve">- անհրաժեշտ թույլտվությունների և լիցենզիաների ամփոփ նկարագիր </w:t>
            </w:r>
          </w:p>
          <w:p w14:paraId="144568EB"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t xml:space="preserve">- հնարավոր իրավական խոչընդոտների հատկորոշում </w:t>
            </w:r>
          </w:p>
        </w:tc>
        <w:tc>
          <w:tcPr>
            <w:tcW w:w="4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5D6B23F"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t>- ընդլայնված իրավական պատշաճ ուսումնասիրություն (</w:t>
            </w:r>
            <w:proofErr w:type="spellStart"/>
            <w:r w:rsidRPr="00127A4E">
              <w:rPr>
                <w:rFonts w:ascii="GHEA Grapalat" w:hAnsi="GHEA Grapalat" w:cs="Arial"/>
                <w:color w:val="auto"/>
                <w:sz w:val="20"/>
                <w:szCs w:val="20"/>
                <w:lang w:val="hy-AM"/>
              </w:rPr>
              <w:t>due</w:t>
            </w:r>
            <w:proofErr w:type="spellEnd"/>
            <w:r w:rsidRPr="00127A4E">
              <w:rPr>
                <w:rFonts w:ascii="GHEA Grapalat" w:hAnsi="GHEA Grapalat" w:cs="Arial"/>
                <w:color w:val="auto"/>
                <w:sz w:val="20"/>
                <w:szCs w:val="20"/>
                <w:lang w:val="hy-AM"/>
              </w:rPr>
              <w:t xml:space="preserve"> </w:t>
            </w:r>
            <w:proofErr w:type="spellStart"/>
            <w:r w:rsidRPr="00127A4E">
              <w:rPr>
                <w:rFonts w:ascii="GHEA Grapalat" w:hAnsi="GHEA Grapalat" w:cs="Arial"/>
                <w:color w:val="auto"/>
                <w:sz w:val="20"/>
                <w:szCs w:val="20"/>
                <w:lang w:val="hy-AM"/>
              </w:rPr>
              <w:t>diligence</w:t>
            </w:r>
            <w:proofErr w:type="spellEnd"/>
            <w:r w:rsidRPr="00127A4E">
              <w:rPr>
                <w:rFonts w:ascii="GHEA Grapalat" w:hAnsi="GHEA Grapalat" w:cs="Arial"/>
                <w:color w:val="auto"/>
                <w:sz w:val="20"/>
                <w:szCs w:val="20"/>
                <w:lang w:val="hy-AM"/>
              </w:rPr>
              <w:t>)</w:t>
            </w:r>
          </w:p>
          <w:p w14:paraId="5881018A"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t>- Իրավական ռիսկերի գնահատում</w:t>
            </w:r>
          </w:p>
          <w:p w14:paraId="6824DF20"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t xml:space="preserve">- </w:t>
            </w:r>
            <w:proofErr w:type="spellStart"/>
            <w:r w:rsidRPr="00127A4E">
              <w:rPr>
                <w:rFonts w:ascii="GHEA Grapalat" w:hAnsi="GHEA Grapalat" w:cs="Arial"/>
                <w:color w:val="auto"/>
                <w:sz w:val="20"/>
                <w:szCs w:val="20"/>
                <w:lang w:val="hy-AM"/>
              </w:rPr>
              <w:t>ենթակապալառուների</w:t>
            </w:r>
            <w:proofErr w:type="spellEnd"/>
            <w:r w:rsidRPr="00127A4E">
              <w:rPr>
                <w:rFonts w:ascii="GHEA Grapalat" w:hAnsi="GHEA Grapalat" w:cs="Arial"/>
                <w:color w:val="auto"/>
                <w:sz w:val="20"/>
                <w:szCs w:val="20"/>
                <w:lang w:val="hy-AM"/>
              </w:rPr>
              <w:t xml:space="preserve"> հետ հնարավոր պայմանագրային շրջանակի նկարագրություն  </w:t>
            </w:r>
          </w:p>
        </w:tc>
      </w:tr>
      <w:tr w:rsidR="00F10F9D" w:rsidRPr="006713A9" w14:paraId="1CF5D366" w14:textId="77777777" w:rsidTr="00DF6CF3">
        <w:trPr>
          <w:trHeight w:val="2585"/>
        </w:trPr>
        <w:tc>
          <w:tcPr>
            <w:tcW w:w="134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12AE5E7"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t xml:space="preserve"> Ինստիտուցիոնալ լուծում</w:t>
            </w:r>
          </w:p>
        </w:tc>
        <w:tc>
          <w:tcPr>
            <w:tcW w:w="4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5C2CCA7"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t xml:space="preserve">- ծրագրի իրականացման ինստիտուցիոնալ լուծումների ամփոփ նկարագրություն </w:t>
            </w:r>
          </w:p>
          <w:p w14:paraId="6D31CE59"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t xml:space="preserve">- դերերի և պարտավորությունների ընդհանրական բաշխում </w:t>
            </w:r>
          </w:p>
          <w:p w14:paraId="2AC62891"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t>- կարողությունների բացերի դուրս բերում</w:t>
            </w:r>
          </w:p>
        </w:tc>
        <w:tc>
          <w:tcPr>
            <w:tcW w:w="4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F0EFC73"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t xml:space="preserve">- մանրամասն ինստիտուցիոնալ վերլուծություն </w:t>
            </w:r>
          </w:p>
          <w:p w14:paraId="4CF77CFA"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t xml:space="preserve">- կառավարման կառուցվածք </w:t>
            </w:r>
          </w:p>
          <w:p w14:paraId="4D825B4F"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t>- կարողությունների բաշխում, առկա բացերի լրացման եղանակների նկարագրություն</w:t>
            </w:r>
          </w:p>
        </w:tc>
      </w:tr>
      <w:tr w:rsidR="00F10F9D" w:rsidRPr="006713A9" w14:paraId="27C52526" w14:textId="77777777" w:rsidTr="00DF6CF3">
        <w:trPr>
          <w:trHeight w:val="3030"/>
        </w:trPr>
        <w:tc>
          <w:tcPr>
            <w:tcW w:w="134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DBBA089"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t xml:space="preserve">Հողամասեր </w:t>
            </w:r>
          </w:p>
        </w:tc>
        <w:tc>
          <w:tcPr>
            <w:tcW w:w="4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20A6F40"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t>Ծրագրի իրականացման համար անհրաժեշտ հողամասերի գծով ծախսերը    հաշվարկվում են` հիմք ընդունելով հողամասի մակերեսը և համադրելի տեղեկությամբ/ տվյալներով ստացված արժեքները.</w:t>
            </w:r>
          </w:p>
        </w:tc>
        <w:tc>
          <w:tcPr>
            <w:tcW w:w="4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55ACF08"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t>Հողամասերի անհրաժեշտությունը և առկայությունը՝ հիմք ընդունելով կարիքների ամբողջական գնահատումը, հողամասերի ձեռքբերման ծրագիրը և ծախսերի համապատասխանությունը շուկայական գներին</w:t>
            </w:r>
            <w:r w:rsidRPr="00127A4E">
              <w:rPr>
                <w:rFonts w:ascii="MS Mincho" w:eastAsia="MS Mincho" w:hAnsi="MS Mincho" w:cs="MS Mincho" w:hint="eastAsia"/>
                <w:color w:val="auto"/>
                <w:sz w:val="20"/>
                <w:szCs w:val="20"/>
                <w:lang w:val="hy-AM"/>
              </w:rPr>
              <w:t>․</w:t>
            </w:r>
          </w:p>
        </w:tc>
      </w:tr>
      <w:tr w:rsidR="00F10F9D" w:rsidRPr="006713A9" w14:paraId="24476E4E" w14:textId="77777777" w:rsidTr="00DF6CF3">
        <w:trPr>
          <w:trHeight w:val="1220"/>
        </w:trPr>
        <w:tc>
          <w:tcPr>
            <w:tcW w:w="134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12EE1F8"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t>Պահանջարկ</w:t>
            </w:r>
          </w:p>
        </w:tc>
        <w:tc>
          <w:tcPr>
            <w:tcW w:w="4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E9FC5A8"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t xml:space="preserve">Վերջնական սպառողների կողմից հնարավոր պահանջարկը և դրա կարողությունը՝ նպաստելու հնարավոր ծրագրի տնտեսական և ֆինանսական իրագործելիությանը, որում` </w:t>
            </w:r>
          </w:p>
          <w:p w14:paraId="226E7A5A"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lastRenderedPageBreak/>
              <w:t xml:space="preserve">- </w:t>
            </w:r>
            <w:proofErr w:type="spellStart"/>
            <w:r w:rsidRPr="00127A4E">
              <w:rPr>
                <w:rFonts w:ascii="GHEA Grapalat" w:hAnsi="GHEA Grapalat" w:cs="Arial"/>
                <w:color w:val="auto"/>
                <w:sz w:val="20"/>
                <w:szCs w:val="20"/>
                <w:lang w:val="hy-AM"/>
              </w:rPr>
              <w:t>մակրո</w:t>
            </w:r>
            <w:proofErr w:type="spellEnd"/>
            <w:r w:rsidRPr="00127A4E">
              <w:rPr>
                <w:rFonts w:ascii="GHEA Grapalat" w:hAnsi="GHEA Grapalat" w:cs="Arial"/>
                <w:color w:val="auto"/>
                <w:sz w:val="20"/>
                <w:szCs w:val="20"/>
                <w:lang w:val="hy-AM"/>
              </w:rPr>
              <w:t xml:space="preserve"> մակարդակով շուկայի գնահատում </w:t>
            </w:r>
          </w:p>
          <w:p w14:paraId="03588AA4"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t xml:space="preserve">- հասանելի տվյալների վրա պահանջարկի և դրա աճի կանխատեսում </w:t>
            </w:r>
          </w:p>
          <w:p w14:paraId="76CB750A"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t xml:space="preserve">- առկայության դեպքում համանման ծրագրերի </w:t>
            </w:r>
            <w:proofErr w:type="spellStart"/>
            <w:r w:rsidRPr="00127A4E">
              <w:rPr>
                <w:rFonts w:ascii="GHEA Grapalat" w:hAnsi="GHEA Grapalat" w:cs="Arial"/>
                <w:color w:val="auto"/>
                <w:sz w:val="20"/>
                <w:szCs w:val="20"/>
                <w:lang w:val="hy-AM"/>
              </w:rPr>
              <w:t>բենչմարքինգ</w:t>
            </w:r>
            <w:proofErr w:type="spellEnd"/>
          </w:p>
          <w:p w14:paraId="7655FB10"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t>- պահանջարկի վրա ազդող հիմնական գործոնների նկարագրություն</w:t>
            </w:r>
          </w:p>
          <w:p w14:paraId="5B8D8D85"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t>-պահանջարկի աճի գնահատումը հիմնվում է  նմանատիպ ենթակառուցվածքների մասով ընդհանուր միջին արժեքների վրա</w:t>
            </w:r>
          </w:p>
        </w:tc>
        <w:tc>
          <w:tcPr>
            <w:tcW w:w="4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07B1921"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lastRenderedPageBreak/>
              <w:t xml:space="preserve">Վերջնական     սպառողների կողմից հնարավոր պահանջարկը (այդ թվում՝ ծրագրի պահանջարկի վերաբերյալ առաջնային հարցումները   ) և դրա կարողությունը՝ նպաստելու ծրագրի </w:t>
            </w:r>
            <w:r w:rsidRPr="00127A4E">
              <w:rPr>
                <w:rFonts w:ascii="GHEA Grapalat" w:hAnsi="GHEA Grapalat" w:cs="Arial"/>
                <w:color w:val="auto"/>
                <w:sz w:val="20"/>
                <w:szCs w:val="20"/>
                <w:lang w:val="hy-AM"/>
              </w:rPr>
              <w:lastRenderedPageBreak/>
              <w:t xml:space="preserve">տնտեսական և ֆինանսական իրագործելիությանը, որում` </w:t>
            </w:r>
          </w:p>
          <w:p w14:paraId="6D8003D1"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t xml:space="preserve">- շուկայի ամբողջական տվյալներ առաջնային աղբյուրներից </w:t>
            </w:r>
          </w:p>
          <w:p w14:paraId="631F5A4A"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t xml:space="preserve">- պահանջարկի </w:t>
            </w:r>
            <w:proofErr w:type="spellStart"/>
            <w:r w:rsidRPr="00127A4E">
              <w:rPr>
                <w:rFonts w:ascii="GHEA Grapalat" w:hAnsi="GHEA Grapalat" w:cs="Arial"/>
                <w:color w:val="auto"/>
                <w:sz w:val="20"/>
                <w:szCs w:val="20"/>
                <w:lang w:val="hy-AM"/>
              </w:rPr>
              <w:t>սեգմենտավորում</w:t>
            </w:r>
            <w:proofErr w:type="spellEnd"/>
            <w:r w:rsidRPr="00127A4E">
              <w:rPr>
                <w:rFonts w:ascii="GHEA Grapalat" w:hAnsi="GHEA Grapalat" w:cs="Arial"/>
                <w:color w:val="auto"/>
                <w:sz w:val="20"/>
                <w:szCs w:val="20"/>
                <w:lang w:val="hy-AM"/>
              </w:rPr>
              <w:t xml:space="preserve"> (ըստ տեսակի, </w:t>
            </w:r>
            <w:proofErr w:type="spellStart"/>
            <w:r w:rsidRPr="00127A4E">
              <w:rPr>
                <w:rFonts w:ascii="GHEA Grapalat" w:hAnsi="GHEA Grapalat" w:cs="Arial"/>
                <w:color w:val="auto"/>
                <w:sz w:val="20"/>
                <w:szCs w:val="20"/>
                <w:lang w:val="hy-AM"/>
              </w:rPr>
              <w:t>աշխարհրագրական</w:t>
            </w:r>
            <w:proofErr w:type="spellEnd"/>
            <w:r w:rsidRPr="00127A4E">
              <w:rPr>
                <w:rFonts w:ascii="GHEA Grapalat" w:hAnsi="GHEA Grapalat" w:cs="Arial"/>
                <w:color w:val="auto"/>
                <w:sz w:val="20"/>
                <w:szCs w:val="20"/>
                <w:lang w:val="hy-AM"/>
              </w:rPr>
              <w:t>, սեզոնային և այլ)</w:t>
            </w:r>
          </w:p>
          <w:p w14:paraId="44D7C257"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t xml:space="preserve">- պահանջարկի կանխատեսման մի քանի սցենարներ և </w:t>
            </w:r>
            <w:proofErr w:type="spellStart"/>
            <w:r w:rsidRPr="00127A4E">
              <w:rPr>
                <w:rFonts w:ascii="GHEA Grapalat" w:hAnsi="GHEA Grapalat" w:cs="Arial"/>
                <w:color w:val="auto"/>
                <w:sz w:val="20"/>
                <w:szCs w:val="20"/>
                <w:lang w:val="hy-AM"/>
              </w:rPr>
              <w:t>զգայությության</w:t>
            </w:r>
            <w:proofErr w:type="spellEnd"/>
            <w:r w:rsidRPr="00127A4E">
              <w:rPr>
                <w:rFonts w:ascii="GHEA Grapalat" w:hAnsi="GHEA Grapalat" w:cs="Arial"/>
                <w:color w:val="auto"/>
                <w:sz w:val="20"/>
                <w:szCs w:val="20"/>
                <w:lang w:val="hy-AM"/>
              </w:rPr>
              <w:t xml:space="preserve"> վերլուծություն</w:t>
            </w:r>
          </w:p>
        </w:tc>
      </w:tr>
      <w:tr w:rsidR="00F10F9D" w:rsidRPr="006713A9" w14:paraId="5FCDC0CA" w14:textId="77777777" w:rsidTr="00DF6CF3">
        <w:trPr>
          <w:trHeight w:val="2240"/>
        </w:trPr>
        <w:tc>
          <w:tcPr>
            <w:tcW w:w="134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35F72FC" w14:textId="77777777" w:rsidR="00F10F9D" w:rsidRPr="00127A4E" w:rsidRDefault="00F10F9D" w:rsidP="00DF6CF3">
            <w:pPr>
              <w:spacing w:before="200" w:after="0" w:line="360" w:lineRule="auto"/>
              <w:rPr>
                <w:rFonts w:ascii="GHEA Grapalat" w:hAnsi="GHEA Grapalat" w:cs="Arial"/>
                <w:color w:val="auto"/>
                <w:sz w:val="20"/>
                <w:szCs w:val="20"/>
                <w:lang w:val="hy-AM"/>
              </w:rPr>
            </w:pPr>
            <w:proofErr w:type="spellStart"/>
            <w:r w:rsidRPr="00127A4E">
              <w:rPr>
                <w:rFonts w:ascii="GHEA Grapalat" w:hAnsi="GHEA Grapalat" w:cs="Arial"/>
                <w:color w:val="auto"/>
                <w:sz w:val="20"/>
                <w:szCs w:val="20"/>
                <w:lang w:val="hy-AM"/>
              </w:rPr>
              <w:lastRenderedPageBreak/>
              <w:t>Ռիսկեր</w:t>
            </w:r>
            <w:proofErr w:type="spellEnd"/>
          </w:p>
        </w:tc>
        <w:tc>
          <w:tcPr>
            <w:tcW w:w="4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FCB26C7"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t>Ծրագրի ռիսկերի վերլուծությունը հիմնվում է ծրագրի նախնական տեխնիկատնտեսական հիմնավորման պահին առկա ամբողջ տեղեկատվության վրա</w:t>
            </w:r>
          </w:p>
        </w:tc>
        <w:tc>
          <w:tcPr>
            <w:tcW w:w="4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F9B9C74"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t>Ծրագրի ռիսկերի վերլուծությունը, ինչն ընդգրկում է տեխնիկատնտեսական ուսումնասիրության բոլոր բաժիններում ներկայացված ռիսկերի լիարժեք վերլուծությունների հիման վրա ռիսկերի հստակ նկարագրությունը, դրանց կառավարման մոտեցումները.</w:t>
            </w:r>
          </w:p>
        </w:tc>
      </w:tr>
      <w:tr w:rsidR="00F10F9D" w:rsidRPr="006713A9" w14:paraId="2A127160" w14:textId="77777777" w:rsidTr="00DF6CF3">
        <w:trPr>
          <w:trHeight w:val="2585"/>
        </w:trPr>
        <w:tc>
          <w:tcPr>
            <w:tcW w:w="134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369FD7D"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lastRenderedPageBreak/>
              <w:t xml:space="preserve">Ծրագրի ֆինանսական վերլուծություն </w:t>
            </w:r>
          </w:p>
        </w:tc>
        <w:tc>
          <w:tcPr>
            <w:tcW w:w="4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42EAB22"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t xml:space="preserve">Ծրագրի իրականացման ֆինանսական կենսունակության վերլուծություն՝ հնարավոր եկամուտների և ծախսերի նկարագրություն </w:t>
            </w:r>
          </w:p>
        </w:tc>
        <w:tc>
          <w:tcPr>
            <w:tcW w:w="4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D68019B"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t>Ծրագրի եկամուտների և ծախսերի, ֆինանսավորման աղբյուրների մանրամասն վերլուծություն։</w:t>
            </w:r>
          </w:p>
        </w:tc>
      </w:tr>
      <w:tr w:rsidR="00F10F9D" w:rsidRPr="006713A9" w14:paraId="408B7EE7" w14:textId="77777777" w:rsidTr="00DF6CF3">
        <w:trPr>
          <w:trHeight w:val="1895"/>
        </w:trPr>
        <w:tc>
          <w:tcPr>
            <w:tcW w:w="134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0943017"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t xml:space="preserve">Հնարավոր խոչընդոտներ </w:t>
            </w:r>
          </w:p>
        </w:tc>
        <w:tc>
          <w:tcPr>
            <w:tcW w:w="4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005AF61"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t>Հնարավոր խնդիրները, որոնք կարող են խոչընդոտել ծրագրի իրականացմանը, այդ թվում՝ էական բնապահպանական խնդիրները, պատմական գտածոների հետ կապված խնդիրները, համայնքի էական դիմադրությունը, լիազոր մարմնի կողմից վերհանվող հարկաբյուջետային ու ֆիսկալ կայունության ապահովման խնդիրները    և այլն.</w:t>
            </w:r>
          </w:p>
        </w:tc>
        <w:tc>
          <w:tcPr>
            <w:tcW w:w="4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52611F4" w14:textId="77777777" w:rsidR="00F10F9D" w:rsidRPr="00127A4E" w:rsidRDefault="00F10F9D" w:rsidP="00DF6CF3">
            <w:pPr>
              <w:spacing w:before="200" w:after="0" w:line="360" w:lineRule="auto"/>
              <w:rPr>
                <w:rFonts w:ascii="GHEA Grapalat" w:hAnsi="GHEA Grapalat" w:cs="Arial"/>
                <w:color w:val="auto"/>
                <w:sz w:val="20"/>
                <w:szCs w:val="20"/>
                <w:lang w:val="hy-AM"/>
              </w:rPr>
            </w:pPr>
          </w:p>
        </w:tc>
      </w:tr>
      <w:tr w:rsidR="00F10F9D" w:rsidRPr="00127A4E" w14:paraId="68D99098" w14:textId="77777777" w:rsidTr="00DF6CF3">
        <w:trPr>
          <w:trHeight w:val="1565"/>
        </w:trPr>
        <w:tc>
          <w:tcPr>
            <w:tcW w:w="134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29045C6"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t>Ժամանակացույց</w:t>
            </w:r>
          </w:p>
        </w:tc>
        <w:tc>
          <w:tcPr>
            <w:tcW w:w="4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3D19F50"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t>Իրագործման նախնական ժամանակացույց</w:t>
            </w:r>
          </w:p>
        </w:tc>
        <w:tc>
          <w:tcPr>
            <w:tcW w:w="4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BD98680"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t>- Մանրամասն իրագործման ժամանակացույց</w:t>
            </w:r>
          </w:p>
          <w:p w14:paraId="33098616"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t>- Ծրագրի առանցքային կատարողական փուլերը</w:t>
            </w:r>
          </w:p>
          <w:p w14:paraId="0F69CC91" w14:textId="77777777" w:rsidR="00F10F9D" w:rsidRPr="00127A4E" w:rsidRDefault="00F10F9D" w:rsidP="00DF6CF3">
            <w:pPr>
              <w:spacing w:before="200" w:after="0" w:line="360" w:lineRule="auto"/>
              <w:rPr>
                <w:rFonts w:ascii="GHEA Grapalat" w:hAnsi="GHEA Grapalat" w:cs="Arial"/>
                <w:color w:val="auto"/>
                <w:sz w:val="20"/>
                <w:szCs w:val="20"/>
                <w:lang w:val="hy-AM"/>
              </w:rPr>
            </w:pPr>
            <w:r w:rsidRPr="00127A4E">
              <w:rPr>
                <w:rFonts w:ascii="GHEA Grapalat" w:hAnsi="GHEA Grapalat" w:cs="Arial"/>
                <w:color w:val="auto"/>
                <w:sz w:val="20"/>
                <w:szCs w:val="20"/>
                <w:lang w:val="hy-AM"/>
              </w:rPr>
              <w:t>- Գնումների ռազմավարություն և պլան</w:t>
            </w:r>
          </w:p>
        </w:tc>
      </w:tr>
    </w:tbl>
    <w:p w14:paraId="25616318" w14:textId="77777777" w:rsidR="00F10F9D" w:rsidRPr="00127A4E" w:rsidRDefault="00F10F9D" w:rsidP="00F10F9D">
      <w:pPr>
        <w:spacing w:before="200" w:after="0" w:line="360" w:lineRule="auto"/>
        <w:rPr>
          <w:rFonts w:ascii="GHEA Grapalat" w:hAnsi="GHEA Grapalat" w:cs="Arial"/>
          <w:color w:val="auto"/>
          <w:sz w:val="20"/>
          <w:szCs w:val="20"/>
          <w:lang w:val="hy-AM"/>
        </w:rPr>
      </w:pPr>
    </w:p>
    <w:p w14:paraId="242357E0" w14:textId="77777777" w:rsidR="00F10F9D" w:rsidRPr="00127A4E" w:rsidRDefault="00F10F9D" w:rsidP="00F10F9D">
      <w:pPr>
        <w:spacing w:before="200" w:after="0" w:line="360" w:lineRule="auto"/>
        <w:rPr>
          <w:rFonts w:ascii="GHEA Grapalat" w:hAnsi="GHEA Grapalat" w:cs="Arial"/>
          <w:color w:val="auto"/>
          <w:sz w:val="20"/>
          <w:szCs w:val="20"/>
          <w:lang w:val="hy-AM"/>
        </w:rPr>
      </w:pPr>
      <w:bookmarkStart w:id="0" w:name="_GoBack"/>
      <w:bookmarkEnd w:id="0"/>
    </w:p>
    <w:p w14:paraId="7AEF0324" w14:textId="77777777" w:rsidR="00F10F9D" w:rsidRPr="00127A4E" w:rsidRDefault="00F10F9D" w:rsidP="00F10F9D">
      <w:pPr>
        <w:spacing w:before="200" w:after="0" w:line="360" w:lineRule="auto"/>
        <w:rPr>
          <w:rFonts w:ascii="GHEA Grapalat" w:hAnsi="GHEA Grapalat" w:cs="Arial"/>
          <w:color w:val="auto"/>
          <w:sz w:val="20"/>
          <w:szCs w:val="20"/>
          <w:lang w:val="hy-AM"/>
        </w:rPr>
      </w:pPr>
    </w:p>
    <w:p w14:paraId="5C6A36B1" w14:textId="77777777" w:rsidR="00E061D1" w:rsidRPr="00127A4E" w:rsidRDefault="00E061D1">
      <w:pPr>
        <w:rPr>
          <w:rFonts w:ascii="GHEA Grapalat" w:hAnsi="GHEA Grapalat"/>
        </w:rPr>
      </w:pPr>
    </w:p>
    <w:sectPr w:rsidR="00E061D1" w:rsidRPr="00127A4E" w:rsidSect="00F10F9D">
      <w:footerReference w:type="even" r:id="rId7"/>
      <w:footerReference w:type="default" r:id="rId8"/>
      <w:footerReference w:type="first" r:id="rId9"/>
      <w:pgSz w:w="12240" w:h="15840"/>
      <w:pgMar w:top="1440" w:right="1440" w:bottom="1440" w:left="1440" w:header="720" w:footer="720"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043051" w14:textId="77777777" w:rsidR="00CC375D" w:rsidRDefault="00CC375D" w:rsidP="000B7947">
      <w:pPr>
        <w:spacing w:after="0" w:line="240" w:lineRule="auto"/>
      </w:pPr>
      <w:r>
        <w:separator/>
      </w:r>
    </w:p>
  </w:endnote>
  <w:endnote w:type="continuationSeparator" w:id="0">
    <w:p w14:paraId="2997E530" w14:textId="77777777" w:rsidR="00CC375D" w:rsidRDefault="00CC375D" w:rsidP="000B79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01563A" w14:textId="2752636D" w:rsidR="000B7947" w:rsidRDefault="000B7947">
    <w:pPr>
      <w:pStyle w:val="Footer"/>
    </w:pPr>
    <w:r>
      <w:rPr>
        <w:noProof/>
      </w:rPr>
      <mc:AlternateContent>
        <mc:Choice Requires="wps">
          <w:drawing>
            <wp:anchor distT="0" distB="0" distL="0" distR="0" simplePos="0" relativeHeight="251659264" behindDoc="0" locked="0" layoutInCell="1" allowOverlap="1" wp14:anchorId="1EBD2624" wp14:editId="2939BF11">
              <wp:simplePos x="635" y="635"/>
              <wp:positionH relativeFrom="page">
                <wp:align>center</wp:align>
              </wp:positionH>
              <wp:positionV relativeFrom="page">
                <wp:align>bottom</wp:align>
              </wp:positionV>
              <wp:extent cx="5934075" cy="323850"/>
              <wp:effectExtent l="0" t="0" r="9525" b="0"/>
              <wp:wrapNone/>
              <wp:docPr id="1668672069" name="Text Box 2" descr="INTERNAL. This information is accessible to ADB Management and Staff. It may be shared outside ADB with appropriate permission.">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5934075" cy="323850"/>
                      </a:xfrm>
                      <a:prstGeom prst="rect">
                        <a:avLst/>
                      </a:prstGeom>
                      <a:noFill/>
                      <a:ln>
                        <a:noFill/>
                      </a:ln>
                    </wps:spPr>
                    <wps:txbx>
                      <w:txbxContent>
                        <w:p w14:paraId="17053AFB" w14:textId="3EB462A9" w:rsidR="000B7947" w:rsidRPr="000B7947" w:rsidRDefault="000B7947" w:rsidP="000B7947">
                          <w:pPr>
                            <w:spacing w:after="0"/>
                            <w:rPr>
                              <w:rFonts w:eastAsia="Aptos"/>
                              <w:noProof/>
                              <w:sz w:val="16"/>
                              <w:szCs w:val="16"/>
                            </w:rPr>
                          </w:pPr>
                          <w:r w:rsidRPr="000B7947">
                            <w:rPr>
                              <w:rFonts w:eastAsia="Aptos"/>
                              <w:noProof/>
                              <w:sz w:val="16"/>
                              <w:szCs w:val="16"/>
                            </w:rPr>
                            <w:t>INTERNAL. This information is accessible to ADB Management and Staff. It may be shared outside ADB with appropriate permission.</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w14:anchorId="1EBD2624">
              <v:stroke joinstyle="miter"/>
              <v:path gradientshapeok="t" o:connecttype="rect"/>
            </v:shapetype>
            <v:shape id="Text Box 2" style="position:absolute;margin-left:0;margin-top:0;width:467.25pt;height:25.5pt;z-index:251659264;visibility:visible;mso-wrap-style:none;mso-wrap-distance-left:0;mso-wrap-distance-top:0;mso-wrap-distance-right:0;mso-wrap-distance-bottom:0;mso-position-horizontal:center;mso-position-horizontal-relative:page;mso-position-vertical:bottom;mso-position-vertical-relative:page;v-text-anchor:bottom" alt="INTERNAL. This information is accessible to ADB Management and Staff. It may be shared outside ADB with appropriate permission."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">
              <v:fill o:detectmouseclick="t"/>
              <v:textbox style="mso-fit-shape-to-text:t" inset="0,0,0,15pt">
                <w:txbxContent>
                  <w:p w:rsidRPr="000B7947" w:rsidR="000B7947" w:rsidP="000B7947" w:rsidRDefault="000B7947" w14:paraId="17053AFB" w14:textId="3EB462A9">
                    <w:pPr>
                      <w:spacing w:after="0"/>
                      <w:rPr>
                        <w:rFonts w:eastAsia="Aptos"/>
                        <w:noProof/>
                        <w:sz w:val="16"/>
                        <w:szCs w:val="16"/>
                      </w:rPr>
                    </w:pPr>
                    <w:r w:rsidRPr="000B7947">
                      <w:rPr>
                        <w:rFonts w:eastAsia="Aptos"/>
                        <w:noProof/>
                        <w:sz w:val="16"/>
                        <w:szCs w:val="16"/>
                      </w:rPr>
                      <w:t>INTERNAL. This information is accessible to ADB Management and Staff. It may be shared outside ADB with appropriate permission.</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1C7E59" w14:textId="3A1230E7" w:rsidR="000B7947" w:rsidRDefault="000B7947">
    <w:pPr>
      <w:pStyle w:val="Footer"/>
    </w:pPr>
    <w:r>
      <w:rPr>
        <w:noProof/>
      </w:rPr>
      <mc:AlternateContent>
        <mc:Choice Requires="wps">
          <w:drawing>
            <wp:anchor distT="0" distB="0" distL="0" distR="0" simplePos="0" relativeHeight="251660288" behindDoc="0" locked="0" layoutInCell="1" allowOverlap="1" wp14:anchorId="66EAD9AB" wp14:editId="43C9D932">
              <wp:simplePos x="635" y="635"/>
              <wp:positionH relativeFrom="page">
                <wp:align>center</wp:align>
              </wp:positionH>
              <wp:positionV relativeFrom="page">
                <wp:align>bottom</wp:align>
              </wp:positionV>
              <wp:extent cx="5934075" cy="323850"/>
              <wp:effectExtent l="0" t="0" r="9525" b="0"/>
              <wp:wrapNone/>
              <wp:docPr id="446055602" name="Text Box 3" descr="INTERNAL. This information is accessible to ADB Management and Staff. It may be shared outside ADB with appropriate permission.">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5934075" cy="323850"/>
                      </a:xfrm>
                      <a:prstGeom prst="rect">
                        <a:avLst/>
                      </a:prstGeom>
                      <a:noFill/>
                      <a:ln>
                        <a:noFill/>
                      </a:ln>
                    </wps:spPr>
                    <wps:txbx>
                      <w:txbxContent>
                        <w:p w14:paraId="0EAE6C46" w14:textId="73EF2125" w:rsidR="000B7947" w:rsidRPr="000B7947" w:rsidRDefault="000B7947" w:rsidP="000B7947">
                          <w:pPr>
                            <w:spacing w:after="0"/>
                            <w:rPr>
                              <w:rFonts w:eastAsia="Aptos"/>
                              <w:noProof/>
                              <w:sz w:val="16"/>
                              <w:szCs w:val="16"/>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6EAD9AB" id="_x0000_t202" coordsize="21600,21600" o:spt="202" path="m,l,21600r21600,l21600,xe">
              <v:stroke joinstyle="miter"/>
              <v:path gradientshapeok="t" o:connecttype="rect"/>
            </v:shapetype>
            <v:shape id="Text Box 3" o:spid="_x0000_s1027" type="#_x0000_t202" alt="INTERNAL. This information is accessible to ADB Management and Staff. It may be shared outside ADB with appropriate permission." style="position:absolute;margin-left:0;margin-top:0;width:467.25pt;height:25.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" filled="f" stroked="f">
              <v:textbox style="mso-fit-shape-to-text:t" inset="0,0,0,15pt">
                <w:txbxContent>
                  <w:p w14:paraId="0EAE6C46" w14:textId="73EF2125" w:rsidR="000B7947" w:rsidRPr="000B7947" w:rsidRDefault="000B7947" w:rsidP="000B7947">
                    <w:pPr>
                      <w:spacing w:after="0"/>
                      <w:rPr>
                        <w:rFonts w:eastAsia="Aptos"/>
                        <w:noProof/>
                        <w:sz w:val="16"/>
                        <w:szCs w:val="16"/>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96BCFE" w14:textId="46BFF64A" w:rsidR="000B7947" w:rsidRDefault="000B7947">
    <w:pPr>
      <w:pStyle w:val="Footer"/>
    </w:pPr>
    <w:r>
      <w:rPr>
        <w:noProof/>
      </w:rPr>
      <mc:AlternateContent>
        <mc:Choice Requires="wps">
          <w:drawing>
            <wp:anchor distT="0" distB="0" distL="0" distR="0" simplePos="0" relativeHeight="251658240" behindDoc="0" locked="0" layoutInCell="1" allowOverlap="1" wp14:anchorId="4D584907" wp14:editId="4E4ED562">
              <wp:simplePos x="635" y="635"/>
              <wp:positionH relativeFrom="page">
                <wp:align>center</wp:align>
              </wp:positionH>
              <wp:positionV relativeFrom="page">
                <wp:align>bottom</wp:align>
              </wp:positionV>
              <wp:extent cx="5934075" cy="323850"/>
              <wp:effectExtent l="0" t="0" r="9525" b="0"/>
              <wp:wrapNone/>
              <wp:docPr id="1721337791" name="Text Box 1" descr="INTERNAL. This information is accessible to ADB Management and Staff. It may be shared outside ADB with appropriate permission.">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5934075" cy="323850"/>
                      </a:xfrm>
                      <a:prstGeom prst="rect">
                        <a:avLst/>
                      </a:prstGeom>
                      <a:noFill/>
                      <a:ln>
                        <a:noFill/>
                      </a:ln>
                    </wps:spPr>
                    <wps:txbx>
                      <w:txbxContent>
                        <w:p w14:paraId="6A3A7DCD" w14:textId="60F912B0" w:rsidR="000B7947" w:rsidRPr="000B7947" w:rsidRDefault="000B7947" w:rsidP="000B7947">
                          <w:pPr>
                            <w:spacing w:after="0"/>
                            <w:rPr>
                              <w:rFonts w:eastAsia="Aptos"/>
                              <w:noProof/>
                              <w:sz w:val="16"/>
                              <w:szCs w:val="16"/>
                            </w:rPr>
                          </w:pPr>
                          <w:r w:rsidRPr="000B7947">
                            <w:rPr>
                              <w:rFonts w:eastAsia="Aptos"/>
                              <w:noProof/>
                              <w:sz w:val="16"/>
                              <w:szCs w:val="16"/>
                            </w:rPr>
                            <w:t>INTERNAL. This information is accessible to ADB Management and Staff. It may be shared outside ADB with appropriate permission.</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w14:anchorId="4D584907">
              <v:stroke joinstyle="miter"/>
              <v:path gradientshapeok="t" o:connecttype="rect"/>
            </v:shapetype>
            <v:shape id="Text Box 1" style="position:absolute;margin-left:0;margin-top:0;width:467.25pt;height:25.5pt;z-index:251658240;visibility:visible;mso-wrap-style:none;mso-wrap-distance-left:0;mso-wrap-distance-top:0;mso-wrap-distance-right:0;mso-wrap-distance-bottom:0;mso-position-horizontal:center;mso-position-horizontal-relative:page;mso-position-vertical:bottom;mso-position-vertical-relative:page;v-text-anchor:bottom" alt="INTERNAL. This information is accessible to ADB Management and Staff. It may be shared outside ADB with appropriate permission."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">
              <v:fill o:detectmouseclick="t"/>
              <v:textbox style="mso-fit-shape-to-text:t" inset="0,0,0,15pt">
                <w:txbxContent>
                  <w:p w:rsidRPr="000B7947" w:rsidR="000B7947" w:rsidP="000B7947" w:rsidRDefault="000B7947" w14:paraId="6A3A7DCD" w14:textId="60F912B0">
                    <w:pPr>
                      <w:spacing w:after="0"/>
                      <w:rPr>
                        <w:rFonts w:eastAsia="Aptos"/>
                        <w:noProof/>
                        <w:sz w:val="16"/>
                        <w:szCs w:val="16"/>
                      </w:rPr>
                    </w:pPr>
                    <w:r w:rsidRPr="000B7947">
                      <w:rPr>
                        <w:rFonts w:eastAsia="Aptos"/>
                        <w:noProof/>
                        <w:sz w:val="16"/>
                        <w:szCs w:val="16"/>
                      </w:rPr>
                      <w:t>INTERNAL. This information is accessible to ADB Management and Staff. It may be shared outside ADB with appropriate permission.</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F88941" w14:textId="77777777" w:rsidR="00CC375D" w:rsidRDefault="00CC375D" w:rsidP="000B7947">
      <w:pPr>
        <w:spacing w:after="0" w:line="240" w:lineRule="auto"/>
      </w:pPr>
      <w:r>
        <w:separator/>
      </w:r>
    </w:p>
  </w:footnote>
  <w:footnote w:type="continuationSeparator" w:id="0">
    <w:p w14:paraId="4C9B701B" w14:textId="77777777" w:rsidR="00CC375D" w:rsidRDefault="00CC375D" w:rsidP="000B79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FFFFFFFF"/>
    <w:lvl w:ilvl="0">
      <w:start w:val="1"/>
      <w:numFmt w:val="decimal"/>
      <w:lvlText w:val="%1)"/>
      <w:lvlJc w:val="left"/>
      <w:pPr>
        <w:tabs>
          <w:tab w:val="num" w:pos="360"/>
        </w:tabs>
        <w:ind w:left="720" w:hanging="360"/>
      </w:pPr>
      <w:rPr>
        <w:color w:val="000000"/>
        <w:u w:val="none"/>
      </w:rPr>
    </w:lvl>
    <w:lvl w:ilvl="1">
      <w:start w:val="1"/>
      <w:numFmt w:val="lowerLetter"/>
      <w:lvlText w:val="%2)"/>
      <w:lvlJc w:val="left"/>
      <w:pPr>
        <w:tabs>
          <w:tab w:val="num" w:pos="1080"/>
        </w:tabs>
        <w:ind w:left="1440" w:hanging="360"/>
      </w:pPr>
      <w:rPr>
        <w:color w:val="000000"/>
        <w:u w:val="none"/>
      </w:rPr>
    </w:lvl>
    <w:lvl w:ilvl="2">
      <w:start w:val="1"/>
      <w:numFmt w:val="lowerRoman"/>
      <w:lvlText w:val="%3)"/>
      <w:lvlJc w:val="right"/>
      <w:pPr>
        <w:tabs>
          <w:tab w:val="num" w:pos="1800"/>
        </w:tabs>
        <w:ind w:left="2160" w:hanging="180"/>
      </w:pPr>
      <w:rPr>
        <w:color w:val="000000"/>
        <w:u w:val="none"/>
      </w:rPr>
    </w:lvl>
    <w:lvl w:ilvl="3">
      <w:start w:val="1"/>
      <w:numFmt w:val="decimal"/>
      <w:lvlText w:val="(%4)"/>
      <w:lvlJc w:val="left"/>
      <w:pPr>
        <w:tabs>
          <w:tab w:val="num" w:pos="2520"/>
        </w:tabs>
        <w:ind w:left="2880" w:hanging="360"/>
      </w:pPr>
      <w:rPr>
        <w:color w:val="000000"/>
        <w:u w:val="none"/>
      </w:rPr>
    </w:lvl>
    <w:lvl w:ilvl="4">
      <w:start w:val="1"/>
      <w:numFmt w:val="lowerLetter"/>
      <w:lvlText w:val="(%5)"/>
      <w:lvlJc w:val="left"/>
      <w:pPr>
        <w:tabs>
          <w:tab w:val="num" w:pos="3240"/>
        </w:tabs>
        <w:ind w:left="3600" w:hanging="360"/>
      </w:pPr>
      <w:rPr>
        <w:color w:val="000000"/>
        <w:u w:val="none"/>
      </w:rPr>
    </w:lvl>
    <w:lvl w:ilvl="5">
      <w:start w:val="1"/>
      <w:numFmt w:val="lowerRoman"/>
      <w:lvlText w:val="(%6)"/>
      <w:lvlJc w:val="right"/>
      <w:pPr>
        <w:tabs>
          <w:tab w:val="num" w:pos="3960"/>
        </w:tabs>
        <w:ind w:left="4320" w:hanging="180"/>
      </w:pPr>
      <w:rPr>
        <w:color w:val="000000"/>
        <w:u w:val="none"/>
      </w:rPr>
    </w:lvl>
    <w:lvl w:ilvl="6">
      <w:start w:val="1"/>
      <w:numFmt w:val="decimal"/>
      <w:lvlText w:val="%7."/>
      <w:lvlJc w:val="left"/>
      <w:pPr>
        <w:tabs>
          <w:tab w:val="num" w:pos="4680"/>
        </w:tabs>
        <w:ind w:left="5040" w:hanging="360"/>
      </w:pPr>
      <w:rPr>
        <w:color w:val="000000"/>
        <w:u w:val="none"/>
      </w:rPr>
    </w:lvl>
    <w:lvl w:ilvl="7">
      <w:start w:val="1"/>
      <w:numFmt w:val="lowerLetter"/>
      <w:lvlText w:val="%8."/>
      <w:lvlJc w:val="left"/>
      <w:pPr>
        <w:tabs>
          <w:tab w:val="num" w:pos="5400"/>
        </w:tabs>
        <w:ind w:left="5760" w:hanging="360"/>
      </w:pPr>
      <w:rPr>
        <w:color w:val="000000"/>
        <w:u w:val="none"/>
      </w:rPr>
    </w:lvl>
    <w:lvl w:ilvl="8">
      <w:start w:val="1"/>
      <w:numFmt w:val="lowerRoman"/>
      <w:lvlText w:val="%9."/>
      <w:lvlJc w:val="right"/>
      <w:pPr>
        <w:tabs>
          <w:tab w:val="num" w:pos="6120"/>
        </w:tabs>
        <w:ind w:left="6480" w:hanging="180"/>
      </w:pPr>
      <w:rPr>
        <w:color w:val="000000"/>
        <w:u w:val="none"/>
      </w:rPr>
    </w:lvl>
  </w:abstractNum>
  <w:abstractNum w:abstractNumId="1" w15:restartNumberingAfterBreak="0">
    <w:nsid w:val="00000002"/>
    <w:multiLevelType w:val="multilevel"/>
    <w:tmpl w:val="FFFFFFFF"/>
    <w:lvl w:ilvl="0">
      <w:start w:val="1"/>
      <w:numFmt w:val="decimal"/>
      <w:lvlText w:val="%1."/>
      <w:lvlJc w:val="left"/>
      <w:pPr>
        <w:tabs>
          <w:tab w:val="num" w:pos="360"/>
        </w:tabs>
        <w:ind w:left="720" w:hanging="360"/>
      </w:pPr>
      <w:rPr>
        <w:color w:val="000000"/>
        <w:u w:val="none"/>
      </w:rPr>
    </w:lvl>
    <w:lvl w:ilvl="1">
      <w:start w:val="1"/>
      <w:numFmt w:val="lowerLetter"/>
      <w:lvlText w:val="%2."/>
      <w:lvlJc w:val="left"/>
      <w:pPr>
        <w:tabs>
          <w:tab w:val="num" w:pos="1080"/>
        </w:tabs>
        <w:ind w:left="1440" w:hanging="360"/>
      </w:pPr>
      <w:rPr>
        <w:color w:val="000000"/>
        <w:u w:val="none"/>
      </w:rPr>
    </w:lvl>
    <w:lvl w:ilvl="2">
      <w:start w:val="1"/>
      <w:numFmt w:val="lowerRoman"/>
      <w:lvlText w:val="%3."/>
      <w:lvlJc w:val="left"/>
      <w:pPr>
        <w:tabs>
          <w:tab w:val="num" w:pos="1800"/>
        </w:tabs>
        <w:ind w:left="2160" w:hanging="180"/>
      </w:pPr>
      <w:rPr>
        <w:color w:val="000000"/>
        <w:u w:val="none"/>
      </w:rPr>
    </w:lvl>
    <w:lvl w:ilvl="3">
      <w:start w:val="1"/>
      <w:numFmt w:val="decimal"/>
      <w:lvlText w:val="%4."/>
      <w:lvlJc w:val="left"/>
      <w:pPr>
        <w:tabs>
          <w:tab w:val="num" w:pos="2520"/>
        </w:tabs>
        <w:ind w:left="2880" w:hanging="360"/>
      </w:pPr>
      <w:rPr>
        <w:color w:val="000000"/>
        <w:u w:val="none"/>
      </w:rPr>
    </w:lvl>
    <w:lvl w:ilvl="4">
      <w:start w:val="1"/>
      <w:numFmt w:val="lowerLetter"/>
      <w:lvlText w:val="%5."/>
      <w:lvlJc w:val="left"/>
      <w:pPr>
        <w:tabs>
          <w:tab w:val="num" w:pos="3240"/>
        </w:tabs>
        <w:ind w:left="3600" w:hanging="360"/>
      </w:pPr>
      <w:rPr>
        <w:color w:val="000000"/>
        <w:u w:val="none"/>
      </w:rPr>
    </w:lvl>
    <w:lvl w:ilvl="5">
      <w:start w:val="1"/>
      <w:numFmt w:val="lowerRoman"/>
      <w:lvlText w:val="%6."/>
      <w:lvlJc w:val="left"/>
      <w:pPr>
        <w:tabs>
          <w:tab w:val="num" w:pos="3960"/>
        </w:tabs>
        <w:ind w:left="4320" w:hanging="180"/>
      </w:pPr>
      <w:rPr>
        <w:color w:val="000000"/>
        <w:u w:val="none"/>
      </w:rPr>
    </w:lvl>
    <w:lvl w:ilvl="6">
      <w:start w:val="1"/>
      <w:numFmt w:val="decimal"/>
      <w:lvlText w:val="%7."/>
      <w:lvlJc w:val="left"/>
      <w:pPr>
        <w:tabs>
          <w:tab w:val="num" w:pos="4680"/>
        </w:tabs>
        <w:ind w:left="5040" w:hanging="360"/>
      </w:pPr>
      <w:rPr>
        <w:color w:val="000000"/>
        <w:u w:val="none"/>
      </w:rPr>
    </w:lvl>
    <w:lvl w:ilvl="7">
      <w:start w:val="1"/>
      <w:numFmt w:val="lowerLetter"/>
      <w:lvlText w:val="%8."/>
      <w:lvlJc w:val="left"/>
      <w:pPr>
        <w:tabs>
          <w:tab w:val="num" w:pos="5400"/>
        </w:tabs>
        <w:ind w:left="5760" w:hanging="360"/>
      </w:pPr>
      <w:rPr>
        <w:color w:val="000000"/>
        <w:u w:val="none"/>
      </w:rPr>
    </w:lvl>
    <w:lvl w:ilvl="8">
      <w:start w:val="1"/>
      <w:numFmt w:val="lowerRoman"/>
      <w:lvlText w:val="%9."/>
      <w:lvlJc w:val="left"/>
      <w:pPr>
        <w:tabs>
          <w:tab w:val="num" w:pos="6120"/>
        </w:tabs>
        <w:ind w:left="6480" w:hanging="180"/>
      </w:pPr>
      <w:rPr>
        <w:color w:val="000000"/>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F9D"/>
    <w:rsid w:val="0009684E"/>
    <w:rsid w:val="000B7947"/>
    <w:rsid w:val="00127A4E"/>
    <w:rsid w:val="001460E5"/>
    <w:rsid w:val="00156852"/>
    <w:rsid w:val="001B350D"/>
    <w:rsid w:val="00204859"/>
    <w:rsid w:val="002153A0"/>
    <w:rsid w:val="00412108"/>
    <w:rsid w:val="0046560C"/>
    <w:rsid w:val="00473342"/>
    <w:rsid w:val="004C0FD0"/>
    <w:rsid w:val="004E3DA8"/>
    <w:rsid w:val="005C610E"/>
    <w:rsid w:val="005D47C8"/>
    <w:rsid w:val="006713A9"/>
    <w:rsid w:val="00681312"/>
    <w:rsid w:val="008B6614"/>
    <w:rsid w:val="00A00F0F"/>
    <w:rsid w:val="00AD6F0A"/>
    <w:rsid w:val="00CC375D"/>
    <w:rsid w:val="00E061D1"/>
    <w:rsid w:val="00F10F9D"/>
    <w:rsid w:val="2ECA1E25"/>
    <w:rsid w:val="2FF472C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E1E5CE"/>
  <w15:chartTrackingRefBased/>
  <w15:docId w15:val="{A5D05019-DB5B-40BA-BF4B-0ECC8F165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0F9D"/>
    <w:pPr>
      <w:spacing w:line="259" w:lineRule="auto"/>
    </w:pPr>
    <w:rPr>
      <w:rFonts w:ascii="Aptos" w:eastAsia="Times New Roman" w:hAnsi="Aptos" w:cs="Aptos"/>
      <w:color w:val="000000"/>
      <w:kern w:val="0"/>
      <w:sz w:val="22"/>
      <w:szCs w:val="22"/>
    </w:rPr>
  </w:style>
  <w:style w:type="paragraph" w:styleId="Heading1">
    <w:name w:val="heading 1"/>
    <w:basedOn w:val="Normal"/>
    <w:next w:val="Normal"/>
    <w:link w:val="Heading1Char"/>
    <w:uiPriority w:val="9"/>
    <w:qFormat/>
    <w:rsid w:val="00F10F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10F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10F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10F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F10F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F10F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0F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0F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0F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0F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10F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10F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10F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F10F9D"/>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F10F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0F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0F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0F9D"/>
    <w:rPr>
      <w:rFonts w:eastAsiaTheme="majorEastAsia" w:cstheme="majorBidi"/>
      <w:color w:val="272727" w:themeColor="text1" w:themeTint="D8"/>
    </w:rPr>
  </w:style>
  <w:style w:type="paragraph" w:styleId="Title">
    <w:name w:val="Title"/>
    <w:basedOn w:val="Normal"/>
    <w:next w:val="Normal"/>
    <w:link w:val="TitleChar"/>
    <w:uiPriority w:val="10"/>
    <w:qFormat/>
    <w:rsid w:val="00F10F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0F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0F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0F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0F9D"/>
    <w:pPr>
      <w:spacing w:before="160"/>
      <w:jc w:val="center"/>
    </w:pPr>
    <w:rPr>
      <w:i/>
      <w:iCs/>
      <w:color w:val="404040" w:themeColor="text1" w:themeTint="BF"/>
    </w:rPr>
  </w:style>
  <w:style w:type="character" w:customStyle="1" w:styleId="QuoteChar">
    <w:name w:val="Quote Char"/>
    <w:basedOn w:val="DefaultParagraphFont"/>
    <w:link w:val="Quote"/>
    <w:uiPriority w:val="29"/>
    <w:rsid w:val="00F10F9D"/>
    <w:rPr>
      <w:i/>
      <w:iCs/>
      <w:color w:val="404040" w:themeColor="text1" w:themeTint="BF"/>
    </w:rPr>
  </w:style>
  <w:style w:type="paragraph" w:styleId="ListParagraph">
    <w:name w:val="List Paragraph"/>
    <w:basedOn w:val="Normal"/>
    <w:uiPriority w:val="34"/>
    <w:qFormat/>
    <w:rsid w:val="00F10F9D"/>
    <w:pPr>
      <w:ind w:left="720"/>
      <w:contextualSpacing/>
    </w:pPr>
  </w:style>
  <w:style w:type="character" w:styleId="IntenseEmphasis">
    <w:name w:val="Intense Emphasis"/>
    <w:basedOn w:val="DefaultParagraphFont"/>
    <w:uiPriority w:val="21"/>
    <w:qFormat/>
    <w:rsid w:val="00F10F9D"/>
    <w:rPr>
      <w:i/>
      <w:iCs/>
      <w:color w:val="0F4761" w:themeColor="accent1" w:themeShade="BF"/>
    </w:rPr>
  </w:style>
  <w:style w:type="paragraph" w:styleId="IntenseQuote">
    <w:name w:val="Intense Quote"/>
    <w:basedOn w:val="Normal"/>
    <w:next w:val="Normal"/>
    <w:link w:val="IntenseQuoteChar"/>
    <w:uiPriority w:val="30"/>
    <w:qFormat/>
    <w:rsid w:val="00F10F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0F9D"/>
    <w:rPr>
      <w:i/>
      <w:iCs/>
      <w:color w:val="0F4761" w:themeColor="accent1" w:themeShade="BF"/>
    </w:rPr>
  </w:style>
  <w:style w:type="character" w:styleId="IntenseReference">
    <w:name w:val="Intense Reference"/>
    <w:basedOn w:val="DefaultParagraphFont"/>
    <w:uiPriority w:val="32"/>
    <w:qFormat/>
    <w:rsid w:val="00F10F9D"/>
    <w:rPr>
      <w:b/>
      <w:bCs/>
      <w:smallCaps/>
      <w:color w:val="0F4761" w:themeColor="accent1" w:themeShade="BF"/>
      <w:spacing w:val="5"/>
    </w:rPr>
  </w:style>
  <w:style w:type="character" w:styleId="CommentReference">
    <w:name w:val="annotation reference"/>
    <w:basedOn w:val="DefaultParagraphFont"/>
    <w:uiPriority w:val="99"/>
    <w:rsid w:val="00F10F9D"/>
    <w:rPr>
      <w:sz w:val="16"/>
      <w:szCs w:val="16"/>
    </w:rPr>
  </w:style>
  <w:style w:type="paragraph" w:styleId="Footer">
    <w:name w:val="footer"/>
    <w:basedOn w:val="Normal"/>
    <w:link w:val="FooterChar"/>
    <w:uiPriority w:val="99"/>
    <w:unhideWhenUsed/>
    <w:rsid w:val="000B79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7947"/>
    <w:rPr>
      <w:rFonts w:ascii="Aptos" w:eastAsia="Times New Roman" w:hAnsi="Aptos" w:cs="Aptos"/>
      <w:color w:val="000000"/>
      <w:kern w:val="0"/>
      <w:sz w:val="22"/>
      <w:szCs w:val="22"/>
    </w:rPr>
  </w:style>
  <w:style w:type="paragraph" w:styleId="Header">
    <w:name w:val="header"/>
    <w:basedOn w:val="Normal"/>
    <w:link w:val="HeaderChar"/>
    <w:uiPriority w:val="99"/>
    <w:unhideWhenUsed/>
    <w:rsid w:val="006713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13A9"/>
    <w:rPr>
      <w:rFonts w:ascii="Aptos" w:eastAsia="Times New Roman" w:hAnsi="Aptos" w:cs="Aptos"/>
      <w:color w:val="000000"/>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1080</Words>
  <Characters>6161</Characters>
  <Application>Microsoft Office Word</Application>
  <DocSecurity>0</DocSecurity>
  <Lines>51</Lines>
  <Paragraphs>14</Paragraphs>
  <ScaleCrop>false</ScaleCrop>
  <Company/>
  <LinksUpToDate>false</LinksUpToDate>
  <CharactersWithSpaces>7227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Khachvankyan</dc:creator>
  <cp:keywords>https://mul2.gov.am/tasks/1228666/oneclick?token=2c49a94839e4ef2638e4e25ad4d7fdca</cp:keywords>
  <dc:description/>
  <cp:lastModifiedBy>Ալեքսանդր Աղբալյան</cp:lastModifiedBy>
  <cp:revision>9</cp:revision>
  <dcterms:created xsi:type="dcterms:W3CDTF">2025-09-04T14:28:00Z</dcterms:created>
  <dcterms:modified xsi:type="dcterms:W3CDTF">2025-10-22T08:18:00Z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669987bf,6375ea45,1a9644b2</vt:lpwstr>
  </property>
  <property fmtid="{D5CDD505-2E9C-101B-9397-08002B2CF9AE}" pid="3" name="ClassificationContentMarkingFooterFontProps">
    <vt:lpwstr>#000000,8,Aptos</vt:lpwstr>
  </property>
  <property fmtid="{D5CDD505-2E9C-101B-9397-08002B2CF9AE}" pid="4" name="ClassificationContentMarkingFooterText">
    <vt:lpwstr>INTERNAL. This information is accessible to ADB Management and Staff. It may be shared outside ADB with appropriate permission.</vt:lpwstr>
  </property>
  <property fmtid="{D5CDD505-2E9C-101B-9397-08002B2CF9AE}" pid="5" name="MSIP_Label_817d4574-7375-4d17-b29c-6e4c6df0fcb0_Enabled">
    <vt:lpwstr>true</vt:lpwstr>
  </property>
  <property fmtid="{D5CDD505-2E9C-101B-9397-08002B2CF9AE}" pid="6" name="MSIP_Label_817d4574-7375-4d17-b29c-6e4c6df0fcb0_SetDate">
    <vt:lpwstr>2025-09-04T14:28:15Z</vt:lpwstr>
  </property>
  <property fmtid="{D5CDD505-2E9C-101B-9397-08002B2CF9AE}" pid="7" name="MSIP_Label_817d4574-7375-4d17-b29c-6e4c6df0fcb0_Method">
    <vt:lpwstr>Standard</vt:lpwstr>
  </property>
  <property fmtid="{D5CDD505-2E9C-101B-9397-08002B2CF9AE}" pid="8" name="MSIP_Label_817d4574-7375-4d17-b29c-6e4c6df0fcb0_Name">
    <vt:lpwstr>ADB Internal</vt:lpwstr>
  </property>
  <property fmtid="{D5CDD505-2E9C-101B-9397-08002B2CF9AE}" pid="9" name="MSIP_Label_817d4574-7375-4d17-b29c-6e4c6df0fcb0_SiteId">
    <vt:lpwstr>9495d6bb-41c2-4c58-848f-92e52cf3d640</vt:lpwstr>
  </property>
  <property fmtid="{D5CDD505-2E9C-101B-9397-08002B2CF9AE}" pid="10" name="MSIP_Label_817d4574-7375-4d17-b29c-6e4c6df0fcb0_ActionId">
    <vt:lpwstr>31ae1407-8f95-472c-ab60-85c7e4619b37</vt:lpwstr>
  </property>
  <property fmtid="{D5CDD505-2E9C-101B-9397-08002B2CF9AE}" pid="11" name="MSIP_Label_817d4574-7375-4d17-b29c-6e4c6df0fcb0_ContentBits">
    <vt:lpwstr>2</vt:lpwstr>
  </property>
  <property fmtid="{D5CDD505-2E9C-101B-9397-08002B2CF9AE}" pid="12" name="MSIP_Label_817d4574-7375-4d17-b29c-6e4c6df0fcb0_Tag">
    <vt:lpwstr>10, 3, 0, 2</vt:lpwstr>
  </property>
</Properties>
</file>