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1444" w:rsidRDefault="006D1444" w:rsidP="006D1444">
      <w:pPr>
        <w:pStyle w:val="ListParagraph"/>
        <w:shd w:val="clear" w:color="auto" w:fill="FFFFFF"/>
        <w:tabs>
          <w:tab w:val="left" w:pos="1080"/>
        </w:tabs>
        <w:spacing w:after="0" w:line="360" w:lineRule="auto"/>
        <w:jc w:val="center"/>
        <w:rPr>
          <w:bCs/>
          <w:color w:val="000000"/>
          <w:szCs w:val="24"/>
          <w:shd w:val="clear" w:color="auto" w:fill="FFFFFF"/>
          <w:lang w:val="hy-AM"/>
        </w:rPr>
      </w:pPr>
      <w:r>
        <w:rPr>
          <w:b/>
          <w:szCs w:val="24"/>
          <w:lang w:val="hy-AM"/>
        </w:rPr>
        <w:t>ՀԻՄՆԱՎՈՐՈՒՄ</w:t>
      </w:r>
    </w:p>
    <w:p w:rsidR="006D1444" w:rsidRDefault="006D1444" w:rsidP="006D1444">
      <w:pPr>
        <w:tabs>
          <w:tab w:val="left" w:pos="1080"/>
        </w:tabs>
        <w:spacing w:after="0" w:line="360" w:lineRule="auto"/>
        <w:ind w:firstLine="720"/>
        <w:jc w:val="center"/>
        <w:rPr>
          <w:b/>
          <w:szCs w:val="24"/>
          <w:lang w:val="hy-AM"/>
        </w:rPr>
      </w:pPr>
      <w:r>
        <w:rPr>
          <w:rFonts w:cs="Sylfaen"/>
          <w:b/>
          <w:szCs w:val="24"/>
          <w:lang w:val="hy-AM"/>
        </w:rPr>
        <w:t>«ՀԱՅԱUՏԱՆԻ ՀԱՆՐԱՊԵՏՈՒԹՅԱՆ ԿԱՌԱՎԱՐՈՒԹՅԱՆ 2011 ԹՎԱԿԱՆԻ ՄԱՅԻՍԻ 5-Ի N 665-Ն ՈՐՈՇՄԱՆ ՄԵՋ ԼՐԱՑՈՒՄՆԵՐ ԵՎ ՓՈՓՈԽՈՒԹՅՈՒՆՆԵՐ ԿԱՏԱՐԵԼՈՒ ՄԱՍԻՆ ՀԱՅԱ</w:t>
      </w:r>
      <w:r>
        <w:rPr>
          <w:b/>
          <w:szCs w:val="24"/>
          <w:lang w:val="af-ZA"/>
        </w:rPr>
        <w:t>U</w:t>
      </w:r>
      <w:r>
        <w:rPr>
          <w:rFonts w:cs="Sylfaen"/>
          <w:b/>
          <w:szCs w:val="24"/>
          <w:lang w:val="hy-AM"/>
        </w:rPr>
        <w:t>ՏԱՆԻ</w:t>
      </w:r>
      <w:r>
        <w:rPr>
          <w:b/>
          <w:szCs w:val="24"/>
          <w:lang w:val="af-ZA"/>
        </w:rPr>
        <w:t xml:space="preserve"> </w:t>
      </w:r>
      <w:r>
        <w:rPr>
          <w:rFonts w:cs="Sylfaen"/>
          <w:b/>
          <w:szCs w:val="24"/>
          <w:lang w:val="hy-AM"/>
        </w:rPr>
        <w:t>ՀԱՆՐԱՊԵՏՈՒԹՅԱՆ</w:t>
      </w:r>
      <w:r>
        <w:rPr>
          <w:b/>
          <w:szCs w:val="24"/>
          <w:lang w:val="af-ZA"/>
        </w:rPr>
        <w:t xml:space="preserve"> </w:t>
      </w:r>
      <w:r>
        <w:rPr>
          <w:rFonts w:cs="Sylfaen"/>
          <w:b/>
          <w:szCs w:val="24"/>
          <w:lang w:val="hy-AM"/>
        </w:rPr>
        <w:t xml:space="preserve">ԿԱՌԱՎԱՐՈՒԹՅԱՆ ՈՐՈՇՄԱՆ </w:t>
      </w:r>
      <w:r>
        <w:rPr>
          <w:b/>
          <w:szCs w:val="24"/>
          <w:lang w:val="hy-AM"/>
        </w:rPr>
        <w:t>ՆԱԽԱԳԾԻ ԸՆԴՈՒՆՄԱՆ</w:t>
      </w:r>
    </w:p>
    <w:p w:rsidR="006D1444" w:rsidRDefault="006D1444" w:rsidP="006D1444">
      <w:pPr>
        <w:spacing w:line="360" w:lineRule="auto"/>
        <w:ind w:firstLine="720"/>
        <w:jc w:val="center"/>
        <w:rPr>
          <w:b/>
          <w:szCs w:val="24"/>
          <w:lang w:val="hy-AM"/>
        </w:rPr>
      </w:pPr>
    </w:p>
    <w:p w:rsidR="006D1444" w:rsidRDefault="006D1444" w:rsidP="006D1444">
      <w:pPr>
        <w:tabs>
          <w:tab w:val="left" w:pos="567"/>
        </w:tabs>
        <w:spacing w:line="360" w:lineRule="auto"/>
        <w:ind w:firstLine="720"/>
        <w:jc w:val="both"/>
        <w:rPr>
          <w:rFonts w:cs="Sylfaen"/>
          <w:b/>
          <w:szCs w:val="24"/>
          <w:lang w:val="hy-AM"/>
        </w:rPr>
      </w:pPr>
      <w:r>
        <w:rPr>
          <w:rFonts w:cs="Sylfaen"/>
          <w:b/>
          <w:szCs w:val="24"/>
          <w:lang w:val="hy-AM"/>
        </w:rPr>
        <w:t>1. Իրավական ակտի անհրաժեշտությունը (նպատակը)</w:t>
      </w:r>
    </w:p>
    <w:p w:rsidR="006D1444" w:rsidRDefault="006D1444" w:rsidP="006D1444">
      <w:pPr>
        <w:tabs>
          <w:tab w:val="left" w:pos="1080"/>
        </w:tabs>
        <w:spacing w:line="360" w:lineRule="auto"/>
        <w:ind w:firstLine="720"/>
        <w:jc w:val="both"/>
        <w:rPr>
          <w:rFonts w:cs="Sylfaen"/>
          <w:szCs w:val="24"/>
          <w:lang w:val="hy-AM"/>
        </w:rPr>
      </w:pPr>
      <w:r>
        <w:rPr>
          <w:rFonts w:cs="Sylfaen"/>
          <w:szCs w:val="24"/>
          <w:lang w:val="hy-AM"/>
        </w:rPr>
        <w:t>Ներկայացվող նախագծի ընդունումը պայմանավորված է կենսաթոշակի իրավունքն իրացնելիս իրավակիրառ պրակտիկայում ծագած խնդիրների լուծման անհրաժեշտությամբ։</w:t>
      </w:r>
    </w:p>
    <w:p w:rsidR="006D1444" w:rsidRDefault="006D1444" w:rsidP="006D1444">
      <w:pPr>
        <w:tabs>
          <w:tab w:val="left" w:pos="567"/>
        </w:tabs>
        <w:spacing w:line="360" w:lineRule="auto"/>
        <w:ind w:firstLine="720"/>
        <w:jc w:val="both"/>
        <w:rPr>
          <w:rFonts w:cs="Sylfaen"/>
          <w:b/>
          <w:szCs w:val="24"/>
          <w:lang w:val="hy-AM"/>
        </w:rPr>
      </w:pPr>
    </w:p>
    <w:p w:rsidR="006D1444" w:rsidRDefault="006D1444" w:rsidP="006D1444">
      <w:pPr>
        <w:tabs>
          <w:tab w:val="left" w:pos="567"/>
        </w:tabs>
        <w:spacing w:line="360" w:lineRule="auto"/>
        <w:ind w:firstLine="720"/>
        <w:jc w:val="both"/>
        <w:rPr>
          <w:rFonts w:cs="Sylfaen"/>
          <w:b/>
          <w:szCs w:val="24"/>
          <w:lang w:val="hy-AM"/>
        </w:rPr>
      </w:pPr>
      <w:r>
        <w:rPr>
          <w:rFonts w:cs="Sylfaen"/>
          <w:b/>
          <w:szCs w:val="24"/>
          <w:lang w:val="hy-AM"/>
        </w:rPr>
        <w:t>1.1. Կարգավորման հարաբերությունների ներկա վիճակը և առկա խնդիրները</w:t>
      </w:r>
    </w:p>
    <w:p w:rsidR="006D1444" w:rsidRDefault="006D1444" w:rsidP="006D1444">
      <w:pPr>
        <w:shd w:val="clear" w:color="auto" w:fill="FFFFFF"/>
        <w:spacing w:after="0" w:line="360" w:lineRule="auto"/>
        <w:ind w:firstLine="375"/>
        <w:jc w:val="both"/>
        <w:rPr>
          <w:rFonts w:cs="Sylfaen"/>
          <w:szCs w:val="24"/>
          <w:lang w:val="hy-AM"/>
        </w:rPr>
      </w:pPr>
      <w:r>
        <w:rPr>
          <w:rFonts w:cs="Sylfaen"/>
          <w:szCs w:val="24"/>
          <w:lang w:val="hy-AM"/>
        </w:rPr>
        <w:t>Կառավարության 2011 թվականի մայիսի 5-ի N 665-Ն որոշմամբ (այսուհետ՝ Որոշում) սահմանված են կենսաթոշակային ոլորտի պետական կառավարման լիազոր մարմինը, «Պետական կենսաթոշակների մասին» օրենքով (այսուհետ՝ Օրենք) կենսաթոշակ նշանակող իրավասու մարմինները, կենսաթոշակ նշանակելու համար դիմելու, կենսաթոշակ նշանակելու (վերահաշվարկելու), կենսաթոշակի տեսակը փոխելու, կենսաթոշակ վճարելու, կենսաթոշակի գործ (փաստաթղթեր) վարելու կարգը, աշխատանքային և զինվորական ստաժերը  հաշվարկելու կանոնները, կենսաթոշակ նշանակելու համար անհրաժեշտ փաստաթղթերի ցանկը և այլն։</w:t>
      </w:r>
    </w:p>
    <w:p w:rsidR="006D1444" w:rsidRDefault="006D1444" w:rsidP="006D1444">
      <w:pPr>
        <w:shd w:val="clear" w:color="auto" w:fill="FFFFFF"/>
        <w:spacing w:after="0" w:line="360" w:lineRule="auto"/>
        <w:ind w:firstLine="375"/>
        <w:jc w:val="both"/>
        <w:rPr>
          <w:rFonts w:cs="Sylfaen"/>
          <w:szCs w:val="24"/>
          <w:lang w:val="hy-AM"/>
        </w:rPr>
      </w:pPr>
      <w:r>
        <w:rPr>
          <w:rFonts w:cs="Sylfaen"/>
          <w:szCs w:val="24"/>
          <w:lang w:val="hy-AM"/>
        </w:rPr>
        <w:t>Կենսաթոշակի իրավունքի իրացման գործընթացում ծագել են հետևյալ խնդիրները, որոնց լուծման նպատակով մշակվել է սույն նախագիծը:</w:t>
      </w:r>
    </w:p>
    <w:p w:rsidR="006D1444" w:rsidRDefault="006D1444" w:rsidP="006D1444">
      <w:pPr>
        <w:pStyle w:val="NormalWeb"/>
        <w:numPr>
          <w:ilvl w:val="0"/>
          <w:numId w:val="10"/>
        </w:numPr>
        <w:shd w:val="clear" w:color="auto" w:fill="FFFFFF"/>
        <w:tabs>
          <w:tab w:val="left" w:pos="993"/>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Օրենքով կենսաթոշակային ոլորտի պետական կառավարման լիազոր մարմնին վերապահված լիազորությունները (քաղաքականության մշակման մասով) իրենց </w:t>
      </w:r>
      <w:r>
        <w:rPr>
          <w:rFonts w:ascii="GHEA Grapalat" w:hAnsi="GHEA Grapalat"/>
          <w:color w:val="000000"/>
          <w:lang w:val="hy-AM"/>
        </w:rPr>
        <w:lastRenderedPageBreak/>
        <w:t>կանոնադրություններին համապատասխան իրականացրել և իրականացնում են Աշխատանքի և սոցիալական հարցերի նախարարությունը (քաղաքականության մշակման մասով) և Աշխատանքի և սոցիալական հարցերի նախարարության միասնական սոցիալական ծառայությունը (այսուհետ՝ ծառայություն, (քաղաքականության իրականացման մասով): Պայմանավորված «Սոցիալական աջակցության մասին» նոր օրենքի ընդունմամբ, անհրաժեշտություն է առաջացել Որոշման մեջ մեկ անգամ ևս հստակեցնել նախարարության և ծառայության, որպես կենսաթոշակային ոլորտի պետական կառավարման լիազոր մարմնի, լիազորությունների շրջանակը:</w:t>
      </w:r>
    </w:p>
    <w:p w:rsidR="006D1444" w:rsidRDefault="006D1444" w:rsidP="006D1444">
      <w:pPr>
        <w:pStyle w:val="NormalWeb"/>
        <w:numPr>
          <w:ilvl w:val="0"/>
          <w:numId w:val="10"/>
        </w:numPr>
        <w:shd w:val="clear" w:color="auto" w:fill="FFFFFF"/>
        <w:tabs>
          <w:tab w:val="left" w:pos="993"/>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Օրենքի 51-րդ հոդվածով նախատեսված է կենսաթոշակ նշանակող ստորաբաժանման` կենսաթոշակին վերաբերող որոշումների բողոքարկում  վերադասության կարգով: </w:t>
      </w:r>
    </w:p>
    <w:p w:rsidR="006D1444" w:rsidRDefault="006D1444" w:rsidP="006D1444">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Որոշման 1-ին կետի 2-րդ ենթակետով սահմանված են կենսաթոշակ նշանակող իրավասու մարմինները, այն է՝ Աշխատանքի և սոցիալական հարցերի նախարարության միասնական սոցիալական ծառայությունը, Պաշտպանության նախարարությունը, Արդարադատության նախարարությունը, Ներքին գործերի նախարարությունը, Ազգային անվտանգության ծառայությունը, Պետական պահպանության ծառայությունը:</w:t>
      </w:r>
    </w:p>
    <w:p w:rsidR="006D1444" w:rsidRDefault="006D1444" w:rsidP="006D1444">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Որոշման 1-ին կետի 3-4.2-րդ ենթակետերով սահմանված են թե այս մարմիններից յուրաքանչյուրը որ համակարգում է իր համապատասխան (տարածքային) ստորաբաժանումների միջոցով  ապահովում կենսաթոշակների նշանակումն ու վճարումը:</w:t>
      </w:r>
    </w:p>
    <w:p w:rsidR="006D1444" w:rsidRDefault="006D1444" w:rsidP="006D1444">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Որոշման 1-ին կետի 5-րդ ենթակետի համաձայն՝ սույն կետի 4-րդ ենթակետում (զինվորական կենսաթոշակների մասով) նշված մարմինների՝ կենսաթոշակներ նշանակող ու վճարումն ապահովող համապատասխան ստորաբաժանումների իրավասությունները սահմանում է այդ մարմնի ղեկավարը:</w:t>
      </w:r>
    </w:p>
    <w:p w:rsidR="006D1444" w:rsidRDefault="006D1444" w:rsidP="006D1444">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 xml:space="preserve">Օրենքով և Որոշմամբ նախարարությանը վերապահված՝  կենսաթոշակային ոլորտում նախարարության  լիազորությունները (սահմանված են Օրենքի 48-րդ հոդվածով) չեն վերաբերում կենսաթոշակ նշանակելուն (նշանակելը մերժելուն), վերահաշվարկելուն, </w:t>
      </w:r>
      <w:r>
        <w:rPr>
          <w:rFonts w:ascii="GHEA Grapalat" w:hAnsi="GHEA Grapalat"/>
          <w:color w:val="000000"/>
          <w:lang w:val="hy-AM"/>
        </w:rPr>
        <w:lastRenderedPageBreak/>
        <w:t>կենսաթոշակների վճարումն ապահովելուն, կենսաթոշակ ստանալու իրավունքը վերականգնելուն, կենսաթոշակ վճարելը վերսկսելուն:</w:t>
      </w:r>
    </w:p>
    <w:p w:rsidR="006D1444" w:rsidRDefault="006D1444" w:rsidP="006D1444">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Ուստի իրավական այս հիմքով նպատակահարմար է հստակեցնել կենսաթոշակ նշանակող իրավասու մարմինների վերադաս մարմինը:</w:t>
      </w:r>
    </w:p>
    <w:p w:rsidR="006D1444" w:rsidRDefault="006D1444" w:rsidP="006D1444">
      <w:pPr>
        <w:pStyle w:val="NormalWeb"/>
        <w:numPr>
          <w:ilvl w:val="0"/>
          <w:numId w:val="10"/>
        </w:numPr>
        <w:shd w:val="clear" w:color="auto" w:fill="FFFFFF"/>
        <w:tabs>
          <w:tab w:val="left" w:pos="851"/>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Որոշման N 1 հավելվածի 3.2-րդ կետով կարգավորված են  կերակրողին կորցնելու դեպքում կենսաթոշակին առնչվող հարաբերությունները՝ հիմք ընդունելով Օրենքի 33-րդ հոդվածի 1-ին մասը: Հաշվի առնելով այն հանգամանքը, որ ներկայումս կենսաթոշակ նշանակելու համար դիմումը և անհրաժեշտ փաստաթղթերը ներկայացնելուն առնչվող հարաբերություններն ամբողջությամբ կարգավորված են  նույն հավելվածի II բաժնով, այս կետով այդ հարցին անդրադառնալը նպատակահարմար չէ:  Ըստ այդմ, անհրաժեշտություն է առաջացել Որոշման N 1 հավելվածի 3.2-րդ կետով կարգավորել միայն Հայաստանի Հանրապետության բնակչության պետական ռեգիստրում առկա տվյալների հիման վրա նույնականացված՝ ռազմական ուսումնական հաստատությունում սովորող անձին կենսաթոշակ նշանակելու պայմանը, այն է՝ անկախ Հայաստանի Հանրապետությունում բնակության վայրի հասցեում հաշվառված լինելու հանգամանքից:</w:t>
      </w:r>
    </w:p>
    <w:p w:rsidR="006D1444" w:rsidRDefault="006D1444" w:rsidP="006D1444">
      <w:pPr>
        <w:pStyle w:val="NormalWeb"/>
        <w:numPr>
          <w:ilvl w:val="0"/>
          <w:numId w:val="10"/>
        </w:numPr>
        <w:shd w:val="clear" w:color="auto" w:fill="FFFFFF"/>
        <w:tabs>
          <w:tab w:val="left" w:pos="851"/>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Ծառայությունում 2023 թվականի պետական բյուջեի տարեկան կատարման հաշվեքննության արդյունքներով վեր են հանվել առանձին խնդիրներ, որոնք լուծելու համար անհրաժեշտ է հստակեցնել Որոշման՝ քաղաքացիների ներկայացրած տվյալների (փաստաթղթերի) հավաստիության ուսումնասիրություններ կատարելու դեպքերը սահմանող դրույթները (Որոշման N 1 հավելվածի 12-րդ և 12.1-ին կետեր)։ </w:t>
      </w:r>
    </w:p>
    <w:p w:rsidR="006D1444" w:rsidRDefault="006D1444" w:rsidP="006D1444">
      <w:pPr>
        <w:pStyle w:val="NormalWeb"/>
        <w:numPr>
          <w:ilvl w:val="0"/>
          <w:numId w:val="10"/>
        </w:numPr>
        <w:shd w:val="clear" w:color="auto" w:fill="FFFFFF"/>
        <w:tabs>
          <w:tab w:val="left" w:pos="851"/>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Օրենքի 32-րդ հոդվածի 1-ին մասով Կառավարությանը վերապահված է լիազորություն՝ սահմանելու այն դեպքերը, երբ 1992թ</w:t>
      </w:r>
      <w:r>
        <w:rPr>
          <w:rFonts w:ascii="MS Gothic" w:eastAsia="MS Gothic" w:hAnsi="MS Gothic" w:cs="MS Gothic" w:hint="eastAsia"/>
          <w:color w:val="000000"/>
          <w:lang w:val="hy-AM"/>
        </w:rPr>
        <w:t>․</w:t>
      </w:r>
      <w:r>
        <w:rPr>
          <w:rFonts w:ascii="GHEA Grapalat" w:hAnsi="GHEA Grapalat"/>
          <w:color w:val="000000"/>
          <w:lang w:val="hy-AM"/>
        </w:rPr>
        <w:t xml:space="preserve"> </w:t>
      </w:r>
      <w:r>
        <w:rPr>
          <w:rFonts w:ascii="GHEA Grapalat" w:hAnsi="GHEA Grapalat" w:cs="GHEA Grapalat"/>
          <w:color w:val="000000"/>
          <w:lang w:val="hy-AM"/>
        </w:rPr>
        <w:t>հունվարի</w:t>
      </w:r>
      <w:r>
        <w:rPr>
          <w:rFonts w:ascii="GHEA Grapalat" w:hAnsi="GHEA Grapalat"/>
          <w:color w:val="000000"/>
          <w:lang w:val="hy-AM"/>
        </w:rPr>
        <w:t xml:space="preserve"> 1-</w:t>
      </w:r>
      <w:r>
        <w:rPr>
          <w:rFonts w:ascii="GHEA Grapalat" w:hAnsi="GHEA Grapalat" w:cs="GHEA Grapalat"/>
          <w:color w:val="000000"/>
          <w:lang w:val="hy-AM"/>
        </w:rPr>
        <w:t>ից</w:t>
      </w:r>
      <w:r>
        <w:rPr>
          <w:rFonts w:ascii="GHEA Grapalat" w:hAnsi="GHEA Grapalat"/>
          <w:color w:val="000000"/>
          <w:lang w:val="hy-AM"/>
        </w:rPr>
        <w:t xml:space="preserve"> </w:t>
      </w:r>
      <w:r>
        <w:rPr>
          <w:rFonts w:ascii="GHEA Grapalat" w:hAnsi="GHEA Grapalat" w:cs="GHEA Grapalat"/>
          <w:color w:val="000000"/>
          <w:lang w:val="hy-AM"/>
        </w:rPr>
        <w:t>հետո</w:t>
      </w:r>
      <w:r>
        <w:rPr>
          <w:rFonts w:ascii="GHEA Grapalat" w:hAnsi="GHEA Grapalat"/>
          <w:color w:val="000000"/>
          <w:lang w:val="hy-AM"/>
        </w:rPr>
        <w:t xml:space="preserve">  աշխատած ժամանակահատվածի համար սոցիալական վճարներ կատարելը կամ աշխատավարձ ստանալը հաստատող փաստաթուղթ չի պահանջվում։</w:t>
      </w:r>
    </w:p>
    <w:p w:rsidR="006D1444" w:rsidRDefault="006D1444" w:rsidP="006D1444">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lastRenderedPageBreak/>
        <w:t>Անձի համար սոցիալական վճարներ կատարած լինելը ճշտելու համար հիմք է ընդունվում`</w:t>
      </w:r>
    </w:p>
    <w:p w:rsidR="006D1444" w:rsidRDefault="006D1444" w:rsidP="006D1444">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1) Միասնական սոցիալական ծառայության (այսուհետ՝ ծառայություն) կենսաթոշակ նշանակող ստորաբաժանումում հաշվառված ապահովադիրներին և նրանց կատարած սոցիալական վճարներին վերաբերող` ապահովադիրների հաշվառման գրանցամատյաններում և էլեկտրոնային տվյալների բազայում առկա տեղեկատվությունը (1992-2003թթ).</w:t>
      </w:r>
    </w:p>
    <w:p w:rsidR="006D1444" w:rsidRDefault="006D1444" w:rsidP="006D1444">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2) անհատական (անձնավորված) հաշվառման տվյալների բազան և հարկային մարմնի կողմից ծառայությանը տրամադրվող՝ ապահովադիրների սոցիալական վճարների մասին եռամսյակային (ամսական) հաշվետվությունների ու կատարած սոցիալական վճարների (փոխանցումների) մասին տվյալների բազան (2004-2012).</w:t>
      </w:r>
    </w:p>
    <w:p w:rsidR="006D1444" w:rsidRDefault="006D1444" w:rsidP="006D1444">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3) Լեռնային Ղարաբաղի անհատական (անձնավորված) հաշվառման տվյալների բազան (2004-2013), որը մասամբ է պահպանված։</w:t>
      </w:r>
    </w:p>
    <w:p w:rsidR="006D1444" w:rsidRDefault="006D1444" w:rsidP="006D1444">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Աշխատավարձի մասին տեղեկատվությունը ստացվում է ազգային արխիվից՝ հարցումների հիման վրա։</w:t>
      </w:r>
    </w:p>
    <w:p w:rsidR="006D1444" w:rsidRDefault="006D1444" w:rsidP="006D1444">
      <w:pPr>
        <w:spacing w:after="0" w:line="360" w:lineRule="auto"/>
        <w:ind w:firstLine="709"/>
        <w:jc w:val="both"/>
        <w:rPr>
          <w:rFonts w:cs="Sylfaen"/>
          <w:szCs w:val="24"/>
          <w:lang w:val="hy-AM"/>
        </w:rPr>
      </w:pPr>
      <w:r>
        <w:rPr>
          <w:rFonts w:cs="Sylfaen"/>
          <w:szCs w:val="24"/>
          <w:lang w:val="hy-AM"/>
        </w:rPr>
        <w:t>Վարչարարությունը, արխիվային փաստաթղթերի ստացման դեպքերը նվազեցնելու նպատակով Օրենքի վերոնշյալ դրույթով կառավարությանը վերապահված լիազորությունների շրջանակում Որոշման Ν 1 հավելվածի 14.5-րդ և 14.6-րդ կետերով նախատեսված են այն դեպքերը, երբ աշխատանքային ստաժը հաստատելու համար սոցիալական վճարներ կատարելը կամ աշխատավարձ ստանալը հաստատող փաստաթուղթ չի պահանջվում (հիմք են ընդունվում միայն աշխատելու փաստը հաստատող փաստաթղթերը՝ աշխատանքային գրքույկ, արխիվային փաստաթուղթ, դատական ակտ)։</w:t>
      </w:r>
    </w:p>
    <w:p w:rsidR="006D1444" w:rsidRDefault="006D1444" w:rsidP="006D1444">
      <w:pPr>
        <w:spacing w:after="0" w:line="360" w:lineRule="auto"/>
        <w:ind w:firstLine="709"/>
        <w:jc w:val="both"/>
        <w:rPr>
          <w:rFonts w:cs="Sylfaen"/>
          <w:szCs w:val="24"/>
          <w:lang w:val="hy-AM"/>
        </w:rPr>
      </w:pPr>
      <w:r>
        <w:rPr>
          <w:rFonts w:cs="Sylfaen"/>
          <w:szCs w:val="24"/>
          <w:lang w:val="hy-AM"/>
        </w:rPr>
        <w:t xml:space="preserve">Նպատակահարմար է ընդլայնել այդ դեպքերի ցանկը՝ ի հաշիվ 1992-2004թթ գործունեություն իրականացրած բյուջետային հիմնարկների, բանկերի, </w:t>
      </w:r>
      <w:r>
        <w:rPr>
          <w:rFonts w:cs="Sylfaen"/>
          <w:szCs w:val="24"/>
          <w:lang w:val="hy-AM"/>
        </w:rPr>
        <w:lastRenderedPageBreak/>
        <w:t xml:space="preserve">առողջապահական հիմնարկների, որոնց կողմից հիմնականում վճարվել է աշխատավարձ կամ </w:t>
      </w:r>
      <w:r>
        <w:rPr>
          <w:rFonts w:eastAsia="Times New Roman" w:cs="Times New Roman"/>
          <w:color w:val="000000"/>
          <w:szCs w:val="24"/>
          <w:lang w:val="hy-AM"/>
        </w:rPr>
        <w:t>որտեղ աշխատանքներն այդ տարիներին հիմնականում չեն դադարեցվել</w:t>
      </w:r>
      <w:r>
        <w:rPr>
          <w:rFonts w:cs="Sylfaen"/>
          <w:szCs w:val="24"/>
          <w:lang w:val="hy-AM"/>
        </w:rPr>
        <w:t xml:space="preserve">։ </w:t>
      </w:r>
    </w:p>
    <w:p w:rsidR="006D1444" w:rsidRDefault="006D1444" w:rsidP="006D1444">
      <w:pPr>
        <w:pStyle w:val="NormalWeb"/>
        <w:numPr>
          <w:ilvl w:val="0"/>
          <w:numId w:val="10"/>
        </w:numPr>
        <w:shd w:val="clear" w:color="auto" w:fill="FFFFFF"/>
        <w:tabs>
          <w:tab w:val="left" w:pos="851"/>
        </w:tabs>
        <w:spacing w:before="0" w:beforeAutospacing="0" w:after="0" w:afterAutospacing="0" w:line="360" w:lineRule="auto"/>
        <w:ind w:left="0" w:firstLine="720"/>
        <w:jc w:val="both"/>
        <w:rPr>
          <w:rFonts w:ascii="GHEA Grapalat" w:hAnsi="GHEA Grapalat" w:cs="Sylfaen"/>
          <w:lang w:val="hy-AM"/>
        </w:rPr>
      </w:pPr>
      <w:r>
        <w:rPr>
          <w:rFonts w:ascii="GHEA Grapalat" w:hAnsi="GHEA Grapalat" w:cs="Sylfaen"/>
          <w:lang w:val="hy-AM"/>
        </w:rPr>
        <w:t xml:space="preserve">Բացի այդ, պետք է նկատի ունենալ, որ Լեռնային Ղարաբաղի արխիվները չեն պահպանվել, իսկ սոցիալական վճարներին առնչվող պետական (անձնավորված) հաշվառումը վարվել է 2004 թվականից։ Համեմատության համար հարկ է նշել, որ Հայաստանի Հանրապետությունում ապահովադիրներին և նրանց կատարած սոցիալական վճարներին վերաբերող` ապահովադիրների հաշվառման գրանցամատյանները Միասնական սոցիալական ծառայությունը սկսել է վարել 1998 թվականից և Որոշման N 1 հավելվածի 15.5-րդ և 15.6-րդ կետերով սահմանված  մեխանիզմների կիրառմամբ այդ տեղեկատվության հիման վրա հնարավոր է սոցիալական վճար կատարած լինելը հավաստել նաև 1992-1997թթ. ընկած ժամանակահատվածի համար։  </w:t>
      </w:r>
    </w:p>
    <w:p w:rsidR="006D1444" w:rsidRDefault="006D1444" w:rsidP="006D1444">
      <w:pPr>
        <w:spacing w:after="0" w:line="360" w:lineRule="auto"/>
        <w:ind w:firstLine="709"/>
        <w:jc w:val="both"/>
        <w:rPr>
          <w:rFonts w:cs="Sylfaen"/>
          <w:szCs w:val="24"/>
          <w:lang w:val="hy-AM"/>
        </w:rPr>
      </w:pPr>
      <w:r>
        <w:rPr>
          <w:rFonts w:cs="Sylfaen"/>
          <w:szCs w:val="24"/>
          <w:lang w:val="hy-AM"/>
        </w:rPr>
        <w:t>Սա նշանակում է, որ Լեռնային Ղարաբաղի տարածքում աշխատած 1992-2013թթ.  ժամանակահատվածի համար սոցիալական վճար կատարելը կամ աշխատավարձ ստանալը հավաստող փաստաթուղթ առկա չէ։ Ընդ որում, հարկ է նկատի ունենալ, որ Հողային օրենսգիրքն այստեղ ընդունվել է 1997 թվականին, այսինքն՝ կոլտնտեսությունները գործել են մինչև 1998 թվականը և այս դեպքում կիրառելի են կոլտնտեսության անդամի համար ստաժը հաստատելու կանոնները, որոնք ՀՀ-ում կիրառելի են մինչև 1992 թվականի ստաժը հաստատելիս (ՀՀ հողային օրենսգիրքն ընդունվել է 1991 թվականին):</w:t>
      </w:r>
    </w:p>
    <w:p w:rsidR="006D1444" w:rsidRDefault="006D1444" w:rsidP="006D1444">
      <w:pPr>
        <w:pStyle w:val="NormalWeb"/>
        <w:numPr>
          <w:ilvl w:val="0"/>
          <w:numId w:val="10"/>
        </w:numPr>
        <w:shd w:val="clear" w:color="auto" w:fill="FFFFFF"/>
        <w:tabs>
          <w:tab w:val="left" w:pos="851"/>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Որոշման </w:t>
      </w:r>
      <w:r>
        <w:rPr>
          <w:rFonts w:ascii="GHEA Grapalat" w:hAnsi="GHEA Grapalat" w:cs="Sylfaen"/>
          <w:lang w:val="hy-AM"/>
        </w:rPr>
        <w:t xml:space="preserve">N 1 հավելվածի 15-րդ կետի 1-ին ենթակետի համաձայն՝ անձի համար </w:t>
      </w:r>
      <w:r>
        <w:rPr>
          <w:rFonts w:ascii="GHEA Grapalat" w:hAnsi="GHEA Grapalat"/>
          <w:color w:val="000000"/>
          <w:lang w:val="hy-AM"/>
        </w:rPr>
        <w:t>սոցիալական</w:t>
      </w:r>
      <w:r>
        <w:rPr>
          <w:rFonts w:ascii="GHEA Grapalat" w:hAnsi="GHEA Grapalat" w:cs="Sylfaen"/>
          <w:lang w:val="hy-AM"/>
        </w:rPr>
        <w:t xml:space="preserve"> վճարներ կատարած լինելը ճշտելու համար հիմք է ընդունվում </w:t>
      </w:r>
      <w:r>
        <w:rPr>
          <w:rFonts w:ascii="GHEA Grapalat" w:hAnsi="GHEA Grapalat"/>
          <w:color w:val="000000"/>
          <w:lang w:val="hy-AM"/>
        </w:rPr>
        <w:t xml:space="preserve">ծառայության կենսաթոշակ նշանակող ստորաբաժանումում հաշվառված ապահովադիրներին և նրանց կատարած սոցիալական վճարներին վերաբերող` ապահովադիրների հաշվառման էլեկտրոնային տվյալների բազայում առկա տեղեկատվությունը: Այս դրույթի կիրառմամբ հաստատվում է սոցիալական վճար </w:t>
      </w:r>
      <w:r>
        <w:rPr>
          <w:rFonts w:ascii="GHEA Grapalat" w:hAnsi="GHEA Grapalat"/>
          <w:color w:val="000000"/>
          <w:lang w:val="hy-AM"/>
        </w:rPr>
        <w:lastRenderedPageBreak/>
        <w:t>կատարած լինելը 1992-2003թթ. համար: Ընդ որում, իրավակիրառ պրակտիկայում օգտագործվում են ապահովադիրների հաշվառման էլեկտրոնային տվյալների բազայում առկա տեղեկատվությունը, իսկ գրանցամատյաններն այլևս կիրառելի չեն: Այս հանգամանքի հաշվառմամբ, ինչպես նաև աշխատանքային ստաժը հաստատելու գործընթացի այս փուլը թվայնացնելու (սոցիալական վճար կատարած լինելու փաստաթուղթն ինքնաշխատ եղանակով ստանալու) համար անհրաժեշտ է բացառել ապահովադիրների հաշվառման գրանցամատյանները, որպես սոցիալական վճար կատարած լինելու մասին տեղեկատվության աղբյուր:</w:t>
      </w:r>
    </w:p>
    <w:p w:rsidR="006D1444" w:rsidRDefault="006D1444" w:rsidP="006D1444">
      <w:pPr>
        <w:pStyle w:val="NormalWeb"/>
        <w:numPr>
          <w:ilvl w:val="0"/>
          <w:numId w:val="10"/>
        </w:numPr>
        <w:shd w:val="clear" w:color="auto" w:fill="FFFFFF"/>
        <w:tabs>
          <w:tab w:val="left" w:pos="851"/>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Անհարկի կարգավորումներով Որոշումը չծանրաբեռնելու համար իրավական տեխնիկայի կանոնների պահպանմամբ հնարավոր է Որոշման </w:t>
      </w:r>
      <w:r>
        <w:rPr>
          <w:rFonts w:ascii="GHEA Grapalat" w:hAnsi="GHEA Grapalat" w:cs="Sylfaen"/>
          <w:lang w:val="hy-AM"/>
        </w:rPr>
        <w:t>N 1 հավելվածի 15.6-րդ կետի կարգավորումն արտացոլել նույն հավելվածի 15-րդ կետի 2-րդ ենթակետում՝ «և» շաղկապը փոխարինելով «կամ» շաղկապով:</w:t>
      </w:r>
    </w:p>
    <w:p w:rsidR="006D1444" w:rsidRDefault="006D1444" w:rsidP="006D1444">
      <w:pPr>
        <w:pStyle w:val="NormalWeb"/>
        <w:numPr>
          <w:ilvl w:val="0"/>
          <w:numId w:val="10"/>
        </w:numPr>
        <w:shd w:val="clear" w:color="auto" w:fill="FFFFFF"/>
        <w:tabs>
          <w:tab w:val="left" w:pos="851"/>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Օրենքի 32-րդ հոդվածի 1.1-ին մասի 2-րդ կետով սահմանված է, որ աշխատանքային գրքույկի առկայությամբ 1992 թվականի հունվարի 1-ից մինչև 2013 թվականի հունվարի 1-ն ընկած ժամանակահատվածի համար աշխատանքային ստաժը հաստատվում է սոցիալական վճարներ կատարելը կամ աշխատավարձ ստանալը հաստատող փաստաթղթով: Օրենքի 32-րդ հոդվածի 1-ին մասի միանման կիրարկումն ապահովելու համար  անհրաժեշտ է հստակեցնել աշխատանքային ստաժը հատատելու կարգն այն դեպքերում, երբ </w:t>
      </w:r>
      <w:r>
        <w:rPr>
          <w:rFonts w:ascii="GHEA Grapalat" w:hAnsi="GHEA Grapalat"/>
          <w:color w:val="000000"/>
          <w:lang w:val="hy-AM"/>
        </w:rPr>
        <w:t>աշխատանքային</w:t>
      </w:r>
      <w:r>
        <w:rPr>
          <w:rFonts w:ascii="GHEA Grapalat" w:hAnsi="GHEA Grapalat"/>
          <w:lang w:val="hy-AM"/>
        </w:rPr>
        <w:t xml:space="preserve"> գործունեության տվյալ ժամանակահատվածի համար առկա են  միաժամանակ սոցիալական վճար կատարած լինելը և աշխատավարձ ստանալը հավաստող փաստաթղթեր կամ առկա է դատական ակտ։ Իրավակիրառ պրակտիկայից ելնելով՝ անհրաժեշտություն է առաջացել հստակեցնել, որ սոցիալական վճարի առկայության դեպքում աշխատավարձ ստանալու մասին տեղեկատվություն չի պահանջվում:</w:t>
      </w:r>
    </w:p>
    <w:p w:rsidR="006D1444" w:rsidRDefault="006D1444" w:rsidP="006D1444">
      <w:pPr>
        <w:pStyle w:val="NormalWeb"/>
        <w:numPr>
          <w:ilvl w:val="0"/>
          <w:numId w:val="10"/>
        </w:numPr>
        <w:shd w:val="clear" w:color="auto" w:fill="FFFFFF"/>
        <w:tabs>
          <w:tab w:val="left" w:pos="851"/>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Որոշման 1-ին </w:t>
      </w:r>
      <w:r>
        <w:rPr>
          <w:rFonts w:ascii="GHEA Grapalat" w:hAnsi="GHEA Grapalat"/>
          <w:color w:val="000000"/>
          <w:lang w:val="hy-AM"/>
        </w:rPr>
        <w:t>հավելվածի</w:t>
      </w:r>
      <w:r>
        <w:rPr>
          <w:rFonts w:ascii="GHEA Grapalat" w:hAnsi="GHEA Grapalat"/>
          <w:lang w:val="hy-AM"/>
        </w:rPr>
        <w:t xml:space="preserve"> 19.1-ին,19.2-րդ և 36.4-րդ կետերով սահմանված է առանձին կատեգորիայի զինծառայողների երկարամյա ծառայության զինվորական </w:t>
      </w:r>
      <w:r>
        <w:rPr>
          <w:rFonts w:ascii="GHEA Grapalat" w:hAnsi="GHEA Grapalat"/>
          <w:lang w:val="hy-AM"/>
        </w:rPr>
        <w:lastRenderedPageBreak/>
        <w:t>կենսաթոշակի չափը հաշվարկելու առանձնահատկությունները: Այժմ այդ դրույթները կիրառելի չեն։</w:t>
      </w:r>
    </w:p>
    <w:p w:rsidR="006D1444" w:rsidRDefault="006D1444" w:rsidP="006D1444">
      <w:pPr>
        <w:pStyle w:val="NormalWeb"/>
        <w:numPr>
          <w:ilvl w:val="0"/>
          <w:numId w:val="10"/>
        </w:numPr>
        <w:shd w:val="clear" w:color="auto" w:fill="FFFFFF"/>
        <w:tabs>
          <w:tab w:val="left" w:pos="851"/>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Որոշման N 2 հավելվածի 21.3-րդ կետով կարգավորված են չաշխատելու պայմանով նշանակված կենսաթոշակ ստանալու իրավունքը չդադարեցնելուն առնչվող հարաբերությունները անհատ ձեռնարկատիրոջ համար՝ նրա գործունեությունը անորոշ կամ որոշակի ժամկետով դադարեցրած ժամանակահատվածում։ Նպատակահարմար է դրույթը նախատեսել Որոշման N 1 հավելվածում և միաժամանակ նույնաբովանդակ կարգավորում նախատեսել կենսաթոշակ նշանակելու դեպքում։</w:t>
      </w:r>
    </w:p>
    <w:p w:rsidR="006D1444" w:rsidRDefault="006D1444" w:rsidP="006D1444">
      <w:pPr>
        <w:pStyle w:val="NormalWeb"/>
        <w:numPr>
          <w:ilvl w:val="0"/>
          <w:numId w:val="10"/>
        </w:numPr>
        <w:shd w:val="clear" w:color="auto" w:fill="FFFFFF"/>
        <w:tabs>
          <w:tab w:val="left" w:pos="851"/>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Որոշման N 1 հավելվածի 34-րդ կետով կարգավորված են Ռուսաստանի Դաշնությունից Հայաստանի Հանրապետություն բնակության ժամանած անձին կենսաթոշակ նշանակելուն և վճարելուն առնչվող հարաբերությունները, որոնք կիրառելի են նաև այն դեպքում, երբ կենսաթոշակի գործը տեղափոխում են ՌԴ, այնտեղ նշանակում են կենսաթոշակ, իսկ որոշ ժամանակ անց կրկին կենսաթոշակի գործը տեղափոխվում է Հայաստանի Հանրապետություն: Այն դեպքում, երբ կենսաթոշակի գործը տեղափոխում են ՌԴ, այնտեղ կենսաթոշակ չեն նշանակում և կրկին  կենսաթոշակի գործը տեղափոխվում է Հայաստանի Հանրապետություն հարաբերությունները կարգավորված չեն:</w:t>
      </w:r>
    </w:p>
    <w:p w:rsidR="006D1444" w:rsidRDefault="006D1444" w:rsidP="006D1444">
      <w:pPr>
        <w:pStyle w:val="NormalWeb"/>
        <w:numPr>
          <w:ilvl w:val="0"/>
          <w:numId w:val="10"/>
        </w:numPr>
        <w:shd w:val="clear" w:color="auto" w:fill="FFFFFF"/>
        <w:tabs>
          <w:tab w:val="left" w:pos="851"/>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Որոշման N 1 հավելվածի 41-րդ կետով սահմանված են այն դեպքերը, երբ կենսաթոշակը վերահաշվարկվում է առանց կենսաթոշակառուի գրավոր դիմումի: Մասնավորապես զինվորական կենսաթոշակների դեպքում նախատեսված է նաև զինծառայողի անձնական գործակցի փոփոխությունը: Այս կարգավորումը քննարկելիս հարկ է նկատի ունենալ, որ կենսաթոշակը անձնական գործակցի փոփոխության   հաշվառմամբ կենսաթոշակը վերահաշվարկվում է Օրենքի 38-րդ հոդվածի 3-րդ մասի 2-րդ կետի համաձայն՝ երբ զինվորական կենսաթոշակ նշանակելուց հետո անձն անցնում է զինվորական ծառայության (դադարում է կենսաթոշակ ստանալու իրավունքը) և ծառայությունից արձակվելուց հետո դիմում է կենսաթոշակ ստանալու իրավունքը </w:t>
      </w:r>
      <w:r>
        <w:rPr>
          <w:rFonts w:ascii="GHEA Grapalat" w:hAnsi="GHEA Grapalat"/>
          <w:color w:val="000000"/>
          <w:lang w:val="hy-AM"/>
        </w:rPr>
        <w:lastRenderedPageBreak/>
        <w:t xml:space="preserve">վերականգնելու և կենսաթոշակը վերահաշվարկելու համար: </w:t>
      </w:r>
      <w:r>
        <w:rPr>
          <w:rFonts w:ascii="GHEA Grapalat" w:hAnsi="GHEA Grapalat" w:cs="Sylfaen"/>
          <w:lang w:val="hy-AM" w:eastAsia="ru-RU"/>
        </w:rPr>
        <w:t xml:space="preserve">Այս դեպքում հարաբերությունները կարգավորվում են N 1 հավելվածի 43-րդ կետի 3-րդ ենթակետով և կենսաթոշակը վերհաշվարկվում է կենսաթոշակառուի դիմումի հիման վրա, որին կցվում է նաև նոր անձնական գործակցի վերաբերյալ համապատասխան մարմնի տված տեղեկանք: Խնդրո առարկա դրույթը վերաբերում է կենսաթոշակն առանց կենսաթոշակառուի գրավոր դիմումի վերահաշվարկելուն և համապատասխանում է Օրենքի 38-րդ հոդվածի 3-րդ մասի 1-ին կետին, որում նախատեսված չէ </w:t>
      </w:r>
      <w:r>
        <w:rPr>
          <w:rFonts w:ascii="GHEA Grapalat" w:hAnsi="GHEA Grapalat"/>
          <w:color w:val="000000"/>
          <w:lang w:val="hy-AM"/>
        </w:rPr>
        <w:t>անձնական գործակցի փոփոխության հիմքով կենսաթոշակի վերահաշվարկ</w:t>
      </w:r>
      <w:r>
        <w:rPr>
          <w:rFonts w:ascii="GHEA Grapalat" w:hAnsi="GHEA Grapalat" w:cs="Sylfaen"/>
          <w:lang w:val="hy-AM" w:eastAsia="ru-RU"/>
        </w:rPr>
        <w:t xml:space="preserve">: Անձնական գործակցի փոփոխության դեպքում առանց նոր անձնական գործակցի վերաբերյալ ներկայացված (դիմումին կցված) տեղեկատվության կենսաթոշակը վերահաշվարկել հնարավոր չէ: Ըստ այդմ, </w:t>
      </w:r>
      <w:r>
        <w:rPr>
          <w:rFonts w:ascii="GHEA Grapalat" w:hAnsi="GHEA Grapalat"/>
          <w:color w:val="000000"/>
          <w:lang w:val="hy-AM"/>
        </w:rPr>
        <w:t>Որոշման N 1 հավելվածի 41-րդ կետը Օրենքին համապատասխանեցնելու կարիք ունի:</w:t>
      </w:r>
    </w:p>
    <w:p w:rsidR="006D1444" w:rsidRDefault="006D1444" w:rsidP="006D1444">
      <w:pPr>
        <w:pStyle w:val="NormalWeb"/>
        <w:numPr>
          <w:ilvl w:val="0"/>
          <w:numId w:val="10"/>
        </w:numPr>
        <w:shd w:val="clear" w:color="auto" w:fill="FFFFFF"/>
        <w:tabs>
          <w:tab w:val="left" w:pos="851"/>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Օրենսդրական փոփոխություններին համահունչ՝ անհրաժեշտ է Որոշման ամբողջ տեքստը վերանայել ազգային օպերատորին առնչվող ձևակերպումների մասով, քանի որ ազգային օպերտորը (Հայփոստը) այլևս չի մատուցում անկանխիկ վճարումների ծառայություններ։</w:t>
      </w:r>
    </w:p>
    <w:p w:rsidR="006D1444" w:rsidRDefault="006D1444" w:rsidP="006D1444">
      <w:pPr>
        <w:pStyle w:val="NormalWeb"/>
        <w:numPr>
          <w:ilvl w:val="0"/>
          <w:numId w:val="10"/>
        </w:numPr>
        <w:shd w:val="clear" w:color="auto" w:fill="FFFFFF"/>
        <w:tabs>
          <w:tab w:val="left" w:pos="851"/>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Օրենքի 41-րդ հոդվածի 5-րդ մասով կառավարությանը վերապահված է Ուսումնական հաստատությունում սովորող անձի՝ կերակրողին կորցնելու դեպքում կենսաթոշակ ստանալու իրավունքը վերականգնելու և կենսաթոշակ վճարելը վերսկսելու</w:t>
      </w:r>
      <w:r>
        <w:rPr>
          <w:lang w:val="hy-AM"/>
        </w:rPr>
        <w:t xml:space="preserve"> </w:t>
      </w:r>
      <w:r>
        <w:rPr>
          <w:rFonts w:ascii="GHEA Grapalat" w:hAnsi="GHEA Grapalat"/>
          <w:color w:val="000000"/>
          <w:lang w:val="hy-AM"/>
        </w:rPr>
        <w:t xml:space="preserve">առանձնահատկությունները սահմանելու լիազորություն։ Որոշման N 1 հավելվածի 50-րդ կետով այդ լիազորությունների շրջանակում սահմանված է, որ ուսումնական հաստատությունում սովորող անձի՝ կերակրողին կորցնելու դեպքում կենսաթոշակ ստանալու իրավունքն օրենքի 41-րդ հոդվածի 3-րդ մասի 2-րդ կետի (առկա ուսման մասին ուսումնական հաստատությունից ներկայացված տեղեկանքի) հիման վրա վերականգնելու դեպքում կենսաթոշակ վճարելը վերսկսվում է՝ անկախ կենսաթոշակ ստանալու իրավունքը </w:t>
      </w:r>
      <w:r>
        <w:rPr>
          <w:rFonts w:ascii="GHEA Grapalat" w:hAnsi="GHEA Grapalat"/>
          <w:color w:val="000000"/>
          <w:lang w:val="hy-AM"/>
        </w:rPr>
        <w:lastRenderedPageBreak/>
        <w:t xml:space="preserve">վերականգնելու դիմումը և անհրաժեշտ փաստաթղթերը կենսաթոշակառուի կողմից անձամբ ներկայացվելու հանգամանքից։ </w:t>
      </w:r>
    </w:p>
    <w:p w:rsidR="006D1444" w:rsidRDefault="006D1444" w:rsidP="006D1444">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 xml:space="preserve">Հարկ է նկատի ունենալ, որ Օրենքի 41-րդ հոդվածի 1-ին մասի համաձայն՝ առկա (ցերեկային) ուսուցմամբ ուսումնական հաստատությունում սովորող անձի` կերակրողին կորցնելու դեպքում կենսաթոշակ ստանալու իրավունքը դադարեցվում է տվյալ տարվա հուլիսի 1-ից, իսկ ստանալու իրավունքը վերականգնվում է ուսման մասին ուսումնական հաստատությունից ներկայացված տեղեկանքի հիման վրա։ </w:t>
      </w:r>
    </w:p>
    <w:p w:rsidR="006D1444" w:rsidRDefault="006D1444" w:rsidP="006D1444">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Ընդ որում, ստանալու իրավունքը վերականգնվելու դեպքում կենսաթոշակի վճարումը վերսկսելիս հաշվի է առնվում Հայաստանի Հանրապետությունում գտնվելը օրենսդրությամբ սահմանված կարգով հաստատված  լինելը և Հայաստանի Հանրապետության սահմանը հատելու մասին տեղեկատվության առկայությունը։ Ստացվում է, որ, օրինակ, կարող է առաջանա մի իրավիճակ, երբ ծնողը ներկայացնում է պահանջվող տեղեկանքը, ուսանողի կենսաթոշակ ստանալու իրավունքը վերականգնվում է, վճարումը վերսկսվում է, սակայն միաժամանակ վճարումը դադարեցվում է, քանի որ ուսանողը 12-ամսյա ժամկետում բանկ չի ներկայացել կամ ըստ սահմանահատումների վերաբերյալ տեղեկատվության՝ չի գտնվում Հայաստանի Հանրապետությունում։ Եթե ուսանողը սովորում է Հայաստանի Հանրապետությունում, ինչը հաստատվում է առկա (ցերեկային) ուսուցմամբ ուսումնական հաստատությունում սովորելու մասին տեղեկանքով, ապա Հայաստանի Հանրապետությունում գտնելը բանկի կողմից հաստատելը կամ սահմանահատումներով այդ հանգամանքը ստուգելը չի բխում «Վարչարարության հիմունքների և վարչական վարույթի մասին»</w:t>
      </w:r>
      <w:r>
        <w:rPr>
          <w:rFonts w:ascii="GHEA Grapalat" w:hAnsi="GHEA Grapalat"/>
          <w:color w:val="000000"/>
          <w:lang w:val="hy-AM"/>
        </w:rPr>
        <w:tab/>
        <w:t>օրենքով ամրագրված՝ ձևական պահանջները չարաշահելու արգելքի սկզբունքից։ Եթե ուսանողը սովորում է արտերկրում, ապա նրա՝ կենսաթոշակ ստանալու իրավունքը վերականգնելը և կենսաթոշակի վճարումը վերսկսելը չի ապահովում նրա կենսաթոշակի վճարումը։</w:t>
      </w:r>
    </w:p>
    <w:p w:rsidR="006D1444" w:rsidRDefault="006D1444" w:rsidP="006D1444">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Վերոգրյալի հաշվառմամբ՝ նպատակահարմար է այս դեպքում վերանայել  վճարման ընթացակարգը։</w:t>
      </w:r>
    </w:p>
    <w:p w:rsidR="006D1444" w:rsidRDefault="006D1444" w:rsidP="006D1444">
      <w:pPr>
        <w:pStyle w:val="NormalWeb"/>
        <w:numPr>
          <w:ilvl w:val="0"/>
          <w:numId w:val="10"/>
        </w:numPr>
        <w:shd w:val="clear" w:color="auto" w:fill="FFFFFF"/>
        <w:tabs>
          <w:tab w:val="left" w:pos="851"/>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lastRenderedPageBreak/>
        <w:t>Անձի ֆունկցիոնալության գնահատման համակարգի ներդրմամբ պայմանավորված՝ հարկ է վերանայել կենսաթոշակ ստանալու իրավունքը վերականգնելուն և կենսաթոշակ վճարելը վերսկսելուն առնչվող՝ Որոշման N 1 հավելվածի 50.2-րդ կետի ձևակերպումները։ Օրենքի 41-րդ հոդվածի 3-րդ մասի 4-րդ մասի համաձայն՝ կենսաթոշակ ստանալու իրավունքը վերականգնում է անձի ֆունկցիոնալությունը գնահատող հանձնաժողովից ստացված` անձի հաշմանդամությունը հաստատող տեղեկանքի հիման վրա: Ներկայումս այս տեղեկատվությունը ստացվում է ինքնաշխատ եղանակով, ինչը պետք է արտացոլել Որոշման մեջ: Միաժամանակ լինում են դեպքեր, երբ անձի ֆունկցիոնալությունը գնահատող հանձնաժողովից ստացվում է անձի հաշմանդամությունը հաստատող տեղեկանք, սակայն բանկից չի ստացվում անձի՝ ՀՀ-ում լինելու մասին հավաստում: Հաշվի առնելով այն հանգամանքը, որ անձի ֆունկցիոնալությունը գնահատվում է անձի հետազոտության արդյունքում (կատարվում է Օրենքի պահանջը՝ կենսաթոշակառուի ՀՀ-ում լինելը հավաստելու մասին), նպատակահարմար է սահմանել, որ այս դեպքում  կենսաթոշակ ստանալու իրավունքը վերականգնվում է անկախ կենսաթոշակառուի՝ Հայաստանի Հանրապետությունում գտնվելը օրենսդրությամբ սահմանված կարգով հաստատված  լինելու հանգամանքից: Միաժամանակ անհրաժեշտ է հստակեցնել կենսաթոշակ ստանալու իրավունքը վերականգնելու ժամկետները՝ Որոշման N 1 հավելվածի 11-րդ կետով սահմանված սկզբունքներին համապատասխան:</w:t>
      </w:r>
    </w:p>
    <w:p w:rsidR="006D1444" w:rsidRDefault="006D1444" w:rsidP="006D1444">
      <w:pPr>
        <w:pStyle w:val="NormalWeb"/>
        <w:numPr>
          <w:ilvl w:val="0"/>
          <w:numId w:val="10"/>
        </w:numPr>
        <w:shd w:val="clear" w:color="auto" w:fill="FFFFFF"/>
        <w:tabs>
          <w:tab w:val="left" w:pos="851"/>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«Պաշտոնատար անձանց գործունեության ապահովման, սպասարկման և սոցիալական երաշխիքների մասին» օրենքով կենսաթոշակ նշանակելու ժամկետներին համահունչ՝ անհրաժեշտ է հստակեցնել աշխատանքային կամ զինվորական կենսաթոշակ ստանալու իրավունքը դադարեցնելու ժամկետներն այն դեպքում, երբ անձը ձեռք է բերում նշված օրենքով կենսաթոշակ ստանալու իրավունք։</w:t>
      </w:r>
    </w:p>
    <w:p w:rsidR="006D1444" w:rsidRDefault="006D1444" w:rsidP="006D1444">
      <w:pPr>
        <w:pStyle w:val="NormalWeb"/>
        <w:numPr>
          <w:ilvl w:val="0"/>
          <w:numId w:val="10"/>
        </w:numPr>
        <w:shd w:val="clear" w:color="auto" w:fill="FFFFFF"/>
        <w:tabs>
          <w:tab w:val="left" w:pos="851"/>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Կենսաթոշակը վճարվում է նաև լիազորագրով, այս դեպքում կենսաթոշակի գումարները միանվագ վճարվում են կենսաթոշակ վճարելու համար դիմելու ամսվան </w:t>
      </w:r>
      <w:r>
        <w:rPr>
          <w:rFonts w:ascii="GHEA Grapalat" w:hAnsi="GHEA Grapalat"/>
          <w:color w:val="000000"/>
          <w:lang w:val="hy-AM"/>
        </w:rPr>
        <w:lastRenderedPageBreak/>
        <w:t>նախորդող</w:t>
      </w:r>
      <w:r>
        <w:rPr>
          <w:rFonts w:ascii="Courier New" w:hAnsi="Courier New" w:cs="Courier New"/>
          <w:color w:val="000000"/>
          <w:lang w:val="hy-AM"/>
        </w:rPr>
        <w:t> </w:t>
      </w:r>
      <w:r>
        <w:rPr>
          <w:rFonts w:ascii="GHEA Grapalat" w:hAnsi="GHEA Grapalat"/>
          <w:color w:val="000000"/>
          <w:lang w:val="hy-AM"/>
        </w:rPr>
        <w:t>մեկ տարվա այն ժամանակահատվածի համար, որի ընթացքում անձը կենսաթոշակ ստանալու իրավունք է ունեցել: Նշված լիազորագրով վճարվում է նաև հետագա 12 ամսվա կենսաթոշակի գումարը՝ սկսած լիազորագիրը տալու ամսվանից, բայց ոչ ավելի, քան լիազորագրի գործողությունը դադարելը։ Սակայն լիազորագրով կենսաթոշակը վճարելու ընթացքում լինում են դեպքեր, երբ անձի կենսաթոշակի իրավունքը դադարեցվում է (օրինակ՝ ԱՊՀ անդամ պետությունում նշանակվում է կենսաթոշակ)։ Սա նշանակում է, որ հստակեցման կարիք ունեն Որոշման N 1 հավելվածի այն դրույթները, որոնք վերաբերում են լիազորագրով կենսաթոշակը վճարելու ընթացքում և նախատեսել առանձնահատկություն՝ Օրենքով սահմանված կարգով կենսաթոշակ ստանալու իրավունքը դադարեցնելուն։</w:t>
      </w:r>
    </w:p>
    <w:p w:rsidR="006D1444" w:rsidRDefault="006D1444" w:rsidP="006D1444">
      <w:pPr>
        <w:pStyle w:val="NormalWeb"/>
        <w:numPr>
          <w:ilvl w:val="0"/>
          <w:numId w:val="10"/>
        </w:numPr>
        <w:shd w:val="clear" w:color="auto" w:fill="FFFFFF"/>
        <w:tabs>
          <w:tab w:val="left" w:pos="851"/>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Որոշման Ν 13-րդ </w:t>
      </w:r>
      <w:r>
        <w:rPr>
          <w:rFonts w:ascii="GHEA Grapalat" w:hAnsi="GHEA Grapalat"/>
          <w:color w:val="000000"/>
          <w:lang w:val="hy-AM"/>
        </w:rPr>
        <w:t>հավելվածով</w:t>
      </w:r>
      <w:r>
        <w:rPr>
          <w:rFonts w:ascii="GHEA Grapalat" w:hAnsi="GHEA Grapalat"/>
          <w:lang w:val="hy-AM"/>
        </w:rPr>
        <w:t xml:space="preserve"> սահմանված է եղել կենսաթոշակի վկայականի ձևը։ Հավելվածն ուժը կորցրած  է ճանաչվել Կառավարության 14.03.19 N 237-Ն որոշմամբ՝ դրանց ոչ կիրառելի լինելու հիմքով։ Ըստ այդմ, անհրաժեշտ է Որոշումից հանել կենսաթոշակի վկայականին առնչվող դրույթները։ </w:t>
      </w:r>
    </w:p>
    <w:p w:rsidR="006D1444" w:rsidRDefault="006D1444" w:rsidP="006D1444">
      <w:pPr>
        <w:pStyle w:val="NormalWeb"/>
        <w:shd w:val="clear" w:color="auto" w:fill="FFFFFF"/>
        <w:tabs>
          <w:tab w:val="left" w:pos="851"/>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 xml:space="preserve">Հարկ է նկատի ունենալ, որ </w:t>
      </w:r>
      <w:r>
        <w:rPr>
          <w:rFonts w:ascii="GHEA Grapalat" w:hAnsi="GHEA Grapalat"/>
          <w:color w:val="000000"/>
          <w:lang w:val="hy-AM"/>
        </w:rPr>
        <w:t>ծառայության</w:t>
      </w:r>
      <w:r>
        <w:rPr>
          <w:rFonts w:ascii="GHEA Grapalat" w:hAnsi="GHEA Grapalat"/>
          <w:lang w:val="hy-AM"/>
        </w:rPr>
        <w:t xml:space="preserve"> կողմից արդեն իսկ տրամադրվում են կենսաթոշակի (նպաստի) իրավունքին առնչվող տեղեկանքներ՝ Ծառայության բլանկով, առանց կնիքի և ստորագրության, որոնք գեներացվում են ինքնաշխատ եղանակով՝ QR կոդով և 16 նիշանոց հսկիչ համարով։ </w:t>
      </w:r>
    </w:p>
    <w:p w:rsidR="006D1444" w:rsidRDefault="006D1444" w:rsidP="006D1444">
      <w:pPr>
        <w:spacing w:after="0" w:line="360" w:lineRule="auto"/>
        <w:ind w:firstLine="709"/>
        <w:jc w:val="both"/>
        <w:rPr>
          <w:rFonts w:cs="Sylfaen"/>
          <w:spacing w:val="-4"/>
          <w:szCs w:val="24"/>
          <w:lang w:val="hy-AM"/>
        </w:rPr>
      </w:pPr>
      <w:r>
        <w:rPr>
          <w:szCs w:val="24"/>
          <w:lang w:val="hy-AM"/>
        </w:rPr>
        <w:t>Տեղեկանքների վավերականության (իսկության) QR կոդի կամ 16 նիշանոց ունիկալ</w:t>
      </w:r>
      <w:r>
        <w:rPr>
          <w:rFonts w:cs="Sylfaen"/>
          <w:spacing w:val="-4"/>
          <w:szCs w:val="24"/>
          <w:lang w:val="hy-AM"/>
        </w:rPr>
        <w:t xml:space="preserve"> կոդի (հսկիչ համարի) միջոցով ստուգումն իրականացվում է Ծառայության online.ssa.am հարթակում կամ ՀՀ պաշտոնական փաստաթղթերի վավերականության ստուգման՝ e</w:t>
      </w:r>
      <w:r>
        <w:rPr>
          <w:rFonts w:cs="Sylfaen"/>
          <w:spacing w:val="-4"/>
          <w:szCs w:val="24"/>
          <w:lang w:val="hy-AM"/>
        </w:rPr>
        <w:noBreakHyphen/>
        <w:t xml:space="preserve">verify.am միասնական համակարգում։ </w:t>
      </w:r>
    </w:p>
    <w:p w:rsidR="006D1444" w:rsidRDefault="006D1444" w:rsidP="006D1444">
      <w:pPr>
        <w:pStyle w:val="NormalWeb"/>
        <w:spacing w:before="0" w:beforeAutospacing="0" w:after="0" w:afterAutospacing="0" w:line="360" w:lineRule="auto"/>
        <w:ind w:firstLine="720"/>
        <w:jc w:val="both"/>
        <w:rPr>
          <w:rFonts w:ascii="GHEA Grapalat" w:hAnsi="GHEA Grapalat" w:cs="Sylfaen"/>
          <w:spacing w:val="-4"/>
          <w:lang w:val="hy-AM"/>
        </w:rPr>
      </w:pPr>
      <w:r>
        <w:rPr>
          <w:rFonts w:ascii="GHEA Grapalat" w:hAnsi="GHEA Grapalat" w:cs="Sylfaen"/>
          <w:spacing w:val="-4"/>
          <w:lang w:val="hy-AM"/>
        </w:rPr>
        <w:t xml:space="preserve">Ընդ որում, այդօրինակ տեղեկանքները (ՀՀ-ում կենսաթոշակառու կամ ծերության, կամ հաշմանդամության, կամ կերակրողին կորցնելու դեպքում նպաստառու լինելու (չլինելու), կենսաթոշակի (նպաստի) չափի վերաբերյալ) տրամադրվում են անմիջապես։ </w:t>
      </w:r>
    </w:p>
    <w:p w:rsidR="006D1444" w:rsidRDefault="006D1444" w:rsidP="006D1444">
      <w:pPr>
        <w:pStyle w:val="NormalWeb"/>
        <w:spacing w:before="0" w:beforeAutospacing="0" w:after="0" w:afterAutospacing="0" w:line="360" w:lineRule="auto"/>
        <w:ind w:firstLine="720"/>
        <w:jc w:val="both"/>
        <w:rPr>
          <w:rFonts w:ascii="GHEA Grapalat" w:hAnsi="GHEA Grapalat" w:cs="Sylfaen"/>
          <w:spacing w:val="-4"/>
          <w:lang w:val="hy-AM"/>
        </w:rPr>
      </w:pPr>
      <w:r>
        <w:rPr>
          <w:rFonts w:ascii="GHEA Grapalat" w:hAnsi="GHEA Grapalat" w:cs="Sylfaen"/>
          <w:spacing w:val="-4"/>
          <w:lang w:val="hy-AM"/>
        </w:rPr>
        <w:lastRenderedPageBreak/>
        <w:t>Եթե շահառուների կողմից պահանջվում են ոչ QR կոդով (հիմնականում՝ այլ պետություն ներկայացնելու համար) տեղեկանքներ, ապա այդ դիմումները մուտքագրվում են Միասնական սոցիալական ծառայության էլեկտրոնային փաստաթղթաշարժի mulberry համակարգ: Այս դեպքում տեղեկանքները տրամադրվում են մինչև 5 աշխատանքային օրվա ընթացքում։</w:t>
      </w:r>
    </w:p>
    <w:p w:rsidR="006D1444" w:rsidRDefault="006D1444" w:rsidP="006D1444">
      <w:pPr>
        <w:pStyle w:val="NormalWeb"/>
        <w:numPr>
          <w:ilvl w:val="0"/>
          <w:numId w:val="10"/>
        </w:numPr>
        <w:shd w:val="clear" w:color="auto" w:fill="FFFFFF"/>
        <w:tabs>
          <w:tab w:val="left" w:pos="851"/>
        </w:tabs>
        <w:spacing w:before="0" w:beforeAutospacing="0" w:after="0" w:afterAutospacing="0" w:line="360" w:lineRule="auto"/>
        <w:ind w:left="0" w:firstLine="720"/>
        <w:jc w:val="both"/>
        <w:rPr>
          <w:rFonts w:ascii="GHEA Grapalat" w:hAnsi="GHEA Grapalat"/>
          <w:lang w:val="hy-AM"/>
        </w:rPr>
      </w:pPr>
      <w:r>
        <w:rPr>
          <w:rFonts w:ascii="GHEA Grapalat" w:hAnsi="GHEA Grapalat"/>
          <w:color w:val="000000"/>
          <w:lang w:val="hy-AM"/>
        </w:rPr>
        <w:t>Մեկ այլ խնդիր առկա է Օրենքի</w:t>
      </w:r>
      <w:r>
        <w:rPr>
          <w:rFonts w:ascii="GHEA Grapalat" w:hAnsi="GHEA Grapalat"/>
          <w:lang w:val="hy-AM"/>
        </w:rPr>
        <w:t xml:space="preserve"> 32-րդ հոդվածի 3-րդ մասի կիրառությունում։ Օրենքի 1.1-ին մասի համաձայն՝ 1992 թվականի հունվարի 1-ից մինչև 2013 թվականի հունվարի 1-ն ընկած ժամանակահատվածի համար աշխատանքային ստաժը հաստատող հիմնական փաստաթուղթը՝</w:t>
      </w:r>
    </w:p>
    <w:p w:rsidR="006D1444" w:rsidRDefault="006D1444" w:rsidP="006D1444">
      <w:pPr>
        <w:spacing w:after="0" w:line="360" w:lineRule="auto"/>
        <w:ind w:firstLine="709"/>
        <w:jc w:val="both"/>
        <w:rPr>
          <w:szCs w:val="24"/>
          <w:lang w:val="hy-AM"/>
        </w:rPr>
      </w:pPr>
      <w:r>
        <w:rPr>
          <w:szCs w:val="24"/>
          <w:lang w:val="hy-AM"/>
        </w:rPr>
        <w:t xml:space="preserve">1) </w:t>
      </w:r>
      <w:r>
        <w:rPr>
          <w:b/>
          <w:szCs w:val="24"/>
          <w:lang w:val="hy-AM"/>
        </w:rPr>
        <w:t>աշխատանքային գրքույկն է կամ Կառավարության սահմանած այլ փաստաթուղթ</w:t>
      </w:r>
      <w:r>
        <w:rPr>
          <w:szCs w:val="24"/>
          <w:lang w:val="hy-AM"/>
        </w:rPr>
        <w:t xml:space="preserve"> և</w:t>
      </w:r>
    </w:p>
    <w:p w:rsidR="006D1444" w:rsidRDefault="006D1444" w:rsidP="006D1444">
      <w:pPr>
        <w:spacing w:after="0" w:line="360" w:lineRule="auto"/>
        <w:ind w:firstLine="709"/>
        <w:jc w:val="both"/>
        <w:rPr>
          <w:szCs w:val="24"/>
          <w:lang w:val="hy-AM"/>
        </w:rPr>
      </w:pPr>
      <w:r>
        <w:rPr>
          <w:szCs w:val="24"/>
          <w:lang w:val="hy-AM"/>
        </w:rPr>
        <w:t>2) սոցիալական վճարներ կատարելը կամ աշխատավարձ ստանալը հաստատող փաստաթուղթը, բացառությամբ Կառավարության սահմանած դեպքերի:</w:t>
      </w:r>
    </w:p>
    <w:p w:rsidR="006D1444" w:rsidRDefault="006D1444" w:rsidP="006D1444">
      <w:pPr>
        <w:spacing w:after="0" w:line="360" w:lineRule="auto"/>
        <w:ind w:firstLine="709"/>
        <w:jc w:val="both"/>
        <w:rPr>
          <w:szCs w:val="24"/>
          <w:lang w:val="hy-AM"/>
        </w:rPr>
      </w:pPr>
      <w:r>
        <w:rPr>
          <w:szCs w:val="24"/>
          <w:lang w:val="hy-AM"/>
        </w:rPr>
        <w:t xml:space="preserve">Նույն հոդվածի 3-րդ մասի համաձայն՝ </w:t>
      </w:r>
      <w:r>
        <w:rPr>
          <w:b/>
          <w:szCs w:val="24"/>
          <w:lang w:val="hy-AM"/>
        </w:rPr>
        <w:t>աշխատանքային գրքույկի կամ դրանում համապատասխան գրառումների կամ ստաժը հաստատող` Կառավարության սահմանած այլ փաստաթղթերի</w:t>
      </w:r>
      <w:r>
        <w:rPr>
          <w:szCs w:val="24"/>
          <w:lang w:val="hy-AM"/>
        </w:rPr>
        <w:t xml:space="preserve"> բացակայության դեպքում </w:t>
      </w:r>
      <w:r>
        <w:rPr>
          <w:b/>
          <w:szCs w:val="24"/>
          <w:lang w:val="hy-AM"/>
        </w:rPr>
        <w:t>աշխատանքային ստաժը հաստատվում</w:t>
      </w:r>
      <w:r>
        <w:rPr>
          <w:szCs w:val="24"/>
          <w:lang w:val="hy-AM"/>
        </w:rPr>
        <w:t xml:space="preserve"> է արխիվային տեղեկանքով, իսկ դրա բացակայության դեպքում` </w:t>
      </w:r>
      <w:r>
        <w:rPr>
          <w:b/>
          <w:szCs w:val="24"/>
          <w:lang w:val="hy-AM"/>
        </w:rPr>
        <w:t>դատական կարգով</w:t>
      </w:r>
      <w:r>
        <w:rPr>
          <w:szCs w:val="24"/>
          <w:lang w:val="hy-AM"/>
        </w:rPr>
        <w:t>:</w:t>
      </w:r>
    </w:p>
    <w:p w:rsidR="006D1444" w:rsidRDefault="006D1444" w:rsidP="006D1444">
      <w:pPr>
        <w:pStyle w:val="NormalWeb"/>
        <w:shd w:val="clear" w:color="auto" w:fill="FFFFFF"/>
        <w:tabs>
          <w:tab w:val="left" w:pos="851"/>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 xml:space="preserve">Վերջին </w:t>
      </w:r>
      <w:r>
        <w:rPr>
          <w:rFonts w:ascii="GHEA Grapalat" w:hAnsi="GHEA Grapalat"/>
          <w:color w:val="000000"/>
          <w:lang w:val="hy-AM"/>
        </w:rPr>
        <w:t>ժամանակներում</w:t>
      </w:r>
      <w:r>
        <w:rPr>
          <w:rFonts w:ascii="GHEA Grapalat" w:hAnsi="GHEA Grapalat"/>
          <w:lang w:val="hy-AM"/>
        </w:rPr>
        <w:t xml:space="preserve"> ի հայտ են գալիս դեպքեր, երբ առաջին ատյանի ընդհանուր իրավասության քաղաքացիական դատարանը վկայությամբ, որպես իրավաբանական նշանակություն ունեցող փաստ, հաստատում է աշխատային ստաժեր։ Ընդ որում, լինում են դեպքեր, երբ աշխատանքային գրքույկում առկա են գրառումներ այն ժամանակահատվածի վերաբերյալ, որը հաստատվում է նման դատական վճռով։ Հարկ է նկատի ունենալ, որ Օրենքի 32-րդ հոդվածի 3-րդ մասը վերաբերում է </w:t>
      </w:r>
      <w:r>
        <w:rPr>
          <w:rFonts w:ascii="GHEA Grapalat" w:hAnsi="GHEA Grapalat"/>
          <w:b/>
          <w:lang w:val="hy-AM"/>
        </w:rPr>
        <w:t xml:space="preserve">աշխատանքային գրքույկի կամ դրանում համապատասխան գրառումների կամ ստաժը հաստատող` </w:t>
      </w:r>
      <w:r>
        <w:rPr>
          <w:rFonts w:ascii="GHEA Grapalat" w:hAnsi="GHEA Grapalat"/>
          <w:b/>
          <w:lang w:val="hy-AM"/>
        </w:rPr>
        <w:lastRenderedPageBreak/>
        <w:t>Կառավարության սահմանած այլ փաստաթղթերի</w:t>
      </w:r>
      <w:r>
        <w:rPr>
          <w:rFonts w:ascii="GHEA Grapalat" w:hAnsi="GHEA Grapalat"/>
          <w:lang w:val="hy-AM"/>
        </w:rPr>
        <w:t xml:space="preserve"> բացակայության դեպքին, այսինքն այդ հոդվածի 1.1-ին մասի 1-ին կետին։</w:t>
      </w:r>
    </w:p>
    <w:p w:rsidR="006D1444" w:rsidRDefault="006D1444" w:rsidP="006D1444">
      <w:pPr>
        <w:spacing w:after="0" w:line="360" w:lineRule="auto"/>
        <w:ind w:firstLine="709"/>
        <w:jc w:val="both"/>
        <w:rPr>
          <w:szCs w:val="24"/>
          <w:lang w:val="hy-AM"/>
        </w:rPr>
      </w:pPr>
      <w:r>
        <w:rPr>
          <w:szCs w:val="24"/>
          <w:lang w:val="hy-AM"/>
        </w:rPr>
        <w:t>Ըստ այդմ, անհրաժեշտ է որոշման մեջ հստակեցնել նման դատական վճիռների հիման վրա աշխատանքային ստաժը հաստատելու կարգը։</w:t>
      </w:r>
    </w:p>
    <w:p w:rsidR="006D1444" w:rsidRDefault="006D1444" w:rsidP="006D1444">
      <w:pPr>
        <w:pStyle w:val="NormalWeb"/>
        <w:numPr>
          <w:ilvl w:val="0"/>
          <w:numId w:val="10"/>
        </w:numPr>
        <w:shd w:val="clear" w:color="auto" w:fill="FFFFFF"/>
        <w:tabs>
          <w:tab w:val="left" w:pos="851"/>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1992-2003թթ. չի վարվել անձնավորված հաշվառում և 1998-2003թթ. </w:t>
      </w:r>
      <w:r>
        <w:rPr>
          <w:rFonts w:ascii="GHEA Grapalat" w:hAnsi="GHEA Grapalat"/>
          <w:color w:val="000000"/>
          <w:lang w:val="hy-AM"/>
        </w:rPr>
        <w:t xml:space="preserve">ծառայության կենսաթոշակ նշանակող ստորաբաժանումում հաշվառված ապահովադիրներին և նրանց կատարած սոցիալական վճարներին վերաբերող` ապահովադիրների հաշվառման էլեկտրոնային տվյալների բազայում առկա տեղեկատվության հիման վրա </w:t>
      </w:r>
      <w:r>
        <w:rPr>
          <w:rFonts w:ascii="GHEA Grapalat" w:hAnsi="GHEA Grapalat"/>
          <w:lang w:val="hy-AM"/>
        </w:rPr>
        <w:t xml:space="preserve">Որոշման N 1 հավելվածի 15.5-րդ կետով սահմանված  կարգով հաստատվում է 1992-1998թթ. </w:t>
      </w:r>
      <w:r>
        <w:rPr>
          <w:rFonts w:ascii="GHEA Grapalat" w:hAnsi="GHEA Grapalat" w:cs="Arial"/>
          <w:color w:val="000000"/>
          <w:lang w:val="hy-AM"/>
        </w:rPr>
        <w:t>սոցիալական</w:t>
      </w:r>
      <w:r>
        <w:rPr>
          <w:rFonts w:ascii="GHEA Grapalat" w:hAnsi="GHEA Grapalat"/>
          <w:color w:val="000000"/>
          <w:lang w:val="hy-AM"/>
        </w:rPr>
        <w:t xml:space="preserve"> </w:t>
      </w:r>
      <w:r>
        <w:rPr>
          <w:rFonts w:ascii="GHEA Grapalat" w:hAnsi="GHEA Grapalat" w:cs="Arial"/>
          <w:color w:val="000000"/>
          <w:lang w:val="hy-AM"/>
        </w:rPr>
        <w:t>վճարներ</w:t>
      </w:r>
      <w:r>
        <w:rPr>
          <w:rFonts w:ascii="GHEA Grapalat" w:hAnsi="GHEA Grapalat"/>
          <w:color w:val="000000"/>
          <w:lang w:val="hy-AM"/>
        </w:rPr>
        <w:t xml:space="preserve"> </w:t>
      </w:r>
      <w:r>
        <w:rPr>
          <w:rFonts w:ascii="GHEA Grapalat" w:hAnsi="GHEA Grapalat" w:cs="Arial"/>
          <w:color w:val="000000"/>
          <w:lang w:val="hy-AM"/>
        </w:rPr>
        <w:t>կատա</w:t>
      </w:r>
      <w:r>
        <w:rPr>
          <w:rFonts w:ascii="GHEA Grapalat" w:hAnsi="GHEA Grapalat"/>
          <w:color w:val="000000"/>
          <w:lang w:val="hy-AM"/>
        </w:rPr>
        <w:t>րած լինելը: Այս տրամաբանությամբ, երբ միայն ապահովադիրի կողմից սոցիալական վճար կատարած լինելու փաստը հիմք է կազմակերպության բոլոր աշխատակիցների համար սոցիալական վճար կատարած լինելը հաստատելու համար, նպատակահարմար է հիմք ընդունել նաև ապահովադիրի սոցիալական վճար կատարելը  վճարման հանձնարարագրերը կամ անդորրագրերը:</w:t>
      </w:r>
    </w:p>
    <w:p w:rsidR="006D1444" w:rsidRDefault="006D1444" w:rsidP="006D1444">
      <w:pPr>
        <w:pStyle w:val="NormalWeb"/>
        <w:numPr>
          <w:ilvl w:val="0"/>
          <w:numId w:val="10"/>
        </w:numPr>
        <w:shd w:val="clear" w:color="auto" w:fill="FFFFFF"/>
        <w:tabs>
          <w:tab w:val="left" w:pos="851"/>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Հաշվի առնելով պետական կենսաթոշակային համակարգի տվյալների շտեմարանում առկա տեղեկատվությունը՝ անհրաժաշտ է ընդլայնել ինքնաշխատ եղանակով կատարվող գործողությունները։</w:t>
      </w:r>
    </w:p>
    <w:p w:rsidR="006D1444" w:rsidRDefault="006D1444" w:rsidP="006D1444">
      <w:pPr>
        <w:pStyle w:val="NormalWeb"/>
        <w:numPr>
          <w:ilvl w:val="0"/>
          <w:numId w:val="10"/>
        </w:numPr>
        <w:shd w:val="clear" w:color="auto" w:fill="FFFFFF"/>
        <w:tabs>
          <w:tab w:val="left" w:pos="851"/>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Անհրաժեշտ է </w:t>
      </w:r>
      <w:r>
        <w:rPr>
          <w:rFonts w:ascii="GHEA Grapalat" w:hAnsi="GHEA Grapalat"/>
          <w:color w:val="000000"/>
          <w:lang w:val="hy-AM"/>
        </w:rPr>
        <w:t>Որոշման</w:t>
      </w:r>
      <w:r>
        <w:rPr>
          <w:rFonts w:ascii="GHEA Grapalat" w:hAnsi="GHEA Grapalat"/>
          <w:lang w:val="hy-AM"/>
        </w:rPr>
        <w:t xml:space="preserve"> Ν 2 հավելվածի 31-րդ կետն ուժը կորցրած ճանաչել՝ համապատասխանեցնելով Օրենքի 29-րդ հոդվածի 2-րդ մասին։  </w:t>
      </w:r>
    </w:p>
    <w:p w:rsidR="006D1444" w:rsidRDefault="006D1444" w:rsidP="006D1444">
      <w:pPr>
        <w:pStyle w:val="NormalWeb"/>
        <w:numPr>
          <w:ilvl w:val="0"/>
          <w:numId w:val="10"/>
        </w:numPr>
        <w:shd w:val="clear" w:color="auto" w:fill="FFFFFF"/>
        <w:tabs>
          <w:tab w:val="left" w:pos="851"/>
        </w:tabs>
        <w:spacing w:before="0" w:beforeAutospacing="0" w:after="0" w:afterAutospacing="0" w:line="360" w:lineRule="auto"/>
        <w:ind w:left="0" w:firstLine="720"/>
        <w:jc w:val="both"/>
        <w:rPr>
          <w:rFonts w:ascii="GHEA Grapalat" w:hAnsi="GHEA Grapalat" w:cs="Sylfaen"/>
          <w:lang w:val="hy-AM"/>
        </w:rPr>
      </w:pPr>
      <w:r>
        <w:rPr>
          <w:rFonts w:ascii="GHEA Grapalat" w:hAnsi="GHEA Grapalat"/>
          <w:lang w:val="hy-AM"/>
        </w:rPr>
        <w:t xml:space="preserve">1992 թվականի </w:t>
      </w:r>
      <w:r>
        <w:rPr>
          <w:rFonts w:ascii="GHEA Grapalat" w:hAnsi="GHEA Grapalat"/>
          <w:color w:val="000000"/>
          <w:lang w:val="hy-AM"/>
        </w:rPr>
        <w:t>մարտի</w:t>
      </w:r>
      <w:r>
        <w:rPr>
          <w:rFonts w:ascii="GHEA Grapalat" w:hAnsi="GHEA Grapalat"/>
          <w:lang w:val="hy-AM"/>
        </w:rPr>
        <w:t xml:space="preserve"> 13-ի «Կենսաթոշակային ապահովության բնագավառում Անկախ պետությունների համագործակցության մասնակից պետությունների քաղաքացիների իրավունքների երաշխիքների մասին», 1992 թվականի մայիսի 15-ի «Անկախ պետությունների համագործակցության մասնակից պետությունների զինծառայողների և նրանց ընտանիքների անդամների կենսաթոշակային ապահովության և պետական ապահովագրության մասին», 1993 թվականի դեկտեմբերի 24-ի «Անկախ </w:t>
      </w:r>
      <w:r>
        <w:rPr>
          <w:rFonts w:ascii="GHEA Grapalat" w:hAnsi="GHEA Grapalat"/>
          <w:lang w:val="hy-AM"/>
        </w:rPr>
        <w:lastRenderedPageBreak/>
        <w:t xml:space="preserve">պետությունների համագործակցության մասնակից պետությունների ներքին գործերի մարմինների աշխատակիցների կենսաթոշակային ապահովման և պետական ապահովագրության կարգի մասին» համաձայնագրերին իրենց մասնակցությունն են դադարեցրել ՌԴ-ն և Ուկրաինան։ Այս դեպքում լրացուցիչ կարգավորման կարիք ունեն նշված համաձայնագրերի շրջանակում ձեռք բերած աշխատանքային կամ զինվորական ստաժը հաշվարկելու վերաբերյալ՝ Որոշման  Ν 2, 3 հավելվածների համապատասխան դրույթները։ Բացի դրանից, նպատակահարմար է Որոշման  Ν 1 հավելվածի 15.4-րդ կետը նախատեսել Որոշման  Ν 2 հավելվածում (ստաժի հաշվարկման կարգում)։ Այս դեպքում հարկ է նկատի ունենալ, որ ՌԴ-ն՝ չնայած դենոնսացիայի, շարոնկաում է ԱՊՀ համաձայնագրի կիրառումը աշխատանքային կենսաթոշակ նշանակելիս՝ հիմք ընդունելով </w:t>
      </w:r>
      <w:r>
        <w:rPr>
          <w:rFonts w:ascii="GHEA Grapalat" w:hAnsi="GHEA Grapalat" w:cs="Sylfaen"/>
          <w:b/>
          <w:lang w:val="hy-AM"/>
        </w:rPr>
        <w:t xml:space="preserve"> </w:t>
      </w:r>
      <w:r>
        <w:rPr>
          <w:rFonts w:ascii="GHEA Grapalat" w:hAnsi="GHEA Grapalat" w:cs="Sylfaen"/>
          <w:lang w:val="hy-AM"/>
        </w:rPr>
        <w:t>«Եվրասիական տնտեսական միության անդամ պետությունների աշխատողների կենսաթոշակային ապահովության մասին» համաձայնագրի 12-րդ հոդվածը։</w:t>
      </w:r>
    </w:p>
    <w:p w:rsidR="006D1444" w:rsidRDefault="006D1444" w:rsidP="006D1444">
      <w:pPr>
        <w:pStyle w:val="NormalWeb"/>
        <w:numPr>
          <w:ilvl w:val="0"/>
          <w:numId w:val="10"/>
        </w:numPr>
        <w:shd w:val="clear" w:color="auto" w:fill="FFFFFF"/>
        <w:tabs>
          <w:tab w:val="left" w:pos="851"/>
        </w:tabs>
        <w:spacing w:before="0" w:beforeAutospacing="0" w:after="0" w:afterAutospacing="0" w:line="360" w:lineRule="auto"/>
        <w:ind w:left="0" w:firstLine="720"/>
        <w:jc w:val="both"/>
        <w:rPr>
          <w:rFonts w:ascii="GHEA Grapalat" w:hAnsi="GHEA Grapalat"/>
          <w:lang w:val="hy-AM"/>
        </w:rPr>
      </w:pPr>
      <w:r>
        <w:rPr>
          <w:rFonts w:ascii="GHEA Grapalat" w:hAnsi="GHEA Grapalat" w:cs="Sylfaen"/>
          <w:lang w:val="hy-AM"/>
        </w:rPr>
        <w:t xml:space="preserve">Ի տարբերություն աշխատանքային կենսաթոշակների՝ ըստ ՌԴ ՆԳՆ և ԱԱԾ մարմիններից ստացված տեղեկատվության՝ համապատասխան համաձայնագրերին անդամակցությունը դադարեցնելուց (16.09.2024թ. և 19.04.2024թ.) հետո նշված մարմինները զինվորական կենսաթոշակ չեն նշանակում, իսկ մինչ այդ նշանակած կենսաթոշակները շարունակում են վճարել ՌԴ օրենսդրությամբ սահմանված կարգով։ </w:t>
      </w:r>
      <w:r>
        <w:rPr>
          <w:rFonts w:ascii="GHEA Grapalat" w:hAnsi="GHEA Grapalat" w:cs="Sylfaen"/>
        </w:rPr>
        <w:t xml:space="preserve">Ըստ այդմ, անհրաժեշտ է համարժեք կարգավորումներ նախատեսել ՀՀ օրենսդրությամբ: </w:t>
      </w:r>
    </w:p>
    <w:p w:rsidR="006D1444" w:rsidRDefault="006D1444" w:rsidP="006D1444">
      <w:pPr>
        <w:pStyle w:val="NormalWeb"/>
        <w:numPr>
          <w:ilvl w:val="0"/>
          <w:numId w:val="10"/>
        </w:numPr>
        <w:shd w:val="clear" w:color="auto" w:fill="FFFFFF"/>
        <w:tabs>
          <w:tab w:val="left" w:pos="851"/>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Որոշման Ν 2 հավելվածի 43-րդ կետի համաձայն՝ գրքույկի գրառումները պետք է ձևակերպված լինեն աշխատանքային գրքույկները վարելու այն կարգի համապատասխան, որը գործել է այդ գրառումները կատարելու օրվա դրությամբ։ Լինում են դեպքեր, երբ գործատուն չի պահպանել գրառումները կատարելու կարգը, սակայն դրան հաջորդող գրառումները պատշաճ են։ Նպատակահարմար է սահմանել աշխատանքային գրքույկի գրառումները հաշվի առնելու առանձնահատկություններ։</w:t>
      </w:r>
    </w:p>
    <w:p w:rsidR="006D1444" w:rsidRDefault="006D1444" w:rsidP="006D1444">
      <w:pPr>
        <w:pStyle w:val="NormalWeb"/>
        <w:numPr>
          <w:ilvl w:val="0"/>
          <w:numId w:val="10"/>
        </w:numPr>
        <w:shd w:val="clear" w:color="auto" w:fill="FFFFFF"/>
        <w:tabs>
          <w:tab w:val="left" w:pos="851"/>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Եթե ստաժը հաստատող փաստաթղթում անձի անունը կամ հայրանունը, կամ ազգանունը չի համընկնում նրա անձը հաստատող փաստաթղթում գրառված </w:t>
      </w:r>
      <w:r>
        <w:rPr>
          <w:rFonts w:ascii="GHEA Grapalat" w:hAnsi="GHEA Grapalat"/>
          <w:lang w:val="hy-AM"/>
        </w:rPr>
        <w:lastRenderedPageBreak/>
        <w:t>անվանը կամ հայրանվանը, կամ ազգանվանը, ապա այդ փաստաթուղթը տվյալ անձին պատկանելու փաստը հաստատվում է ամուսնության վկայականով կամ անունը կամ հայրանունը, կամ ազգանունը փոխելու մասին վկայականով, կամ նոտարական ակտով, կամ դատական կարգով (Որոշման Ν 2 հավելվածի 52-րդ կետ): Նպատակահարմար է անդրադառնալ նաև այն դեպքերին, երբ ստաժը և անձը հաստատող փաստաթղթերում անձի անունը կամ հայրանունը կամ ազգանունը տարբերվում են ակնհայտ տառասխալով, ընդունված արտասանական կրճատ տարբերակով և այլն:</w:t>
      </w:r>
    </w:p>
    <w:p w:rsidR="006D1444" w:rsidRDefault="006D1444" w:rsidP="006D1444">
      <w:pPr>
        <w:pStyle w:val="NormalWeb"/>
        <w:numPr>
          <w:ilvl w:val="0"/>
          <w:numId w:val="10"/>
        </w:numPr>
        <w:shd w:val="clear" w:color="auto" w:fill="FFFFFF"/>
        <w:tabs>
          <w:tab w:val="left" w:pos="851"/>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Իրավակիրառ պրակտիկայից ելնելով՝ անհրաժեշտություն է առաջացել հստակեցնել Որոշման Ν 6 հավելվածի աղյուսակում նշված՝ մասնակի կենսաթոշակի իրավունք տվող մասնագիտությունների և պաշտոնների անվանումները:</w:t>
      </w:r>
    </w:p>
    <w:p w:rsidR="006D1444" w:rsidRDefault="006D1444" w:rsidP="006D1444">
      <w:pPr>
        <w:pStyle w:val="NormalWeb"/>
        <w:numPr>
          <w:ilvl w:val="0"/>
          <w:numId w:val="10"/>
        </w:numPr>
        <w:shd w:val="clear" w:color="auto" w:fill="FFFFFF"/>
        <w:tabs>
          <w:tab w:val="left" w:pos="851"/>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Նպատակահարմար է Որոշման Ν 10 հավելվածով ընդլայնել ստաժը հստատող փաստաթղթերի ցանկը՝ մեծացնելով ստաժը հաստատելու հնարավորությունը։</w:t>
      </w:r>
    </w:p>
    <w:p w:rsidR="006D1444" w:rsidRDefault="006D1444" w:rsidP="006D1444">
      <w:pPr>
        <w:spacing w:after="0" w:line="360" w:lineRule="auto"/>
        <w:ind w:firstLine="709"/>
        <w:jc w:val="both"/>
        <w:rPr>
          <w:rFonts w:eastAsia="Times New Roman" w:cs="Times New Roman"/>
          <w:szCs w:val="24"/>
          <w:lang w:val="hy-AM"/>
        </w:rPr>
      </w:pPr>
      <w:r>
        <w:rPr>
          <w:rFonts w:eastAsia="Times New Roman" w:cs="Times New Roman"/>
          <w:szCs w:val="24"/>
          <w:lang w:val="hy-AM"/>
        </w:rPr>
        <w:t xml:space="preserve">Ելնելով վերոգրյալից՝ անհրաժեշտ է փոփոխություններ կատարել Որոշման մեջ։ </w:t>
      </w:r>
    </w:p>
    <w:p w:rsidR="006D1444" w:rsidRDefault="006D1444" w:rsidP="006D1444">
      <w:pPr>
        <w:spacing w:after="0" w:line="360" w:lineRule="auto"/>
        <w:ind w:firstLine="375"/>
        <w:jc w:val="both"/>
        <w:rPr>
          <w:rFonts w:cs="Sylfaen"/>
          <w:szCs w:val="24"/>
          <w:lang w:val="hy-AM"/>
        </w:rPr>
      </w:pPr>
      <w:r>
        <w:rPr>
          <w:rFonts w:cs="Sylfaen"/>
          <w:szCs w:val="24"/>
          <w:lang w:val="hy-AM"/>
        </w:rPr>
        <w:t xml:space="preserve">  </w:t>
      </w:r>
    </w:p>
    <w:p w:rsidR="006D1444" w:rsidRDefault="006D1444" w:rsidP="006D1444">
      <w:pPr>
        <w:tabs>
          <w:tab w:val="left" w:pos="1080"/>
        </w:tabs>
        <w:spacing w:after="0" w:line="360" w:lineRule="auto"/>
        <w:ind w:firstLine="720"/>
        <w:jc w:val="both"/>
        <w:rPr>
          <w:rFonts w:cs="Sylfaen"/>
          <w:b/>
          <w:szCs w:val="24"/>
          <w:lang w:val="hy-AM"/>
        </w:rPr>
      </w:pPr>
      <w:r>
        <w:rPr>
          <w:rFonts w:cs="Sylfaen"/>
          <w:b/>
          <w:szCs w:val="24"/>
          <w:lang w:val="hy-AM"/>
        </w:rPr>
        <w:t>1.2. Առկա խնդրի առաջարկվող լուծումը</w:t>
      </w:r>
    </w:p>
    <w:p w:rsidR="006D1444" w:rsidRDefault="006D1444" w:rsidP="006D1444">
      <w:pPr>
        <w:tabs>
          <w:tab w:val="left" w:pos="567"/>
        </w:tabs>
        <w:spacing w:after="0" w:line="360" w:lineRule="auto"/>
        <w:ind w:firstLine="720"/>
        <w:jc w:val="both"/>
        <w:rPr>
          <w:rFonts w:cs="Sylfaen"/>
          <w:szCs w:val="24"/>
          <w:lang w:val="hy-AM"/>
        </w:rPr>
      </w:pPr>
      <w:r>
        <w:rPr>
          <w:rFonts w:cs="Sylfaen"/>
          <w:szCs w:val="24"/>
          <w:lang w:val="hy-AM"/>
        </w:rPr>
        <w:t xml:space="preserve">Առաջարկվում է ընդունել «Հայաuտանի Հանրապետության կառավարության 2011 թվականի մայիսի 5-ի N 665-Ն որոշման մեջ լրացումներ և փոփոխություններ կատարելու մասին Հայաuտանի Հանրապետության կառավարության որոշման նախագիծը։ </w:t>
      </w:r>
    </w:p>
    <w:p w:rsidR="006D1444" w:rsidRDefault="006D1444" w:rsidP="006D1444">
      <w:pPr>
        <w:tabs>
          <w:tab w:val="left" w:pos="567"/>
        </w:tabs>
        <w:spacing w:after="0" w:line="360" w:lineRule="auto"/>
        <w:ind w:firstLine="720"/>
        <w:jc w:val="both"/>
        <w:rPr>
          <w:rFonts w:cs="Sylfaen"/>
          <w:szCs w:val="24"/>
          <w:lang w:val="hy-AM"/>
        </w:rPr>
      </w:pPr>
    </w:p>
    <w:p w:rsidR="006D1444" w:rsidRDefault="006D1444" w:rsidP="006D1444">
      <w:pPr>
        <w:tabs>
          <w:tab w:val="left" w:pos="1080"/>
        </w:tabs>
        <w:spacing w:after="0" w:line="360" w:lineRule="auto"/>
        <w:ind w:firstLine="720"/>
        <w:jc w:val="both"/>
        <w:rPr>
          <w:rFonts w:cs="Sylfaen"/>
          <w:b/>
          <w:szCs w:val="24"/>
          <w:lang w:val="hy-AM"/>
        </w:rPr>
      </w:pPr>
      <w:r>
        <w:rPr>
          <w:rFonts w:cs="Sylfaen"/>
          <w:b/>
          <w:szCs w:val="24"/>
          <w:lang w:val="hy-AM"/>
        </w:rPr>
        <w:t>2. Կարգավորման առարկան</w:t>
      </w:r>
    </w:p>
    <w:p w:rsidR="006D1444" w:rsidRDefault="006D1444" w:rsidP="006D1444">
      <w:pPr>
        <w:pStyle w:val="NormalWeb"/>
        <w:shd w:val="clear" w:color="auto" w:fill="FFFFFF"/>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Ներկայացված նախագծով առաջարկվում է՝</w:t>
      </w:r>
    </w:p>
    <w:p w:rsidR="006D1444" w:rsidRDefault="006D1444" w:rsidP="006D1444">
      <w:pPr>
        <w:pStyle w:val="NormalWeb"/>
        <w:numPr>
          <w:ilvl w:val="0"/>
          <w:numId w:val="11"/>
        </w:numPr>
        <w:shd w:val="clear" w:color="auto" w:fill="FFFFFF"/>
        <w:tabs>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հստակեցնել, որ կենսաթոշակային ոլորտի պետական կառավարման լիազոր մարմինն Աշխատանքի և սոցիալական հարցերի նախարարությունն է, բացառությամբ «Պետական կենսաթոշակների մասին» օրենքի 32-րդ հոդվածի 3-րդ, 43-րդ հոդվածի 6</w:t>
      </w:r>
      <w:r>
        <w:rPr>
          <w:rFonts w:ascii="GHEA Grapalat" w:hAnsi="GHEA Grapalat" w:cs="GHEA Grapalat"/>
          <w:color w:val="000000"/>
          <w:lang w:val="hy-AM"/>
        </w:rPr>
        <w:noBreakHyphen/>
        <w:t>րդ, 47-րդ հոդվածի 2-րդ մասերի, որոնցով սահմանված լիազոր մարմինը Աշխատանքի և սոցիալական հարցերի նախարարության միասնական սոցիալական ծառայությունն է,</w:t>
      </w:r>
    </w:p>
    <w:p w:rsidR="006D1444" w:rsidRDefault="006D1444" w:rsidP="006D1444">
      <w:pPr>
        <w:pStyle w:val="NormalWeb"/>
        <w:numPr>
          <w:ilvl w:val="0"/>
          <w:numId w:val="11"/>
        </w:numPr>
        <w:shd w:val="clear" w:color="auto" w:fill="FFFFFF"/>
        <w:tabs>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lastRenderedPageBreak/>
        <w:t xml:space="preserve">սահմանել, որ կենսաթոշակ </w:t>
      </w:r>
      <w:r>
        <w:rPr>
          <w:rFonts w:ascii="GHEA Grapalat" w:hAnsi="GHEA Grapalat" w:cs="Sylfaen"/>
          <w:lang w:val="hy-AM"/>
        </w:rPr>
        <w:t>նշանակող</w:t>
      </w:r>
      <w:r>
        <w:rPr>
          <w:rFonts w:ascii="GHEA Grapalat" w:hAnsi="GHEA Grapalat" w:cs="GHEA Grapalat"/>
          <w:color w:val="000000"/>
          <w:lang w:val="hy-AM"/>
        </w:rPr>
        <w:t xml:space="preserve"> իրավասու մարմիններն իրենց համակարգի կենսաթոշակ նշանակող ստորաբաժանումների համար վերադաս մարմինն են,</w:t>
      </w:r>
    </w:p>
    <w:p w:rsidR="006D1444" w:rsidRDefault="006D1444" w:rsidP="006D1444">
      <w:pPr>
        <w:pStyle w:val="NormalWeb"/>
        <w:numPr>
          <w:ilvl w:val="0"/>
          <w:numId w:val="11"/>
        </w:numPr>
        <w:shd w:val="clear" w:color="auto" w:fill="FFFFFF"/>
        <w:tabs>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 xml:space="preserve">խմբագրել </w:t>
      </w:r>
      <w:r>
        <w:rPr>
          <w:rFonts w:ascii="GHEA Grapalat" w:hAnsi="GHEA Grapalat"/>
          <w:color w:val="000000"/>
          <w:lang w:val="hy-AM"/>
        </w:rPr>
        <w:t xml:space="preserve">Որոշման N 1 հավելվածի 3.2-րդ կետը՝ հանելով դիմումը և անհրաժեշտ փաստաթղթերը ներկայացնելու մասով կարգավորումը, որը նախատեսված է նույն հավելվածի II բաժնով, </w:t>
      </w:r>
    </w:p>
    <w:p w:rsidR="006D1444" w:rsidRDefault="006D1444" w:rsidP="006D1444">
      <w:pPr>
        <w:pStyle w:val="NormalWeb"/>
        <w:numPr>
          <w:ilvl w:val="0"/>
          <w:numId w:val="11"/>
        </w:numPr>
        <w:shd w:val="clear" w:color="auto" w:fill="FFFFFF"/>
        <w:tabs>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Sylfaen"/>
          <w:lang w:val="hy-AM"/>
        </w:rPr>
        <w:t xml:space="preserve">հստակեցնել, որ քաղաքացիների ներկայացրած տվյալների (փաստաթղթերի) հավաստիության ուսումնասիրություններ (այդ թվում՝ կենսաթոշակ նշանակելուց հետո) կատարվում են, </w:t>
      </w:r>
      <w:r>
        <w:rPr>
          <w:rFonts w:ascii="GHEA Grapalat" w:hAnsi="GHEA Grapalat"/>
          <w:color w:val="000000"/>
          <w:lang w:val="hy-AM"/>
        </w:rPr>
        <w:t>եթե ներկայացված փաստաթղթերը լրացված են սահմանված կարգի խախտմամբ կամ նախորդիվ կատարված ստուգումներով հայտնաբերվել են գործատուի կողմից օրենսդրության խախտմամբ տեղեկանքներ տալու դեպքեր (Որոշման N 1 հավելվածի 12-րդ և 12.1-ին կետեր),</w:t>
      </w:r>
    </w:p>
    <w:p w:rsidR="006D1444" w:rsidRDefault="006D1444" w:rsidP="006D1444">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սահմանել կազմակերպությունների (</w:t>
      </w:r>
      <w:r>
        <w:rPr>
          <w:rFonts w:ascii="GHEA Grapalat" w:hAnsi="GHEA Grapalat" w:cs="Sylfaen"/>
          <w:lang w:val="hy-AM"/>
        </w:rPr>
        <w:t xml:space="preserve">բյուջետային հիմնարկներ, բանկեր, առողջապահական հիմնարկներ և  այլն, որոնց կողմից հիմնականում վճարվել է աշխատավարձ կամ </w:t>
      </w:r>
      <w:r>
        <w:rPr>
          <w:rFonts w:ascii="GHEA Grapalat" w:hAnsi="GHEA Grapalat"/>
          <w:color w:val="000000"/>
          <w:lang w:val="hy-AM"/>
        </w:rPr>
        <w:t>որտեղ այդ տարիներին աշխատանքները հիմնականում չեն դադարեցվել</w:t>
      </w:r>
      <w:r>
        <w:rPr>
          <w:rFonts w:ascii="GHEA Grapalat" w:hAnsi="GHEA Grapalat" w:cs="GHEA Grapalat"/>
          <w:color w:val="000000"/>
          <w:lang w:val="hy-AM"/>
        </w:rPr>
        <w:t>) ցանկը, որտեղ 1992-2004թթ. (մինչև անձնավորված հաշվառման ներդրումը) աշխատելու փաստը հատատվելու է աշխատանքային գրքույկով, արխիվային փաստաթղթով, դատական ակտով՝ անկախ սոցիալական վճարներ կատարելը կամ աշխատավարձ ստանալը հաստատող փաստաթղթի առկայության (N 1 հավելվածի 14.6</w:t>
      </w:r>
      <w:r>
        <w:rPr>
          <w:rFonts w:ascii="GHEA Grapalat" w:hAnsi="GHEA Grapalat" w:cs="GHEA Grapalat"/>
          <w:color w:val="000000"/>
          <w:lang w:val="hy-AM"/>
        </w:rPr>
        <w:noBreakHyphen/>
        <w:t xml:space="preserve">րդ կետ),  </w:t>
      </w:r>
    </w:p>
    <w:p w:rsidR="006D1444" w:rsidRDefault="006D1444" w:rsidP="006D1444">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 xml:space="preserve">սահմանել այն ժամանակահատվածները, որոնք աշխատանքային ստաժում  հաստատվում են առանց սոցիալական վճարներ կատարելը կամ աշխատավարձ ստանալը հաստատող փաստաթղթի, եթե անձն աշխատել է (զբաղեցրել է պաշտոն) Լեռնային Ղարաբաղի տարածքում (N 1 հավելվածի 14.7-րդ կետ), </w:t>
      </w:r>
    </w:p>
    <w:p w:rsidR="006D1444" w:rsidRDefault="006D1444" w:rsidP="006D1444">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olor w:val="000000"/>
          <w:lang w:val="hy-AM"/>
        </w:rPr>
        <w:lastRenderedPageBreak/>
        <w:t xml:space="preserve">բացառել ապահովադիրների հաշվառման գրանցամատյանները, որպես սոցիալական վճար կատարած լինելու մասին տեղեկատվության աղբյուր </w:t>
      </w:r>
      <w:r>
        <w:rPr>
          <w:rFonts w:ascii="GHEA Grapalat" w:hAnsi="GHEA Grapalat" w:cs="GHEA Grapalat"/>
          <w:color w:val="000000"/>
          <w:lang w:val="hy-AM"/>
        </w:rPr>
        <w:t>(N 1 հավելվածի 15-րդ կետի 1-ին ենթակետ)</w:t>
      </w:r>
      <w:r>
        <w:rPr>
          <w:rFonts w:ascii="GHEA Grapalat" w:hAnsi="GHEA Grapalat"/>
          <w:color w:val="000000"/>
          <w:lang w:val="hy-AM"/>
        </w:rPr>
        <w:t xml:space="preserve">, </w:t>
      </w:r>
    </w:p>
    <w:p w:rsidR="006D1444" w:rsidRDefault="006D1444" w:rsidP="006D1444">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olor w:val="000000"/>
          <w:lang w:val="hy-AM"/>
        </w:rPr>
        <w:t xml:space="preserve">Որոշման </w:t>
      </w:r>
      <w:r>
        <w:rPr>
          <w:rFonts w:ascii="GHEA Grapalat" w:hAnsi="GHEA Grapalat" w:cs="Sylfaen"/>
          <w:lang w:val="hy-AM"/>
        </w:rPr>
        <w:t>N 1 հավելվածի 15.6-րդ կետի կարգավորումն արտացոլել նույն հավելվածի 15-րդ կետի 2-րդ ենթակետում՝ «և» շաղկապը փոխարինելով «կամ» շաղկապով,</w:t>
      </w:r>
    </w:p>
    <w:p w:rsidR="006D1444" w:rsidRDefault="006D1444" w:rsidP="006D1444">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 xml:space="preserve">հստակեցնել որ, եթե անհատական (անձնավորված) հաշվառման տվյալների բազայում սահմանված կարգով հաստատվում է անձի՝ սոցիալական վճար կատարած լինելու փաստը, աշխատավարձ ստանալու մասին տեղեկատվությունը չի պահանջվում </w:t>
      </w:r>
      <w:r>
        <w:rPr>
          <w:rFonts w:ascii="GHEA Grapalat" w:hAnsi="GHEA Grapalat"/>
          <w:color w:val="000000"/>
          <w:lang w:val="hy-AM"/>
        </w:rPr>
        <w:t>(Որոշման N 1 հավելվածի 15.9-րդ կետ)</w:t>
      </w:r>
      <w:r>
        <w:rPr>
          <w:rFonts w:ascii="GHEA Grapalat" w:hAnsi="GHEA Grapalat" w:cs="GHEA Grapalat"/>
          <w:color w:val="000000"/>
          <w:lang w:val="hy-AM"/>
        </w:rPr>
        <w:t>,</w:t>
      </w:r>
    </w:p>
    <w:p w:rsidR="006D1444" w:rsidRDefault="006D1444" w:rsidP="006D1444">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 xml:space="preserve">ուժը կորցրած ճանաչել  </w:t>
      </w:r>
      <w:r>
        <w:rPr>
          <w:rFonts w:ascii="GHEA Grapalat" w:hAnsi="GHEA Grapalat"/>
          <w:color w:val="000000"/>
          <w:lang w:val="hy-AM"/>
        </w:rPr>
        <w:t xml:space="preserve">N 1 հավելվածի 19.1-ին, 19.2-րդ և 36.4-րդ կետերը, որոնք այլևս կիրառելի չեն </w:t>
      </w:r>
      <w:r>
        <w:rPr>
          <w:rFonts w:ascii="GHEA Grapalat" w:hAnsi="GHEA Grapalat"/>
          <w:lang w:val="hy-AM"/>
        </w:rPr>
        <w:t>երկարամյա ծառայության զինվորական կենսաթոշակի չափը հաշվարկելիս,</w:t>
      </w:r>
    </w:p>
    <w:p w:rsidR="006D1444" w:rsidRDefault="006D1444" w:rsidP="006D1444">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 xml:space="preserve">ուժը կրոցրած ճանաչել </w:t>
      </w:r>
      <w:r>
        <w:rPr>
          <w:rFonts w:ascii="GHEA Grapalat" w:hAnsi="GHEA Grapalat"/>
          <w:color w:val="000000"/>
          <w:lang w:val="hy-AM"/>
        </w:rPr>
        <w:t xml:space="preserve">Որոշման N 2 հավելվածի 21.3-րդ կետը և սահմանել, որ </w:t>
      </w:r>
      <w:r>
        <w:rPr>
          <w:rFonts w:ascii="GHEA Grapalat" w:hAnsi="GHEA Grapalat" w:cs="GHEA Grapalat"/>
          <w:color w:val="000000"/>
          <w:lang w:val="hy-AM"/>
        </w:rPr>
        <w:t>անհատ ձեռնարկատիրոջը չաշխատելու պայմանով կենսաթոշակ է նշանակվում (Որոշման N 1 հավելվածի 30.3-րդ կետ) կամ նշանակված կենսաթոշակն ստանալու իրավունքը աշխատելու հիմքով չի դադարեցվում (Որոշման N 1 հավելվածի 47.1</w:t>
      </w:r>
      <w:r>
        <w:rPr>
          <w:rFonts w:ascii="GHEA Grapalat" w:hAnsi="GHEA Grapalat" w:cs="GHEA Grapalat"/>
          <w:color w:val="000000"/>
          <w:lang w:val="hy-AM"/>
        </w:rPr>
        <w:noBreakHyphen/>
        <w:t xml:space="preserve">ին կետ) նրա գործունեությունը անորոշ կամ որոշակի ժամկետով դադարեցրած ժամանակահատվածում, ինչպես նաև անհատ ձեռնարկատիրոջ՝ բացառապես միկրոձեռնարկատիրության սուբյեկտ համարվելու  ժամանակահատվածում։ </w:t>
      </w:r>
    </w:p>
    <w:p w:rsidR="006D1444" w:rsidRDefault="006D1444" w:rsidP="006D1444">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հստակեցնել կենսաթոշակ նշանակելու ժամկետներն այն դեպքում, երբ անձի կենսաթոշակի գործը (փաստաթղթերը) տեղափոխվել է (են)  Ռուսաստանի Դաշնություն՝ կենսաթոշակ նշանակելու համար և նրան չի նշանակվել կենսաթոշակ (Որոշման N 1 հավելվածի 34.1</w:t>
      </w:r>
      <w:r>
        <w:rPr>
          <w:rFonts w:ascii="GHEA Grapalat" w:hAnsi="GHEA Grapalat" w:cs="GHEA Grapalat"/>
          <w:color w:val="000000"/>
          <w:lang w:val="hy-AM"/>
        </w:rPr>
        <w:noBreakHyphen/>
        <w:t xml:space="preserve">ին կետ): Այս դեպքում նախագծով առաջարկվող ժամկետները համահունչ են նույն հավելվածի 34-րդ կետով սահմանված՝ </w:t>
      </w:r>
      <w:r>
        <w:rPr>
          <w:rFonts w:ascii="GHEA Grapalat" w:hAnsi="GHEA Grapalat"/>
          <w:color w:val="000000"/>
          <w:lang w:val="hy-AM"/>
        </w:rPr>
        <w:t xml:space="preserve">Ռուսաստանի Դաշնությունից Հայաստանի </w:t>
      </w:r>
      <w:r>
        <w:rPr>
          <w:rFonts w:ascii="GHEA Grapalat" w:hAnsi="GHEA Grapalat"/>
          <w:color w:val="000000"/>
          <w:lang w:val="hy-AM"/>
        </w:rPr>
        <w:lastRenderedPageBreak/>
        <w:t>Հանրապետություն բնակության ժամանած անձին կենսաթոշակ է նշանակելու ժամկետներին,</w:t>
      </w:r>
    </w:p>
    <w:p w:rsidR="006D1444" w:rsidRDefault="006D1444" w:rsidP="006D1444">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հստակեցնել, որ առանց գրավոր դիմումի կենսաթոշակը չի վերահաշվարկվում, երբ փոխվում է զինծառայողի անձնական գործակիցը (</w:t>
      </w:r>
      <w:r>
        <w:rPr>
          <w:rFonts w:ascii="GHEA Grapalat" w:hAnsi="GHEA Grapalat"/>
          <w:color w:val="000000"/>
          <w:lang w:val="hy-AM"/>
        </w:rPr>
        <w:t>Որոշման N 1 հավելվածի 41-րդ կետի 3-րդ ենթակետ</w:t>
      </w:r>
      <w:r>
        <w:rPr>
          <w:rFonts w:ascii="GHEA Grapalat" w:hAnsi="GHEA Grapalat" w:cs="GHEA Grapalat"/>
          <w:color w:val="000000"/>
          <w:lang w:val="hy-AM"/>
        </w:rPr>
        <w:t>),</w:t>
      </w:r>
    </w:p>
    <w:p w:rsidR="006D1444" w:rsidRDefault="006D1444" w:rsidP="006D1444">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olor w:val="000000"/>
          <w:lang w:val="hy-AM"/>
        </w:rPr>
        <w:t>խմբագրել Որոշման այն դրույթները, որոնք վերաբերում են նաև ազգային օպերատորին,</w:t>
      </w:r>
    </w:p>
    <w:p w:rsidR="006D1444" w:rsidRDefault="006D1444" w:rsidP="006D1444">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 xml:space="preserve">սահմանել, որ ուսումնական հաստատությունում սովորող անձի՝ կերակրողին կորցնելու դեպքում կենսաթոշակ ստանալու իրավունքն օրենքի 41-րդ </w:t>
      </w:r>
      <w:r>
        <w:rPr>
          <w:rFonts w:ascii="GHEA Grapalat" w:hAnsi="GHEA Grapalat"/>
          <w:color w:val="000000"/>
          <w:lang w:val="hy-AM"/>
        </w:rPr>
        <w:t>հոդվածի</w:t>
      </w:r>
      <w:r>
        <w:rPr>
          <w:rFonts w:ascii="GHEA Grapalat" w:hAnsi="GHEA Grapalat" w:cs="GHEA Grapalat"/>
          <w:color w:val="000000"/>
          <w:lang w:val="hy-AM"/>
        </w:rPr>
        <w:t xml:space="preserve"> 3-րդ մասի 2-րդ կետի հիման վրա վերականգնելու դեպքում կենսաթոշակ վճարելը վերսկսվում է՝ անկախ կենսաթոշակ ստանալու իրավունքը վերականգնելու դիմումը և անհրաժեշտ փաստաթղթերը կենսաթոշակառուի կողմից անձամբ ներկայացվելու, կենսաթոշակառուի՝ Հայաստանի Հանրապետությունում գտնվելը սույն կետի համաձայն՝ Հայաստանի Հանրապետության սահմանը հատելու մասին տեղեկատվությամբ կամ օրենսդրությամբ սահմանված կարգով հաստատված  լինելու հանգամանքներից,</w:t>
      </w:r>
    </w:p>
    <w:p w:rsidR="006D1444" w:rsidRDefault="006D1444" w:rsidP="006D1444">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սահմանել, որ հաշմանդամության կենսաթոշակ ստանալու իրավունքը վերականգնվում է ինքնաշխատ և անկախ կենսաթոշակառուի՝ Հայաստանի Հանրապետությունում գտնվելը օրենսդրությամբ սահմանված կարգով հաստատված լինելու հանգամանքից, քանի որ հաշմանդամություն ունեցող անձ ճանաչվելու (կրկնակի գնահատվելու) օրվա դրությամբ անձն արդեն իսկ գտնվել է Հայաստանի Հանրապետությունում (Որոշման N 1 հավելվածի 50.2-րդ կետ),</w:t>
      </w:r>
    </w:p>
    <w:p w:rsidR="006D1444" w:rsidRDefault="006D1444" w:rsidP="006D1444">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s="GHEA Grapalat"/>
          <w:color w:val="000000"/>
          <w:lang w:val="hy-AM"/>
        </w:rPr>
        <w:t>սահմանել, որ եթե</w:t>
      </w:r>
      <w:r>
        <w:rPr>
          <w:rFonts w:ascii="GHEA Grapalat" w:hAnsi="GHEA Grapalat"/>
          <w:color w:val="000000"/>
          <w:lang w:val="hy-AM"/>
        </w:rPr>
        <w:t xml:space="preserve"> աշխատանքային կամ զինվորական կենսաթոշակ ստանալու իրավունք ունեցող կենսաթոշակառուն դիմում է «Պաշտոնատար անձանց գործունեության ապահովման, սպասարկման և սոցիալական երաշխիքների մասին» Հայաստանի Հանրապետության օրենքով սահմանված կենսաթոշակ նշանակելու համար, ապա աշխատանքային կամ զինվորական կենսաթոշակ ստանալու իրավունքը դադարեցվում է </w:t>
      </w:r>
      <w:r>
        <w:rPr>
          <w:rFonts w:ascii="GHEA Grapalat" w:hAnsi="GHEA Grapalat"/>
          <w:color w:val="000000"/>
          <w:lang w:val="hy-AM"/>
        </w:rPr>
        <w:lastRenderedPageBreak/>
        <w:t xml:space="preserve">այդ օրենքի 6-րդ հոդվածի 2-րդ մասում նշված՝ օրենքով կենսաթոշակ նշանակելու օրվանից </w:t>
      </w:r>
      <w:r>
        <w:rPr>
          <w:rFonts w:ascii="GHEA Grapalat" w:hAnsi="GHEA Grapalat" w:cs="GHEA Grapalat"/>
          <w:color w:val="000000"/>
          <w:lang w:val="hy-AM"/>
        </w:rPr>
        <w:t>(Որոշման N 1 հավելվածի 52.5-րդ կետ)</w:t>
      </w:r>
      <w:r>
        <w:rPr>
          <w:rFonts w:ascii="GHEA Grapalat" w:hAnsi="GHEA Grapalat"/>
          <w:color w:val="000000"/>
          <w:lang w:val="hy-AM"/>
        </w:rPr>
        <w:t>,</w:t>
      </w:r>
    </w:p>
    <w:p w:rsidR="006D1444" w:rsidRDefault="006D1444" w:rsidP="006D1444">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սահմանել, որ եթե լիազորագրով կենսաթոշակը վճարվում է, եթե լիազորագրով կենսաթոշակը վճարելու ընթացքում կենսաթոշակ ստանալու իրավունքը դադարեցնելը (Որոշման N 1 հավելվածի 62-րդ, 63-րդ, 63.1-ին կետեր),</w:t>
      </w:r>
    </w:p>
    <w:p w:rsidR="006D1444" w:rsidRDefault="006D1444" w:rsidP="006D1444">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Որոշման տեքստից հանել կենսաթոշակի վկայականին առնչվող դրույթները,</w:t>
      </w:r>
    </w:p>
    <w:p w:rsidR="006D1444" w:rsidRDefault="006D1444" w:rsidP="006D1444">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Հստակեցնել, որ անձի՝ 1992 թվականից մինչև 2013 թվականի հունվարի 1-ն (Լեռնային Ղարաբաղում՝ մինչև 2014 թվականի հունվարի 1-ն) ընկած ժամանակահատվածում աշխատելը (աշխատանքային ստաժը), որպես իրավաբանական նշանակություն ունեցող փաստ, դատարանի վճռով հաստատված լինելու դեպքում, այդ ժամանակահատվածն աշխատանքային ստաժում հաշվառվում է սոցիալական վճար կատարած լինելը կամ աշխատավարձ ստանալը հաստատող փաստաթղթի առկայությամբ, բացառությամբ Հայաստանի Հանրապետության 2011 թվականի մայիսի 5-ի N 665-Ն որոշման N 1 հավելվածի 14.5-14.7-րդ կետերով նախատեսված դեպքերի,</w:t>
      </w:r>
    </w:p>
    <w:p w:rsidR="006D1444" w:rsidRDefault="006D1444" w:rsidP="006D1444">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 xml:space="preserve"> Սահմանել, որ </w:t>
      </w:r>
      <w:r>
        <w:rPr>
          <w:rFonts w:ascii="GHEA Grapalat" w:hAnsi="GHEA Grapalat"/>
          <w:color w:val="000000"/>
          <w:lang w:val="hy-AM"/>
        </w:rPr>
        <w:t>աշխատանքային գրքույկում պատշաճ գրառումների կամ դրանց համապատասխան արխիվային տեղեկանքների առկայության դեպքում 1992</w:t>
      </w:r>
      <w:r>
        <w:rPr>
          <w:rFonts w:ascii="GHEA Grapalat" w:hAnsi="GHEA Grapalat"/>
          <w:color w:val="000000"/>
          <w:lang w:val="hy-AM"/>
        </w:rPr>
        <w:noBreakHyphen/>
        <w:t xml:space="preserve">2004 թթ. աշխատանքային գործունեության ժամանակահատվածն աշխատանքային ստաժում հաշվառվում է ապահովադիրի կողմից սոցիալական վճար կատարած լինելը հավաստող վճարման հանձնարարագրով կամ անդորրագրով </w:t>
      </w:r>
      <w:r>
        <w:rPr>
          <w:rFonts w:ascii="GHEA Grapalat" w:hAnsi="GHEA Grapalat"/>
          <w:lang w:val="hy-AM"/>
        </w:rPr>
        <w:t>(Որոշման Ν 2 հավելվածի 14.1-ին կետ)</w:t>
      </w:r>
      <w:r>
        <w:rPr>
          <w:rFonts w:ascii="GHEA Grapalat" w:hAnsi="GHEA Grapalat"/>
          <w:color w:val="000000"/>
          <w:lang w:val="hy-AM"/>
        </w:rPr>
        <w:t>:</w:t>
      </w:r>
    </w:p>
    <w:p w:rsidR="006D1444" w:rsidRDefault="006D1444" w:rsidP="006D1444">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lang w:val="hy-AM"/>
        </w:rPr>
        <w:t>սահմանել, որ սոցիալական վճարներ կատարելը հաստատող փաստաթուղթը (Որոշման Ν 2 հավելվածի 12-րդ կետ) ձևավորում է, իսկ քաղաքացիաիրավական պայմանագրերի շրջանակներում կատարվող աշխատանքներից, մատուցվող ծառայություններից եկամուտ ստանալու ժամանակահատվածն աշխատանքային ստաժում հաշվառվում է (Որոշման Ν 2 հավելվածի 21.1-ին կետ) ինքնաշխատ եղանակով,</w:t>
      </w:r>
    </w:p>
    <w:p w:rsidR="006D1444" w:rsidRDefault="006D1444" w:rsidP="006D1444">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lastRenderedPageBreak/>
        <w:t>ուժը կորցրած ճանաչել Որոշման Ν 2 հավելվածի 31-րդ կետը, քանի որ այն փոխկապակցված է օրենքի 29-րդ հոդվածի 2-րդ մասի 4-րդ կետին, որն ուժը կորցրած է ճանաչվել 04.05.22 ՀՕ-113-Ն օրենքով,</w:t>
      </w:r>
    </w:p>
    <w:p w:rsidR="006D1444" w:rsidRDefault="006D1444" w:rsidP="006D1444">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սահմանել, որ 1992 </w:t>
      </w:r>
      <w:r>
        <w:rPr>
          <w:rFonts w:ascii="GHEA Grapalat" w:hAnsi="GHEA Grapalat" w:cs="GHEA Grapalat"/>
          <w:color w:val="000000"/>
          <w:lang w:val="hy-AM"/>
        </w:rPr>
        <w:t>թվականի</w:t>
      </w:r>
      <w:r>
        <w:rPr>
          <w:rFonts w:ascii="GHEA Grapalat" w:hAnsi="GHEA Grapalat"/>
          <w:lang w:val="hy-AM"/>
        </w:rPr>
        <w:t xml:space="preserve"> մարտի 13-ի «</w:t>
      </w:r>
      <w:r>
        <w:rPr>
          <w:rFonts w:ascii="GHEA Grapalat" w:hAnsi="GHEA Grapalat" w:cs="GHEA Grapalat"/>
          <w:color w:val="000000"/>
          <w:lang w:val="hy-AM"/>
        </w:rPr>
        <w:t>Կենսաթոշակային</w:t>
      </w:r>
      <w:r>
        <w:rPr>
          <w:rFonts w:ascii="GHEA Grapalat" w:hAnsi="GHEA Grapalat"/>
          <w:lang w:val="hy-AM"/>
        </w:rPr>
        <w:t xml:space="preserve"> ապահովության բնագավառում Անկախ պետությունների համագործակցության մասնակից </w:t>
      </w:r>
      <w:r>
        <w:rPr>
          <w:rFonts w:ascii="GHEA Grapalat" w:hAnsi="GHEA Grapalat" w:cs="GHEA Grapalat"/>
          <w:color w:val="000000"/>
          <w:lang w:val="hy-AM"/>
        </w:rPr>
        <w:t>պետությունների</w:t>
      </w:r>
      <w:r>
        <w:rPr>
          <w:rFonts w:ascii="GHEA Grapalat" w:hAnsi="GHEA Grapalat"/>
          <w:lang w:val="hy-AM"/>
        </w:rPr>
        <w:t xml:space="preserve"> քաղաքացիների իրավունքների երաշխիքների մասին» համաձայնագրի (այսուհետ՝ համաձայնագիր) շրջանակներում աշխատանքային ստաժում հաշվառվում են՝ </w:t>
      </w:r>
    </w:p>
    <w:p w:rsidR="006D1444" w:rsidRDefault="006D1444" w:rsidP="006D1444">
      <w:pPr>
        <w:spacing w:after="0" w:line="360" w:lineRule="auto"/>
        <w:ind w:firstLine="720"/>
        <w:jc w:val="both"/>
        <w:rPr>
          <w:rFonts w:eastAsia="Times New Roman" w:cs="Times New Roman"/>
          <w:szCs w:val="24"/>
          <w:lang w:val="hy-AM"/>
        </w:rPr>
      </w:pPr>
      <w:r>
        <w:rPr>
          <w:rFonts w:eastAsia="Times New Roman" w:cs="Times New Roman"/>
          <w:szCs w:val="24"/>
          <w:lang w:val="hy-AM"/>
        </w:rPr>
        <w:t>1) մինչև 1992 թվականի հունվարի 1-ը ԽՍՀՄ-ի տարածքում աշխատանքային և այլ գործունեության ժամանակահատվածները,</w:t>
      </w:r>
    </w:p>
    <w:p w:rsidR="006D1444" w:rsidRDefault="006D1444" w:rsidP="006D1444">
      <w:pPr>
        <w:spacing w:after="0" w:line="360" w:lineRule="auto"/>
        <w:ind w:firstLine="720"/>
        <w:jc w:val="both"/>
        <w:rPr>
          <w:color w:val="000000"/>
          <w:szCs w:val="24"/>
          <w:lang w:val="hy-AM"/>
        </w:rPr>
      </w:pPr>
      <w:r>
        <w:rPr>
          <w:rFonts w:eastAsia="Times New Roman" w:cs="Times New Roman"/>
          <w:szCs w:val="24"/>
          <w:lang w:val="hy-AM"/>
        </w:rPr>
        <w:t xml:space="preserve">2) համաձայնագրի՝ 2017 թվականի հունվարի 1-ի դրությամբ մասնակից հանդիսացող այլ պետության տարածքում 1992 թվականի հունվարի 1-ից մինչև 2017 թվականի հունվարի 1-ն աշխատանքային և այլ գործունեության ժամանակահատվածները </w:t>
      </w:r>
      <w:r>
        <w:rPr>
          <w:szCs w:val="24"/>
          <w:lang w:val="hy-AM"/>
        </w:rPr>
        <w:t>(Որոշման Ν 2 հավելվածի 37-րդ կետ)</w:t>
      </w:r>
      <w:r>
        <w:rPr>
          <w:rFonts w:eastAsia="Times New Roman" w:cs="Times New Roman"/>
          <w:szCs w:val="24"/>
          <w:lang w:val="hy-AM"/>
        </w:rPr>
        <w:t>։</w:t>
      </w:r>
    </w:p>
    <w:p w:rsidR="006D1444" w:rsidRDefault="006D1444" w:rsidP="006D1444">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 xml:space="preserve">սահմանել, որ </w:t>
      </w:r>
      <w:r>
        <w:rPr>
          <w:rFonts w:ascii="GHEA Grapalat" w:hAnsi="GHEA Grapalat"/>
          <w:color w:val="000000"/>
          <w:lang w:val="hy-AM"/>
        </w:rPr>
        <w:t xml:space="preserve">1992 </w:t>
      </w:r>
      <w:r>
        <w:rPr>
          <w:rFonts w:ascii="GHEA Grapalat" w:hAnsi="GHEA Grapalat" w:cs="GHEA Grapalat"/>
          <w:color w:val="000000"/>
          <w:lang w:val="hy-AM"/>
        </w:rPr>
        <w:t>թվականի մայիսի 15-ի «Անկախ պետությունների համագործակցության մասնակից պետությունների զինծառայողների և նրանց ընտանիքների անդամների կենսաթոշակային ապահովության և պետական ապահովագրության մասին», 1993 թվականի դեկտեմբերի 24-ի «Անկախ պետությունների համագործակցության մասնակից պետությունների ներքին գործերի մարմինների աշխատակիցների կենսաթոշակային ապահովման և պետական ապահովագրության կարգի մասին» համաձայնագրերին (այսուհետ՝ Համաձայնագիր) մասնակցությունը դադարեցրած պետության տարածքում ձեռք բերված զինվորական ծառայության ստաժը համաձայնագրին մասնակցությունը դադարեցնելու օրվանից հետո կենսաթոշակ նշանակելիս զինվորական ծառայության ստաժում չի հաշվառում (</w:t>
      </w:r>
      <w:r>
        <w:rPr>
          <w:rFonts w:ascii="GHEA Grapalat" w:hAnsi="GHEA Grapalat"/>
          <w:lang w:val="hy-AM"/>
        </w:rPr>
        <w:t>Որոշման Ν 3 հավելվածի 11-</w:t>
      </w:r>
      <w:r>
        <w:rPr>
          <w:rFonts w:ascii="GHEA Grapalat" w:hAnsi="GHEA Grapalat" w:cs="Sylfaen"/>
          <w:lang w:val="hy-AM"/>
        </w:rPr>
        <w:t>րդ</w:t>
      </w:r>
      <w:r>
        <w:rPr>
          <w:rFonts w:ascii="GHEA Grapalat" w:hAnsi="GHEA Grapalat"/>
          <w:lang w:val="hy-AM"/>
        </w:rPr>
        <w:t xml:space="preserve"> կետ)</w:t>
      </w:r>
      <w:r>
        <w:rPr>
          <w:rFonts w:ascii="GHEA Grapalat" w:hAnsi="GHEA Grapalat" w:cs="GHEA Grapalat"/>
          <w:color w:val="000000"/>
          <w:lang w:val="hy-AM"/>
        </w:rPr>
        <w:t>,</w:t>
      </w:r>
    </w:p>
    <w:p w:rsidR="006D1444" w:rsidRDefault="006D1444" w:rsidP="006D1444">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 xml:space="preserve">սահմանել այն դեպքերը, երբ աշխատանքային գրքույկի որոշ գրառումներ  </w:t>
      </w:r>
      <w:r>
        <w:rPr>
          <w:rFonts w:ascii="GHEA Grapalat" w:hAnsi="GHEA Grapalat"/>
          <w:color w:val="000000"/>
          <w:lang w:val="hy-AM"/>
        </w:rPr>
        <w:t xml:space="preserve">ձևակերպված չեն աշխատանքային գրքույկները վարելու այն կարգին համապատասխան, </w:t>
      </w:r>
      <w:r>
        <w:rPr>
          <w:rFonts w:ascii="GHEA Grapalat" w:hAnsi="GHEA Grapalat"/>
          <w:color w:val="000000"/>
          <w:lang w:val="hy-AM"/>
        </w:rPr>
        <w:lastRenderedPageBreak/>
        <w:t>որը գործել է այդ գրառումները կատարելու օրվա դրությամբ, սակայն այլ իրավաչափ գրառումների հիման վրա կարելի է հիմք ընդունել նաև դրանք,</w:t>
      </w:r>
    </w:p>
    <w:p w:rsidR="006D1444" w:rsidRDefault="006D1444" w:rsidP="006D1444">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s="GHEA Grapalat"/>
          <w:color w:val="000000"/>
          <w:lang w:val="hy-AM"/>
        </w:rPr>
        <w:t xml:space="preserve">սահմանել այն դեպքերը, երբ ստաժը </w:t>
      </w:r>
      <w:r>
        <w:rPr>
          <w:rFonts w:ascii="GHEA Grapalat" w:hAnsi="GHEA Grapalat"/>
          <w:lang w:val="hy-AM"/>
        </w:rPr>
        <w:t xml:space="preserve">հաստատող փաստաթղթում անձի անունը կամ հայրանունը, կամ ազգանունը չի համընկնում նրա անձը հաստատող փաստաթղթում գրառված անվանը կամ հայրանվանը, կամ ազգանվանը, սակայն այն կարելի է հիմք ընդունել (Որոշման Ν 2 հավելվածի 52.1-ին կետ): </w:t>
      </w:r>
      <w:r>
        <w:rPr>
          <w:rFonts w:ascii="GHEA Grapalat" w:hAnsi="GHEA Grapalat"/>
          <w:color w:val="000000"/>
          <w:lang w:val="hy-AM"/>
        </w:rPr>
        <w:t>Ստաժը հաստատող փաստաթուղթը համարվում է, որ պատկանում է տվյալ անձին, եթե դրանում նշված տվյալներով բնակչության պետական ռեգիստրում անձ չի նույնականացվում, իսկ անձի անունը կամ հայրանունը կամ ազգանունը նրա անձը հաստատող փաստաթղթում գրառված՝</w:t>
      </w:r>
    </w:p>
    <w:p w:rsidR="006D1444" w:rsidRDefault="006D1444" w:rsidP="006D1444">
      <w:pPr>
        <w:shd w:val="clear" w:color="auto" w:fill="FFFFFF"/>
        <w:spacing w:after="0" w:line="360" w:lineRule="auto"/>
        <w:ind w:firstLine="720"/>
        <w:jc w:val="both"/>
        <w:rPr>
          <w:rFonts w:eastAsia="Times New Roman" w:cs="Times New Roman"/>
          <w:color w:val="000000"/>
          <w:szCs w:val="24"/>
          <w:lang w:val="hy-AM"/>
        </w:rPr>
      </w:pPr>
      <w:r>
        <w:rPr>
          <w:rFonts w:eastAsia="Times New Roman" w:cs="Times New Roman"/>
          <w:color w:val="000000"/>
          <w:szCs w:val="24"/>
          <w:lang w:val="hy-AM"/>
        </w:rPr>
        <w:t>1) անունից, հայրանունից տարբերվում է «իկ» վերջավորությամբ  (օրինակ՝ «Արա» և «Արայիկ») կամ նույն անունի՝ ընդունված արտասանական կրճատ տարբերակով (օրինակ՝ «Հովհաննես», «Հովիկ», «Հովո», «Օհանես») կամ տառասխալով (օրինակ՝ «Հովհաննես», «Հովահանես»),</w:t>
      </w:r>
    </w:p>
    <w:p w:rsidR="006D1444" w:rsidRDefault="006D1444" w:rsidP="006D1444">
      <w:pPr>
        <w:shd w:val="clear" w:color="auto" w:fill="FFFFFF"/>
        <w:spacing w:after="0" w:line="360" w:lineRule="auto"/>
        <w:ind w:firstLine="720"/>
        <w:jc w:val="both"/>
        <w:rPr>
          <w:rFonts w:cs="GHEA Grapalat"/>
          <w:color w:val="000000"/>
          <w:szCs w:val="24"/>
          <w:lang w:val="hy-AM"/>
        </w:rPr>
      </w:pPr>
      <w:r>
        <w:rPr>
          <w:rFonts w:eastAsia="Times New Roman" w:cs="Times New Roman"/>
          <w:color w:val="000000"/>
          <w:szCs w:val="24"/>
          <w:lang w:val="hy-AM"/>
        </w:rPr>
        <w:t xml:space="preserve">2) </w:t>
      </w:r>
      <w:r>
        <w:rPr>
          <w:rFonts w:eastAsia="Times New Roman" w:cs="Sylfaen"/>
          <w:color w:val="000000"/>
          <w:szCs w:val="24"/>
          <w:lang w:val="hy-AM"/>
        </w:rPr>
        <w:t>ազգանունից</w:t>
      </w:r>
      <w:r>
        <w:rPr>
          <w:rFonts w:eastAsia="Times New Roman" w:cs="Times New Roman"/>
          <w:color w:val="000000"/>
          <w:szCs w:val="24"/>
          <w:lang w:val="hy-AM"/>
        </w:rPr>
        <w:t xml:space="preserve"> տարբերվում </w:t>
      </w:r>
      <w:r>
        <w:rPr>
          <w:rFonts w:eastAsia="Times New Roman" w:cs="Sylfaen"/>
          <w:color w:val="000000"/>
          <w:szCs w:val="24"/>
          <w:lang w:val="hy-AM"/>
        </w:rPr>
        <w:t>է</w:t>
      </w:r>
      <w:r>
        <w:rPr>
          <w:rFonts w:eastAsia="Times New Roman" w:cs="Times New Roman"/>
          <w:color w:val="000000"/>
          <w:szCs w:val="24"/>
          <w:lang w:val="hy-AM"/>
        </w:rPr>
        <w:t xml:space="preserve"> </w:t>
      </w:r>
      <w:r>
        <w:rPr>
          <w:rFonts w:eastAsia="Times New Roman" w:cs="Sylfaen"/>
          <w:color w:val="000000"/>
          <w:szCs w:val="24"/>
          <w:lang w:val="hy-AM"/>
        </w:rPr>
        <w:t>դրա</w:t>
      </w:r>
      <w:r>
        <w:rPr>
          <w:rFonts w:eastAsia="Times New Roman" w:cs="Times New Roman"/>
          <w:color w:val="000000"/>
          <w:szCs w:val="24"/>
          <w:lang w:val="hy-AM"/>
        </w:rPr>
        <w:t xml:space="preserve"> </w:t>
      </w:r>
      <w:r>
        <w:rPr>
          <w:rFonts w:eastAsia="Times New Roman" w:cs="Sylfaen"/>
          <w:color w:val="000000"/>
          <w:szCs w:val="24"/>
          <w:lang w:val="hy-AM"/>
        </w:rPr>
        <w:t>բառարմատ</w:t>
      </w:r>
      <w:r>
        <w:rPr>
          <w:rFonts w:eastAsia="Times New Roman" w:cs="Times New Roman"/>
          <w:color w:val="000000"/>
          <w:szCs w:val="24"/>
          <w:lang w:val="hy-AM"/>
        </w:rPr>
        <w:t xml:space="preserve"> </w:t>
      </w:r>
      <w:r>
        <w:rPr>
          <w:rFonts w:eastAsia="Times New Roman" w:cs="Sylfaen"/>
          <w:color w:val="000000"/>
          <w:szCs w:val="24"/>
          <w:lang w:val="hy-AM"/>
        </w:rPr>
        <w:t>հանդիսացող</w:t>
      </w:r>
      <w:r>
        <w:rPr>
          <w:rFonts w:eastAsia="Times New Roman" w:cs="Times New Roman"/>
          <w:color w:val="000000"/>
          <w:szCs w:val="24"/>
          <w:lang w:val="hy-AM"/>
        </w:rPr>
        <w:t xml:space="preserve"> </w:t>
      </w:r>
      <w:r>
        <w:rPr>
          <w:rFonts w:eastAsia="Times New Roman" w:cs="Sylfaen"/>
          <w:color w:val="000000"/>
          <w:szCs w:val="24"/>
          <w:lang w:val="hy-AM"/>
        </w:rPr>
        <w:t>անունի</w:t>
      </w:r>
      <w:r>
        <w:rPr>
          <w:rFonts w:eastAsia="Times New Roman" w:cs="Times New Roman"/>
          <w:color w:val="000000"/>
          <w:szCs w:val="24"/>
          <w:lang w:val="hy-AM"/>
        </w:rPr>
        <w:t xml:space="preserve"> </w:t>
      </w:r>
      <w:r>
        <w:rPr>
          <w:rFonts w:eastAsia="Times New Roman" w:cs="Sylfaen"/>
          <w:color w:val="000000"/>
          <w:szCs w:val="24"/>
          <w:lang w:val="hy-AM"/>
        </w:rPr>
        <w:t>հնչյունափոխությունից</w:t>
      </w:r>
      <w:r>
        <w:rPr>
          <w:rFonts w:eastAsia="Times New Roman" w:cs="Times New Roman"/>
          <w:color w:val="000000"/>
          <w:szCs w:val="24"/>
          <w:lang w:val="hy-AM"/>
        </w:rPr>
        <w:t xml:space="preserve"> (</w:t>
      </w:r>
      <w:r>
        <w:rPr>
          <w:rFonts w:eastAsia="Times New Roman" w:cs="Sylfaen"/>
          <w:color w:val="000000"/>
          <w:szCs w:val="24"/>
          <w:lang w:val="hy-AM"/>
        </w:rPr>
        <w:t>օրինակ՝</w:t>
      </w:r>
      <w:r>
        <w:rPr>
          <w:rFonts w:eastAsia="Times New Roman" w:cs="Times New Roman"/>
          <w:color w:val="000000"/>
          <w:szCs w:val="24"/>
          <w:lang w:val="hy-AM"/>
        </w:rPr>
        <w:t xml:space="preserve"> «</w:t>
      </w:r>
      <w:r>
        <w:rPr>
          <w:rFonts w:eastAsia="Times New Roman" w:cs="Sylfaen"/>
          <w:color w:val="000000"/>
          <w:szCs w:val="24"/>
          <w:lang w:val="hy-AM"/>
        </w:rPr>
        <w:t>Հովհաննիսյան</w:t>
      </w:r>
      <w:r>
        <w:rPr>
          <w:rFonts w:eastAsia="Times New Roman" w:cs="Times New Roman"/>
          <w:color w:val="000000"/>
          <w:szCs w:val="24"/>
          <w:lang w:val="hy-AM"/>
        </w:rPr>
        <w:t xml:space="preserve">» </w:t>
      </w:r>
      <w:r>
        <w:rPr>
          <w:rFonts w:eastAsia="Times New Roman" w:cs="Sylfaen"/>
          <w:color w:val="000000"/>
          <w:szCs w:val="24"/>
          <w:lang w:val="hy-AM"/>
        </w:rPr>
        <w:t>և</w:t>
      </w:r>
      <w:r>
        <w:rPr>
          <w:rFonts w:eastAsia="Times New Roman" w:cs="Times New Roman"/>
          <w:color w:val="000000"/>
          <w:szCs w:val="24"/>
          <w:lang w:val="hy-AM"/>
        </w:rPr>
        <w:t xml:space="preserve"> «</w:t>
      </w:r>
      <w:r>
        <w:rPr>
          <w:rFonts w:eastAsia="Times New Roman" w:cs="Sylfaen"/>
          <w:color w:val="000000"/>
          <w:szCs w:val="24"/>
          <w:lang w:val="hy-AM"/>
        </w:rPr>
        <w:t>Օհանիսյան</w:t>
      </w:r>
      <w:r>
        <w:rPr>
          <w:rFonts w:eastAsia="Times New Roman" w:cs="Times New Roman"/>
          <w:color w:val="000000"/>
          <w:szCs w:val="24"/>
          <w:lang w:val="hy-AM"/>
        </w:rPr>
        <w:t xml:space="preserve">») </w:t>
      </w:r>
      <w:r>
        <w:rPr>
          <w:rFonts w:eastAsia="Times New Roman" w:cs="Sylfaen"/>
          <w:color w:val="000000"/>
          <w:szCs w:val="24"/>
          <w:lang w:val="hy-AM"/>
        </w:rPr>
        <w:t>կամ</w:t>
      </w:r>
      <w:r>
        <w:rPr>
          <w:rFonts w:eastAsia="Times New Roman" w:cs="Times New Roman"/>
          <w:color w:val="000000"/>
          <w:szCs w:val="24"/>
          <w:lang w:val="hy-AM"/>
        </w:rPr>
        <w:t xml:space="preserve"> </w:t>
      </w:r>
      <w:r>
        <w:rPr>
          <w:rFonts w:eastAsia="Times New Roman" w:cs="Sylfaen"/>
          <w:color w:val="000000"/>
          <w:szCs w:val="24"/>
          <w:lang w:val="hy-AM"/>
        </w:rPr>
        <w:t>տառասխալով</w:t>
      </w:r>
      <w:r>
        <w:rPr>
          <w:rFonts w:eastAsia="Times New Roman" w:cs="Times New Roman"/>
          <w:color w:val="000000"/>
          <w:szCs w:val="24"/>
          <w:lang w:val="hy-AM"/>
        </w:rPr>
        <w:t xml:space="preserve">  (</w:t>
      </w:r>
      <w:r>
        <w:rPr>
          <w:rFonts w:eastAsia="Times New Roman" w:cs="Sylfaen"/>
          <w:color w:val="000000"/>
          <w:szCs w:val="24"/>
          <w:lang w:val="hy-AM"/>
        </w:rPr>
        <w:t>օրինակ՝</w:t>
      </w:r>
      <w:r>
        <w:rPr>
          <w:rFonts w:eastAsia="Times New Roman" w:cs="Times New Roman"/>
          <w:color w:val="000000"/>
          <w:szCs w:val="24"/>
          <w:lang w:val="hy-AM"/>
        </w:rPr>
        <w:t xml:space="preserve"> «</w:t>
      </w:r>
      <w:r>
        <w:rPr>
          <w:rFonts w:eastAsia="Times New Roman" w:cs="Sylfaen"/>
          <w:color w:val="000000"/>
          <w:szCs w:val="24"/>
          <w:lang w:val="hy-AM"/>
        </w:rPr>
        <w:t>Հովհաննեսյան</w:t>
      </w:r>
      <w:r>
        <w:rPr>
          <w:rFonts w:eastAsia="Times New Roman" w:cs="Times New Roman"/>
          <w:color w:val="000000"/>
          <w:szCs w:val="24"/>
          <w:lang w:val="hy-AM"/>
        </w:rPr>
        <w:t>», «</w:t>
      </w:r>
      <w:r>
        <w:rPr>
          <w:rFonts w:eastAsia="Times New Roman" w:cs="Sylfaen"/>
          <w:color w:val="000000"/>
          <w:szCs w:val="24"/>
          <w:lang w:val="hy-AM"/>
        </w:rPr>
        <w:t>Հովահաննիսյան</w:t>
      </w:r>
      <w:r>
        <w:rPr>
          <w:rFonts w:eastAsia="Times New Roman" w:cs="Times New Roman"/>
          <w:color w:val="000000"/>
          <w:szCs w:val="24"/>
          <w:lang w:val="hy-AM"/>
        </w:rPr>
        <w:t xml:space="preserve">») </w:t>
      </w:r>
      <w:r>
        <w:rPr>
          <w:rFonts w:eastAsia="Times New Roman" w:cs="Sylfaen"/>
          <w:color w:val="000000"/>
          <w:szCs w:val="24"/>
          <w:lang w:val="hy-AM"/>
        </w:rPr>
        <w:t>կամ</w:t>
      </w:r>
      <w:r>
        <w:rPr>
          <w:rFonts w:eastAsia="Times New Roman" w:cs="Times New Roman"/>
          <w:color w:val="000000"/>
          <w:szCs w:val="24"/>
          <w:lang w:val="hy-AM"/>
        </w:rPr>
        <w:t xml:space="preserve"> </w:t>
      </w:r>
      <w:r>
        <w:rPr>
          <w:rFonts w:eastAsia="Times New Roman" w:cs="Sylfaen"/>
          <w:color w:val="000000"/>
          <w:szCs w:val="24"/>
          <w:lang w:val="hy-AM"/>
        </w:rPr>
        <w:t>վերջավորությամբ</w:t>
      </w:r>
      <w:r>
        <w:rPr>
          <w:rFonts w:eastAsia="Times New Roman" w:cs="Times New Roman"/>
          <w:color w:val="000000"/>
          <w:szCs w:val="24"/>
          <w:lang w:val="hy-AM"/>
        </w:rPr>
        <w:t xml:space="preserve"> (</w:t>
      </w:r>
      <w:r>
        <w:rPr>
          <w:rFonts w:eastAsia="Times New Roman" w:cs="Sylfaen"/>
          <w:color w:val="000000"/>
          <w:szCs w:val="24"/>
          <w:lang w:val="hy-AM"/>
        </w:rPr>
        <w:t>օրինակ՝</w:t>
      </w:r>
      <w:r>
        <w:rPr>
          <w:rFonts w:eastAsia="Times New Roman" w:cs="Times New Roman"/>
          <w:color w:val="000000"/>
          <w:szCs w:val="24"/>
          <w:lang w:val="hy-AM"/>
        </w:rPr>
        <w:t xml:space="preserve"> «</w:t>
      </w:r>
      <w:r>
        <w:rPr>
          <w:rFonts w:eastAsia="Times New Roman" w:cs="Sylfaen"/>
          <w:color w:val="000000"/>
          <w:szCs w:val="24"/>
          <w:lang w:val="hy-AM"/>
        </w:rPr>
        <w:t>Մարգարյան</w:t>
      </w:r>
      <w:r>
        <w:rPr>
          <w:rFonts w:eastAsia="Times New Roman" w:cs="Times New Roman"/>
          <w:color w:val="000000"/>
          <w:szCs w:val="24"/>
          <w:lang w:val="hy-AM"/>
        </w:rPr>
        <w:t xml:space="preserve">» </w:t>
      </w:r>
      <w:r>
        <w:rPr>
          <w:rFonts w:eastAsia="Times New Roman" w:cs="Sylfaen"/>
          <w:color w:val="000000"/>
          <w:szCs w:val="24"/>
          <w:lang w:val="hy-AM"/>
        </w:rPr>
        <w:t>և</w:t>
      </w:r>
      <w:r>
        <w:rPr>
          <w:rFonts w:eastAsia="Times New Roman" w:cs="Times New Roman"/>
          <w:color w:val="000000"/>
          <w:szCs w:val="24"/>
          <w:lang w:val="hy-AM"/>
        </w:rPr>
        <w:t xml:space="preserve"> «</w:t>
      </w:r>
      <w:r>
        <w:rPr>
          <w:rFonts w:eastAsia="Times New Roman" w:cs="Sylfaen"/>
          <w:color w:val="000000"/>
          <w:szCs w:val="24"/>
          <w:lang w:val="hy-AM"/>
        </w:rPr>
        <w:t>Մարգարով</w:t>
      </w:r>
      <w:r>
        <w:rPr>
          <w:rFonts w:eastAsia="Times New Roman" w:cs="Times New Roman"/>
          <w:color w:val="000000"/>
          <w:szCs w:val="24"/>
          <w:lang w:val="hy-AM"/>
        </w:rPr>
        <w:t>»):</w:t>
      </w:r>
    </w:p>
    <w:p w:rsidR="006D1444" w:rsidRDefault="006D1444" w:rsidP="006D1444">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lang w:val="hy-AM"/>
        </w:rPr>
        <w:t xml:space="preserve">Որոշման Ν 6 հավելվածի աղյուսակում նշված՝ մասնակի կենսաթոշակի իրավունք տվող մասնագիտությունների և պաշտոնների անվանումներում ավելացնել «պիոներ ջոկատավար» պաշտոնը, որը շրջանառվել է նույն պաշտոնի՝ ցանկում առկա՝ «ավագ ջոկատավար» կամ «ջոկատավար» ձևակերպումներին զուգահեռ: Բացի դրանից, նպատակահարմար չէ թվարկել </w:t>
      </w:r>
      <w:r>
        <w:rPr>
          <w:rFonts w:ascii="GHEA Grapalat" w:hAnsi="GHEA Grapalat"/>
          <w:color w:val="000000"/>
          <w:lang w:val="hy-AM"/>
        </w:rPr>
        <w:t xml:space="preserve">տնօրենի (դիրեկտորի) տեղակալների կարգավորման ոլորտները </w:t>
      </w:r>
      <w:r>
        <w:rPr>
          <w:rFonts w:ascii="GHEA Grapalat" w:hAnsi="GHEA Grapalat"/>
          <w:lang w:val="hy-AM"/>
        </w:rPr>
        <w:t>(</w:t>
      </w:r>
      <w:r>
        <w:rPr>
          <w:rFonts w:ascii="GHEA Grapalat" w:hAnsi="GHEA Grapalat"/>
          <w:color w:val="000000"/>
          <w:lang w:val="hy-AM"/>
        </w:rPr>
        <w:t>ուսումնադաստիարակչական (ուսումնական, դաստիարակչական), ուսումնաարտադրական մասի կամ արտադրական ուսուցման գծով տեղակալներ, արտադասարանական, արտադպրոցական աշխատանքների գծով</w:t>
      </w:r>
      <w:r>
        <w:rPr>
          <w:rFonts w:ascii="GHEA Grapalat" w:hAnsi="GHEA Grapalat"/>
          <w:lang w:val="hy-AM"/>
        </w:rPr>
        <w:t>)</w:t>
      </w:r>
      <w:r>
        <w:rPr>
          <w:rFonts w:ascii="GHEA Grapalat" w:hAnsi="GHEA Grapalat"/>
          <w:color w:val="000000"/>
          <w:lang w:val="hy-AM"/>
        </w:rPr>
        <w:t>, քանի որ այս դեպքում ևս իրավակիրառ պրակտիկայում հանդիպում են տարաբնույթ ձևակերպումներ,</w:t>
      </w:r>
    </w:p>
    <w:p w:rsidR="006D1444" w:rsidRDefault="006D1444" w:rsidP="006D1444">
      <w:pPr>
        <w:pStyle w:val="NormalWeb"/>
        <w:numPr>
          <w:ilvl w:val="0"/>
          <w:numId w:val="11"/>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lang w:val="hy-AM"/>
        </w:rPr>
        <w:lastRenderedPageBreak/>
        <w:t xml:space="preserve"> Որպես ստաժը հաստոտղ փաստաթուղթ նախատեսել նաև (Որոշման Ν 10 հավելվածի 6-րդ և  12-րդ կետեր)</w:t>
      </w:r>
      <w:r>
        <w:rPr>
          <w:rFonts w:ascii="GHEA Grapalat" w:hAnsi="GHEA Grapalat"/>
          <w:color w:val="000000"/>
          <w:lang w:val="hy-AM"/>
        </w:rPr>
        <w:t>՝</w:t>
      </w:r>
    </w:p>
    <w:p w:rsidR="006D1444" w:rsidRDefault="006D1444" w:rsidP="006D1444">
      <w:pPr>
        <w:pStyle w:val="NormalWeb"/>
        <w:numPr>
          <w:ilvl w:val="0"/>
          <w:numId w:val="12"/>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olor w:val="000000"/>
          <w:lang w:val="hy-AM"/>
        </w:rPr>
        <w:t>ուսումնական հաստատության դիպլոմի (ատեստատի) կամ վկայականի՝ նոտարական կարգով հաստատված կրկնօրինակը,</w:t>
      </w:r>
    </w:p>
    <w:p w:rsidR="006D1444" w:rsidRDefault="006D1444" w:rsidP="006D1444">
      <w:pPr>
        <w:pStyle w:val="NormalWeb"/>
        <w:numPr>
          <w:ilvl w:val="0"/>
          <w:numId w:val="12"/>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արհմիության կամ կուսակցության անդամատոմսը.</w:t>
      </w:r>
    </w:p>
    <w:p w:rsidR="006D1444" w:rsidRDefault="006D1444" w:rsidP="006D1444">
      <w:pPr>
        <w:pStyle w:val="NormalWeb"/>
        <w:numPr>
          <w:ilvl w:val="0"/>
          <w:numId w:val="12"/>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կենսաթոշակ նշանակելու դիմումը անձի խնամակալի կողմից ներկայացնելու (անձի խնամակալին վճարելու) դեպքում՝ խնամակալության և հոգաբարձության մարմնի տված տեղեկանքը անձի նկատմամբ խնամակալ ճանաչված լինելու և խնամակալության ժամանակահատվածի մասին, անձին անգործունակ ճանաչելու մասին դատարանի վճիռը.</w:t>
      </w:r>
    </w:p>
    <w:p w:rsidR="006D1444" w:rsidRDefault="006D1444" w:rsidP="006D1444">
      <w:pPr>
        <w:pStyle w:val="NormalWeb"/>
        <w:numPr>
          <w:ilvl w:val="0"/>
          <w:numId w:val="12"/>
        </w:numPr>
        <w:shd w:val="clear" w:color="auto" w:fill="FFFFFF"/>
        <w:tabs>
          <w:tab w:val="left" w:pos="720"/>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կենսաթոշակը խնամատար ծնողին վճարելու դեպքում՝ երկարաժամկետ խնամատարության պայմանագիրը:</w:t>
      </w:r>
    </w:p>
    <w:p w:rsidR="006D1444" w:rsidRDefault="006D1444" w:rsidP="006D1444">
      <w:pPr>
        <w:pStyle w:val="NormalWeb"/>
        <w:shd w:val="clear" w:color="auto" w:fill="FFFFFF"/>
        <w:tabs>
          <w:tab w:val="left" w:pos="720"/>
          <w:tab w:val="left" w:pos="1080"/>
        </w:tabs>
        <w:spacing w:before="0" w:beforeAutospacing="0" w:after="0" w:afterAutospacing="0" w:line="360" w:lineRule="auto"/>
        <w:ind w:left="720"/>
        <w:jc w:val="both"/>
        <w:rPr>
          <w:rFonts w:ascii="GHEA Grapalat" w:hAnsi="GHEA Grapalat" w:cs="GHEA Grapalat"/>
          <w:color w:val="000000"/>
          <w:lang w:val="hy-AM"/>
        </w:rPr>
      </w:pPr>
      <w:r>
        <w:rPr>
          <w:rFonts w:ascii="GHEA Grapalat" w:hAnsi="GHEA Grapalat" w:cs="GHEA Grapalat"/>
          <w:color w:val="000000"/>
          <w:lang w:val="hy-AM"/>
        </w:rPr>
        <w:t>Նախագծով առաջարկվում է կատարել որոշ խմբագրական փոփոխություններ։</w:t>
      </w:r>
    </w:p>
    <w:p w:rsidR="006D1444" w:rsidRDefault="006D1444" w:rsidP="006D1444">
      <w:pPr>
        <w:tabs>
          <w:tab w:val="left" w:pos="720"/>
        </w:tabs>
        <w:spacing w:after="0" w:line="360" w:lineRule="auto"/>
        <w:jc w:val="both"/>
        <w:rPr>
          <w:rFonts w:cs="Sylfaen"/>
          <w:color w:val="000000"/>
          <w:szCs w:val="24"/>
          <w:lang w:val="hy-AM"/>
        </w:rPr>
      </w:pPr>
    </w:p>
    <w:p w:rsidR="006D1444" w:rsidRDefault="006D1444" w:rsidP="006D1444">
      <w:pPr>
        <w:tabs>
          <w:tab w:val="left" w:pos="567"/>
        </w:tabs>
        <w:spacing w:after="0" w:line="360" w:lineRule="auto"/>
        <w:ind w:firstLine="720"/>
        <w:jc w:val="both"/>
        <w:rPr>
          <w:rFonts w:cs="Sylfaen"/>
          <w:b/>
          <w:szCs w:val="24"/>
          <w:lang w:val="hy-AM"/>
        </w:rPr>
      </w:pPr>
      <w:r>
        <w:rPr>
          <w:rFonts w:cs="Sylfaen"/>
          <w:b/>
          <w:szCs w:val="24"/>
          <w:lang w:val="hy-AM"/>
        </w:rPr>
        <w:t>3. Իրավական ակտի կիրառման դեպքում ակնկալվող արդյունքը</w:t>
      </w:r>
    </w:p>
    <w:p w:rsidR="006D1444" w:rsidRDefault="006D1444" w:rsidP="006D1444">
      <w:pPr>
        <w:tabs>
          <w:tab w:val="left" w:pos="567"/>
        </w:tabs>
        <w:spacing w:after="0" w:line="360" w:lineRule="auto"/>
        <w:ind w:firstLine="720"/>
        <w:jc w:val="both"/>
        <w:rPr>
          <w:rFonts w:cs="Sylfaen"/>
          <w:szCs w:val="24"/>
          <w:lang w:val="hy-AM"/>
        </w:rPr>
      </w:pPr>
      <w:r>
        <w:rPr>
          <w:rFonts w:cs="Sylfaen"/>
          <w:szCs w:val="24"/>
          <w:lang w:val="hy-AM"/>
        </w:rPr>
        <w:t>Նախագիծն ընդունվելու դեպքում կհաստակեցվեն ստաժի հաշվարկման կանոնները,  կլուծվեն նաև իրավակիրառ պրակտիկայում ծագած առանձին խնդիրներ։</w:t>
      </w:r>
    </w:p>
    <w:p w:rsidR="006D1444" w:rsidRDefault="006D1444" w:rsidP="006D1444">
      <w:pPr>
        <w:tabs>
          <w:tab w:val="left" w:pos="567"/>
        </w:tabs>
        <w:spacing w:after="0" w:line="360" w:lineRule="auto"/>
        <w:ind w:firstLine="720"/>
        <w:jc w:val="both"/>
        <w:rPr>
          <w:rFonts w:cs="Sylfaen"/>
          <w:szCs w:val="24"/>
          <w:lang w:val="hy-AM"/>
        </w:rPr>
      </w:pPr>
    </w:p>
    <w:p w:rsidR="006D1444" w:rsidRDefault="006D1444" w:rsidP="006D1444">
      <w:pPr>
        <w:tabs>
          <w:tab w:val="left" w:pos="567"/>
          <w:tab w:val="left" w:pos="900"/>
        </w:tabs>
        <w:spacing w:after="0" w:line="360" w:lineRule="auto"/>
        <w:ind w:firstLine="720"/>
        <w:jc w:val="both"/>
        <w:rPr>
          <w:rFonts w:cs="Sylfaen"/>
          <w:b/>
          <w:szCs w:val="24"/>
          <w:lang w:val="hy-AM"/>
        </w:rPr>
      </w:pPr>
      <w:r>
        <w:rPr>
          <w:rFonts w:cs="Sylfaen"/>
          <w:b/>
          <w:szCs w:val="24"/>
          <w:lang w:val="hy-AM"/>
        </w:rPr>
        <w:t>4.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D1444" w:rsidRDefault="006D1444" w:rsidP="006D1444">
      <w:pPr>
        <w:tabs>
          <w:tab w:val="left" w:pos="567"/>
          <w:tab w:val="left" w:pos="900"/>
        </w:tabs>
        <w:spacing w:after="0" w:line="360" w:lineRule="auto"/>
        <w:ind w:firstLine="720"/>
        <w:jc w:val="both"/>
        <w:rPr>
          <w:szCs w:val="24"/>
          <w:lang w:val="hy-AM"/>
        </w:rPr>
      </w:pPr>
      <w:r>
        <w:rPr>
          <w:rFonts w:cs="Sylfaen"/>
          <w:szCs w:val="24"/>
          <w:lang w:val="hy-AM"/>
        </w:rPr>
        <w:t>«Հայաuտանի Հանրապետության կառավարության 2011 թվականի մայիսի 5-ի N 665-ն որոշման մեջ լրացումներ և փոփոխություններ կատարելու մասին Հայաuտանի Հանրապետության կառավարության որոշման նախագծի</w:t>
      </w:r>
      <w:r>
        <w:rPr>
          <w:szCs w:val="24"/>
          <w:lang w:val="hy-AM"/>
        </w:rPr>
        <w:t xml:space="preserve"> ընդունումը բխում է  Կառավարության 2021-2026 թթ. ծրագրի 4-րդ բաժնի 4.6-րդ ենթաբաժնի վերջին պարբերությունից՝ կենսաթոշակառուներին մատուցվող ծառայությունների որակը բարձրացնելու, ինչպես նաև  կենսաթոշակների և  նպաստների նշանակման, վճարման </w:t>
      </w:r>
      <w:r>
        <w:rPr>
          <w:szCs w:val="24"/>
          <w:lang w:val="hy-AM"/>
        </w:rPr>
        <w:lastRenderedPageBreak/>
        <w:t>գործընթացները լավարկելու նպատակով կատարելագործվելու է օրենսդրությունը, ընդլայնվելու է առցանց մատուցվող ծառայությունների սպեկտրը՝ ի հաշիվ տեղեկատվական համակարգեր ներառող տվյալների ստացման որակական և  քանակական բարելավման։</w:t>
      </w:r>
    </w:p>
    <w:p w:rsidR="006D1444" w:rsidRDefault="006D1444" w:rsidP="006D1444">
      <w:pPr>
        <w:tabs>
          <w:tab w:val="left" w:pos="567"/>
        </w:tabs>
        <w:spacing w:after="0" w:line="360" w:lineRule="auto"/>
        <w:ind w:firstLine="720"/>
        <w:jc w:val="both"/>
        <w:rPr>
          <w:rFonts w:cs="Sylfaen"/>
          <w:szCs w:val="24"/>
          <w:lang w:val="hy-AM"/>
        </w:rPr>
      </w:pPr>
    </w:p>
    <w:p w:rsidR="006D1444" w:rsidRDefault="006D1444" w:rsidP="006D1444">
      <w:pPr>
        <w:tabs>
          <w:tab w:val="left" w:pos="567"/>
          <w:tab w:val="left" w:pos="900"/>
        </w:tabs>
        <w:spacing w:after="0" w:line="360" w:lineRule="auto"/>
        <w:ind w:firstLine="720"/>
        <w:jc w:val="both"/>
        <w:rPr>
          <w:rFonts w:cs="Sylfaen"/>
          <w:b/>
          <w:szCs w:val="24"/>
          <w:lang w:val="hy-AM"/>
        </w:rPr>
      </w:pPr>
      <w:r>
        <w:rPr>
          <w:rFonts w:cs="Sylfaen"/>
          <w:b/>
          <w:szCs w:val="24"/>
          <w:lang w:val="hy-AM"/>
        </w:rPr>
        <w:t>5. Տեղեկանք</w:t>
      </w:r>
    </w:p>
    <w:p w:rsidR="006D1444" w:rsidRDefault="006D1444" w:rsidP="006D1444">
      <w:pPr>
        <w:tabs>
          <w:tab w:val="left" w:pos="567"/>
        </w:tabs>
        <w:spacing w:after="0" w:line="360" w:lineRule="auto"/>
        <w:ind w:firstLine="720"/>
        <w:jc w:val="both"/>
        <w:rPr>
          <w:lang w:val="hy-AM"/>
        </w:rPr>
      </w:pPr>
      <w:r>
        <w:rPr>
          <w:rFonts w:cs="Sylfaen"/>
          <w:szCs w:val="24"/>
          <w:lang w:val="hy-AM"/>
        </w:rPr>
        <w:t>«Հայաստանի Հանրապետության կառավարության 2011 թվականի մայիսի 5-ի N 665-Ն որոշման մեջ լրացումներ և փոփոխություններ կատարելու մասին» ՀՀ կառավարության որոշման նախագծի ընդունման դեպքում Հայաստանի Հանրապետության պետական բյուջեում ծախսերի և եկամուտների ավելացում կամ նվազեցում չի նախատեսվում։ Հարկ է նկատի ունենալ, որ առանձին դրույթներ (</w:t>
      </w:r>
      <w:r>
        <w:rPr>
          <w:lang w:val="hy-AM"/>
        </w:rPr>
        <w:t>մասնակի կենսաթոշակի իրավունք տվող մասնագիտությունների և պաշտոնների անվանումներում «պիոներ ջոկատավար» պաշտոնն ավելացնելը</w:t>
      </w:r>
      <w:r>
        <w:rPr>
          <w:rFonts w:cs="Sylfaen"/>
          <w:szCs w:val="24"/>
          <w:lang w:val="hy-AM"/>
        </w:rPr>
        <w:t xml:space="preserve">) կարող են աննշան ավելացնել ծախսերը (շահառուների տարեկան թիվը խիստ սահմանափակ է 2-3 դեպք), սակայն որոշներն էլ (ԱՊՀ համաձայնագրերին ՌԴ և Ուկրաինայի անդամակցության դադարեցումը) կհանգեցնի ծախսերի նվազմանը: Արդյունքում ծախսերի էական ավելացում կամ </w:t>
      </w:r>
      <w:r>
        <w:rPr>
          <w:lang w:val="hy-AM"/>
        </w:rPr>
        <w:t>նվազում չի նախատեսվում:</w:t>
      </w:r>
    </w:p>
    <w:p w:rsidR="006D1444" w:rsidRDefault="006D1444" w:rsidP="006D1444">
      <w:pPr>
        <w:tabs>
          <w:tab w:val="left" w:pos="567"/>
        </w:tabs>
        <w:spacing w:after="0" w:line="360" w:lineRule="auto"/>
        <w:ind w:firstLine="720"/>
        <w:jc w:val="both"/>
        <w:rPr>
          <w:rFonts w:eastAsia="Times New Roman" w:cs="Times New Roman"/>
          <w:szCs w:val="24"/>
          <w:lang w:val="hy-AM"/>
        </w:rPr>
      </w:pPr>
      <w:r>
        <w:rPr>
          <w:lang w:val="hy-AM"/>
        </w:rPr>
        <w:t>Միաժամանակ հայտնում եմ, որ ներկայացված նախագիծն ընդունվելու դեպքում նախագիծն իրացնելու համար անհրաժեշտ ծրագրային ապահովման համար լրացուցիչ միջոցներ պետական բյուջեից չեն պահանջվելու, քանի որ այդ ծախսը կատարվելու է 1102 բյուջետային ծրագրի 11001 միջոցառման շրջանակներում՝ պետական կենսաթոշակային համակարգի տվյալների շտեմարանի սպասարկման ծախսերի հաշվին</w:t>
      </w:r>
      <w:r>
        <w:rPr>
          <w:rFonts w:cs="Sylfaen"/>
          <w:szCs w:val="24"/>
          <w:lang w:val="hy-AM"/>
        </w:rPr>
        <w:t>։</w:t>
      </w:r>
    </w:p>
    <w:p w:rsidR="001A3EB1" w:rsidRPr="00351777" w:rsidRDefault="001A3EB1" w:rsidP="00351777">
      <w:pPr>
        <w:spacing w:line="360" w:lineRule="auto"/>
        <w:rPr>
          <w:rFonts w:eastAsia="Times New Roman" w:cs="Times New Roman"/>
          <w:szCs w:val="24"/>
          <w:lang w:val="hy-AM"/>
        </w:rPr>
      </w:pPr>
      <w:bookmarkStart w:id="0" w:name="_GoBack"/>
      <w:bookmarkEnd w:id="0"/>
    </w:p>
    <w:sectPr w:rsidR="001A3EB1" w:rsidRPr="00351777" w:rsidSect="009E5C17">
      <w:pgSz w:w="12240" w:h="15840"/>
      <w:pgMar w:top="1980" w:right="90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B6B02"/>
    <w:multiLevelType w:val="hybridMultilevel"/>
    <w:tmpl w:val="2C503D0C"/>
    <w:lvl w:ilvl="0" w:tplc="7DCA2598">
      <w:start w:val="1"/>
      <w:numFmt w:val="decimal"/>
      <w:lvlText w:val="%1."/>
      <w:lvlJc w:val="left"/>
      <w:pPr>
        <w:ind w:left="1800" w:hanging="360"/>
      </w:pPr>
      <w:rPr>
        <w:rFonts w:cs="Sylfaen"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64C26FC"/>
    <w:multiLevelType w:val="hybridMultilevel"/>
    <w:tmpl w:val="6A26C6B2"/>
    <w:lvl w:ilvl="0" w:tplc="2A649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A2C362D"/>
    <w:multiLevelType w:val="hybridMultilevel"/>
    <w:tmpl w:val="97866D8E"/>
    <w:lvl w:ilvl="0" w:tplc="80A84214">
      <w:start w:val="1"/>
      <w:numFmt w:val="decimal"/>
      <w:lvlText w:val="%1."/>
      <w:lvlJc w:val="left"/>
      <w:pPr>
        <w:ind w:left="720" w:hanging="360"/>
      </w:pPr>
      <w:rPr>
        <w:rFonts w:ascii="GHEA Grapalat" w:hAnsi="GHEA Grapalat" w:cs="Arial"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7024CE"/>
    <w:multiLevelType w:val="hybridMultilevel"/>
    <w:tmpl w:val="949CABD2"/>
    <w:lvl w:ilvl="0" w:tplc="7DCA2598">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BFA3683"/>
    <w:multiLevelType w:val="hybridMultilevel"/>
    <w:tmpl w:val="0C4AE56C"/>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11A43DB"/>
    <w:multiLevelType w:val="hybridMultilevel"/>
    <w:tmpl w:val="31341706"/>
    <w:lvl w:ilvl="0" w:tplc="F0244422">
      <w:start w:val="2"/>
      <w:numFmt w:val="bullet"/>
      <w:lvlText w:val="-"/>
      <w:lvlJc w:val="left"/>
      <w:pPr>
        <w:ind w:left="1080" w:hanging="360"/>
      </w:pPr>
      <w:rPr>
        <w:rFonts w:ascii="GHEA Grapalat" w:eastAsiaTheme="minorHAnsi"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91E52D6"/>
    <w:multiLevelType w:val="hybridMultilevel"/>
    <w:tmpl w:val="2C503D0C"/>
    <w:lvl w:ilvl="0" w:tplc="7DCA2598">
      <w:start w:val="1"/>
      <w:numFmt w:val="decimal"/>
      <w:lvlText w:val="%1."/>
      <w:lvlJc w:val="left"/>
      <w:pPr>
        <w:ind w:left="1800" w:hanging="360"/>
      </w:pPr>
      <w:rPr>
        <w:rFonts w:cs="Sylfaen"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C8E2AC5"/>
    <w:multiLevelType w:val="hybridMultilevel"/>
    <w:tmpl w:val="F37C7422"/>
    <w:lvl w:ilvl="0" w:tplc="04090011">
      <w:start w:val="1"/>
      <w:numFmt w:val="decimal"/>
      <w:lvlText w:val="%1)"/>
      <w:lvlJc w:val="left"/>
      <w:pPr>
        <w:ind w:left="1530"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15:restartNumberingAfterBreak="0">
    <w:nsid w:val="75C72E2B"/>
    <w:multiLevelType w:val="hybridMultilevel"/>
    <w:tmpl w:val="176E2836"/>
    <w:lvl w:ilvl="0" w:tplc="829CFCD4">
      <w:start w:val="2"/>
      <w:numFmt w:val="bullet"/>
      <w:lvlText w:val="-"/>
      <w:lvlJc w:val="left"/>
      <w:pPr>
        <w:ind w:left="1080" w:hanging="360"/>
      </w:pPr>
      <w:rPr>
        <w:rFonts w:ascii="GHEA Grapalat" w:eastAsia="Times New Roman"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5"/>
  </w:num>
  <w:num w:numId="3">
    <w:abstractNumId w:val="4"/>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6"/>
  </w:num>
  <w:num w:numId="7">
    <w:abstractNumId w:val="0"/>
  </w:num>
  <w:num w:numId="8">
    <w:abstractNumId w:val="1"/>
  </w:num>
  <w:num w:numId="9">
    <w:abstractNumId w:val="8"/>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9F1"/>
    <w:rsid w:val="00020D01"/>
    <w:rsid w:val="00021AAB"/>
    <w:rsid w:val="0002568F"/>
    <w:rsid w:val="000343C7"/>
    <w:rsid w:val="0003665A"/>
    <w:rsid w:val="00042B04"/>
    <w:rsid w:val="00043041"/>
    <w:rsid w:val="000460C9"/>
    <w:rsid w:val="00052BB7"/>
    <w:rsid w:val="00053685"/>
    <w:rsid w:val="0005617D"/>
    <w:rsid w:val="00065599"/>
    <w:rsid w:val="00084871"/>
    <w:rsid w:val="00085392"/>
    <w:rsid w:val="000A0147"/>
    <w:rsid w:val="000A259E"/>
    <w:rsid w:val="000B0354"/>
    <w:rsid w:val="000B0C9D"/>
    <w:rsid w:val="000B3ECE"/>
    <w:rsid w:val="000D602D"/>
    <w:rsid w:val="000D698E"/>
    <w:rsid w:val="000F429B"/>
    <w:rsid w:val="000F61CB"/>
    <w:rsid w:val="00105F29"/>
    <w:rsid w:val="00107807"/>
    <w:rsid w:val="00142B08"/>
    <w:rsid w:val="00143B27"/>
    <w:rsid w:val="00145E53"/>
    <w:rsid w:val="0014637E"/>
    <w:rsid w:val="00146DC4"/>
    <w:rsid w:val="00150188"/>
    <w:rsid w:val="00154C3D"/>
    <w:rsid w:val="00156492"/>
    <w:rsid w:val="00163FB9"/>
    <w:rsid w:val="00172E99"/>
    <w:rsid w:val="00182B3F"/>
    <w:rsid w:val="001A3EB1"/>
    <w:rsid w:val="001A5160"/>
    <w:rsid w:val="001A6B64"/>
    <w:rsid w:val="001C33E8"/>
    <w:rsid w:val="001C369C"/>
    <w:rsid w:val="001D1DC2"/>
    <w:rsid w:val="001D5932"/>
    <w:rsid w:val="001F3AEB"/>
    <w:rsid w:val="001F6629"/>
    <w:rsid w:val="00201C44"/>
    <w:rsid w:val="00212421"/>
    <w:rsid w:val="00216786"/>
    <w:rsid w:val="0022289E"/>
    <w:rsid w:val="00235883"/>
    <w:rsid w:val="002429A5"/>
    <w:rsid w:val="00244FDE"/>
    <w:rsid w:val="00251307"/>
    <w:rsid w:val="002632C3"/>
    <w:rsid w:val="00264BA8"/>
    <w:rsid w:val="0027074C"/>
    <w:rsid w:val="002815F0"/>
    <w:rsid w:val="00286D66"/>
    <w:rsid w:val="00292D45"/>
    <w:rsid w:val="00294C49"/>
    <w:rsid w:val="002976D8"/>
    <w:rsid w:val="002B0081"/>
    <w:rsid w:val="002C41CB"/>
    <w:rsid w:val="002E2588"/>
    <w:rsid w:val="002E4109"/>
    <w:rsid w:val="002E6670"/>
    <w:rsid w:val="00301526"/>
    <w:rsid w:val="00317291"/>
    <w:rsid w:val="00317F2E"/>
    <w:rsid w:val="00321013"/>
    <w:rsid w:val="00327403"/>
    <w:rsid w:val="00351777"/>
    <w:rsid w:val="00354249"/>
    <w:rsid w:val="00354564"/>
    <w:rsid w:val="00361BF9"/>
    <w:rsid w:val="00364D38"/>
    <w:rsid w:val="003920D1"/>
    <w:rsid w:val="003A54AA"/>
    <w:rsid w:val="003C0EA3"/>
    <w:rsid w:val="003C5DFF"/>
    <w:rsid w:val="003E3C69"/>
    <w:rsid w:val="003E593C"/>
    <w:rsid w:val="003F0A88"/>
    <w:rsid w:val="004025A4"/>
    <w:rsid w:val="004076C7"/>
    <w:rsid w:val="004330AB"/>
    <w:rsid w:val="0043501D"/>
    <w:rsid w:val="00442A99"/>
    <w:rsid w:val="00450630"/>
    <w:rsid w:val="00454F6C"/>
    <w:rsid w:val="0045687C"/>
    <w:rsid w:val="00456DB8"/>
    <w:rsid w:val="0046206E"/>
    <w:rsid w:val="0047451A"/>
    <w:rsid w:val="004746A7"/>
    <w:rsid w:val="00487C73"/>
    <w:rsid w:val="00490171"/>
    <w:rsid w:val="00491279"/>
    <w:rsid w:val="004D232A"/>
    <w:rsid w:val="004D26EB"/>
    <w:rsid w:val="004E02F5"/>
    <w:rsid w:val="004E1462"/>
    <w:rsid w:val="004E2C0F"/>
    <w:rsid w:val="00506A52"/>
    <w:rsid w:val="00517461"/>
    <w:rsid w:val="005177E1"/>
    <w:rsid w:val="00530D8D"/>
    <w:rsid w:val="00547ADA"/>
    <w:rsid w:val="00580CC0"/>
    <w:rsid w:val="00581396"/>
    <w:rsid w:val="0058505B"/>
    <w:rsid w:val="00591DE1"/>
    <w:rsid w:val="00593A23"/>
    <w:rsid w:val="005A7E10"/>
    <w:rsid w:val="005B1B7A"/>
    <w:rsid w:val="005B28F4"/>
    <w:rsid w:val="005B5803"/>
    <w:rsid w:val="005C2A78"/>
    <w:rsid w:val="005D57B5"/>
    <w:rsid w:val="005E21EF"/>
    <w:rsid w:val="005F201A"/>
    <w:rsid w:val="00634210"/>
    <w:rsid w:val="00657909"/>
    <w:rsid w:val="00681556"/>
    <w:rsid w:val="00682C6E"/>
    <w:rsid w:val="00694BB2"/>
    <w:rsid w:val="0069509E"/>
    <w:rsid w:val="006B4918"/>
    <w:rsid w:val="006C39F1"/>
    <w:rsid w:val="006D1444"/>
    <w:rsid w:val="006D24A9"/>
    <w:rsid w:val="006E2E5F"/>
    <w:rsid w:val="007038C9"/>
    <w:rsid w:val="00706213"/>
    <w:rsid w:val="00721043"/>
    <w:rsid w:val="00725DB3"/>
    <w:rsid w:val="00730726"/>
    <w:rsid w:val="00737E22"/>
    <w:rsid w:val="00742F91"/>
    <w:rsid w:val="007432D9"/>
    <w:rsid w:val="00745D96"/>
    <w:rsid w:val="00750D55"/>
    <w:rsid w:val="00763797"/>
    <w:rsid w:val="00765FA7"/>
    <w:rsid w:val="00766DFB"/>
    <w:rsid w:val="00774A36"/>
    <w:rsid w:val="00776E7F"/>
    <w:rsid w:val="00787BDC"/>
    <w:rsid w:val="007B2368"/>
    <w:rsid w:val="007B543E"/>
    <w:rsid w:val="007C1A9F"/>
    <w:rsid w:val="007C58EA"/>
    <w:rsid w:val="007D269C"/>
    <w:rsid w:val="00804A50"/>
    <w:rsid w:val="008103B3"/>
    <w:rsid w:val="008220E6"/>
    <w:rsid w:val="00822B61"/>
    <w:rsid w:val="00823E9A"/>
    <w:rsid w:val="00826597"/>
    <w:rsid w:val="00837940"/>
    <w:rsid w:val="008444FE"/>
    <w:rsid w:val="008459B5"/>
    <w:rsid w:val="00864E7F"/>
    <w:rsid w:val="0088762E"/>
    <w:rsid w:val="00891DEB"/>
    <w:rsid w:val="008A1293"/>
    <w:rsid w:val="008A6EC7"/>
    <w:rsid w:val="008D3C6E"/>
    <w:rsid w:val="008D48C1"/>
    <w:rsid w:val="008E6F47"/>
    <w:rsid w:val="008E748C"/>
    <w:rsid w:val="008F0079"/>
    <w:rsid w:val="009014E3"/>
    <w:rsid w:val="00904763"/>
    <w:rsid w:val="0091412E"/>
    <w:rsid w:val="009244B5"/>
    <w:rsid w:val="00942899"/>
    <w:rsid w:val="0096077B"/>
    <w:rsid w:val="0096191D"/>
    <w:rsid w:val="009758F5"/>
    <w:rsid w:val="00985AF4"/>
    <w:rsid w:val="00986BA1"/>
    <w:rsid w:val="00990CB8"/>
    <w:rsid w:val="009B105A"/>
    <w:rsid w:val="009B21B3"/>
    <w:rsid w:val="009E1577"/>
    <w:rsid w:val="009E46C3"/>
    <w:rsid w:val="009E5C17"/>
    <w:rsid w:val="009F53D0"/>
    <w:rsid w:val="00A11C7C"/>
    <w:rsid w:val="00A15179"/>
    <w:rsid w:val="00A369F3"/>
    <w:rsid w:val="00A560E6"/>
    <w:rsid w:val="00A6158C"/>
    <w:rsid w:val="00A73EF2"/>
    <w:rsid w:val="00A75160"/>
    <w:rsid w:val="00A75FE2"/>
    <w:rsid w:val="00A772E9"/>
    <w:rsid w:val="00A80458"/>
    <w:rsid w:val="00A82CD2"/>
    <w:rsid w:val="00A87CF8"/>
    <w:rsid w:val="00A901BA"/>
    <w:rsid w:val="00AA5FDE"/>
    <w:rsid w:val="00AA68D2"/>
    <w:rsid w:val="00AB0FCE"/>
    <w:rsid w:val="00AB6DAB"/>
    <w:rsid w:val="00AC03EB"/>
    <w:rsid w:val="00AC3FD2"/>
    <w:rsid w:val="00AC5E07"/>
    <w:rsid w:val="00AD28C6"/>
    <w:rsid w:val="00AD518A"/>
    <w:rsid w:val="00AE1F10"/>
    <w:rsid w:val="00AE652E"/>
    <w:rsid w:val="00AF0C46"/>
    <w:rsid w:val="00B0310E"/>
    <w:rsid w:val="00B04A8B"/>
    <w:rsid w:val="00B0573E"/>
    <w:rsid w:val="00B37509"/>
    <w:rsid w:val="00B40492"/>
    <w:rsid w:val="00B44A95"/>
    <w:rsid w:val="00B4669A"/>
    <w:rsid w:val="00B62C9E"/>
    <w:rsid w:val="00B66343"/>
    <w:rsid w:val="00B960D2"/>
    <w:rsid w:val="00BA01C0"/>
    <w:rsid w:val="00BA2E2E"/>
    <w:rsid w:val="00BA495C"/>
    <w:rsid w:val="00BC66D9"/>
    <w:rsid w:val="00BC7118"/>
    <w:rsid w:val="00BF5071"/>
    <w:rsid w:val="00BF521C"/>
    <w:rsid w:val="00BF5CF6"/>
    <w:rsid w:val="00C006EC"/>
    <w:rsid w:val="00C0449C"/>
    <w:rsid w:val="00C045DD"/>
    <w:rsid w:val="00C14BE6"/>
    <w:rsid w:val="00C23C45"/>
    <w:rsid w:val="00C338CD"/>
    <w:rsid w:val="00C367AC"/>
    <w:rsid w:val="00C43B2B"/>
    <w:rsid w:val="00C46F14"/>
    <w:rsid w:val="00C5302B"/>
    <w:rsid w:val="00C6053E"/>
    <w:rsid w:val="00C65477"/>
    <w:rsid w:val="00C71BDD"/>
    <w:rsid w:val="00CB0206"/>
    <w:rsid w:val="00CE24FF"/>
    <w:rsid w:val="00CF205E"/>
    <w:rsid w:val="00CF4A2A"/>
    <w:rsid w:val="00CF56A0"/>
    <w:rsid w:val="00D02615"/>
    <w:rsid w:val="00D159F4"/>
    <w:rsid w:val="00D16C84"/>
    <w:rsid w:val="00D20C64"/>
    <w:rsid w:val="00D31CD4"/>
    <w:rsid w:val="00D335F1"/>
    <w:rsid w:val="00D354E7"/>
    <w:rsid w:val="00D44743"/>
    <w:rsid w:val="00D447AC"/>
    <w:rsid w:val="00D5082C"/>
    <w:rsid w:val="00D51FDC"/>
    <w:rsid w:val="00D567B6"/>
    <w:rsid w:val="00D60615"/>
    <w:rsid w:val="00D638F1"/>
    <w:rsid w:val="00D729A7"/>
    <w:rsid w:val="00D8697E"/>
    <w:rsid w:val="00D92C83"/>
    <w:rsid w:val="00D94C9C"/>
    <w:rsid w:val="00DA145A"/>
    <w:rsid w:val="00DA6A2D"/>
    <w:rsid w:val="00DB4F9D"/>
    <w:rsid w:val="00DC4645"/>
    <w:rsid w:val="00DC4A34"/>
    <w:rsid w:val="00DC52CC"/>
    <w:rsid w:val="00DD72D2"/>
    <w:rsid w:val="00DF2B07"/>
    <w:rsid w:val="00E049A9"/>
    <w:rsid w:val="00E0757C"/>
    <w:rsid w:val="00E14583"/>
    <w:rsid w:val="00E21FF9"/>
    <w:rsid w:val="00E33D6B"/>
    <w:rsid w:val="00E408F9"/>
    <w:rsid w:val="00E41CF3"/>
    <w:rsid w:val="00E56D74"/>
    <w:rsid w:val="00E611C1"/>
    <w:rsid w:val="00E74026"/>
    <w:rsid w:val="00E77568"/>
    <w:rsid w:val="00EA2680"/>
    <w:rsid w:val="00EA6683"/>
    <w:rsid w:val="00EB70F3"/>
    <w:rsid w:val="00EF3739"/>
    <w:rsid w:val="00EF7A44"/>
    <w:rsid w:val="00F03339"/>
    <w:rsid w:val="00F07FD7"/>
    <w:rsid w:val="00F11D30"/>
    <w:rsid w:val="00F13FCF"/>
    <w:rsid w:val="00F22278"/>
    <w:rsid w:val="00F256F0"/>
    <w:rsid w:val="00F31146"/>
    <w:rsid w:val="00F461A1"/>
    <w:rsid w:val="00F518FE"/>
    <w:rsid w:val="00F54A13"/>
    <w:rsid w:val="00F60253"/>
    <w:rsid w:val="00F70C7C"/>
    <w:rsid w:val="00F73A03"/>
    <w:rsid w:val="00F741F9"/>
    <w:rsid w:val="00F82A16"/>
    <w:rsid w:val="00F85B35"/>
    <w:rsid w:val="00FA28BE"/>
    <w:rsid w:val="00FB3B74"/>
    <w:rsid w:val="00FC34C1"/>
    <w:rsid w:val="00FC5D0F"/>
    <w:rsid w:val="00FD3B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B26CC"/>
  <w15:docId w15:val="{6E184368-799A-43C1-B47C-26E034B86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39F1"/>
    <w:pPr>
      <w:spacing w:after="200" w:line="276" w:lineRule="auto"/>
    </w:pPr>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6C39F1"/>
    <w:pPr>
      <w:ind w:left="720"/>
      <w:contextualSpacing/>
    </w:pPr>
  </w:style>
  <w:style w:type="character" w:customStyle="1" w:styleId="Bodytext2">
    <w:name w:val="Body text (2)_"/>
    <w:basedOn w:val="DefaultParagraphFont"/>
    <w:link w:val="Bodytext20"/>
    <w:rsid w:val="006C39F1"/>
    <w:rPr>
      <w:rFonts w:ascii="Times New Roman" w:eastAsia="Times New Roman" w:hAnsi="Times New Roman" w:cs="Times New Roman"/>
      <w:sz w:val="28"/>
      <w:szCs w:val="28"/>
      <w:shd w:val="clear" w:color="auto" w:fill="FFFFFF"/>
    </w:rPr>
  </w:style>
  <w:style w:type="paragraph" w:customStyle="1" w:styleId="Bodytext20">
    <w:name w:val="Body text (2)"/>
    <w:basedOn w:val="Normal"/>
    <w:link w:val="Bodytext2"/>
    <w:rsid w:val="006C39F1"/>
    <w:pPr>
      <w:widowControl w:val="0"/>
      <w:shd w:val="clear" w:color="auto" w:fill="FFFFFF"/>
      <w:spacing w:before="420" w:after="960" w:line="0" w:lineRule="atLeast"/>
      <w:ind w:hanging="1420"/>
      <w:jc w:val="both"/>
    </w:pPr>
    <w:rPr>
      <w:rFonts w:ascii="Times New Roman" w:eastAsia="Times New Roman" w:hAnsi="Times New Roman" w:cs="Times New Roman"/>
      <w:sz w:val="28"/>
      <w:szCs w:val="28"/>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qFormat/>
    <w:locked/>
    <w:rsid w:val="006C39F1"/>
    <w:rPr>
      <w:rFonts w:ascii="GHEA Grapalat" w:hAnsi="GHEA Grapalat"/>
      <w:sz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AD518A"/>
    <w:pPr>
      <w:spacing w:before="100" w:beforeAutospacing="1" w:after="100" w:afterAutospacing="1" w:line="240" w:lineRule="auto"/>
    </w:pPr>
    <w:rPr>
      <w:rFonts w:ascii="Times New Roman" w:eastAsia="Times New Roman" w:hAnsi="Times New Roman" w:cs="Times New Roman"/>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AD518A"/>
    <w:rPr>
      <w:rFonts w:ascii="Times New Roman" w:eastAsia="Times New Roman" w:hAnsi="Times New Roman" w:cs="Times New Roman"/>
      <w:sz w:val="24"/>
      <w:szCs w:val="24"/>
    </w:rPr>
  </w:style>
  <w:style w:type="paragraph" w:customStyle="1" w:styleId="msonormal0">
    <w:name w:val="msonormal"/>
    <w:basedOn w:val="Normal"/>
    <w:rsid w:val="004D26EB"/>
    <w:pPr>
      <w:spacing w:before="100" w:beforeAutospacing="1" w:after="100" w:afterAutospacing="1" w:line="240" w:lineRule="auto"/>
    </w:pPr>
    <w:rPr>
      <w:rFonts w:ascii="Times New Roman" w:eastAsia="Times New Roman" w:hAnsi="Times New Roman" w:cs="Times New Roman"/>
      <w:szCs w:val="24"/>
    </w:rPr>
  </w:style>
  <w:style w:type="paragraph" w:styleId="BalloonText">
    <w:name w:val="Balloon Text"/>
    <w:basedOn w:val="Normal"/>
    <w:link w:val="BalloonTextChar"/>
    <w:uiPriority w:val="99"/>
    <w:semiHidden/>
    <w:unhideWhenUsed/>
    <w:rsid w:val="00264B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B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054764">
      <w:bodyDiv w:val="1"/>
      <w:marLeft w:val="0"/>
      <w:marRight w:val="0"/>
      <w:marTop w:val="0"/>
      <w:marBottom w:val="0"/>
      <w:divBdr>
        <w:top w:val="none" w:sz="0" w:space="0" w:color="auto"/>
        <w:left w:val="none" w:sz="0" w:space="0" w:color="auto"/>
        <w:bottom w:val="none" w:sz="0" w:space="0" w:color="auto"/>
        <w:right w:val="none" w:sz="0" w:space="0" w:color="auto"/>
      </w:divBdr>
    </w:div>
    <w:div w:id="178466881">
      <w:bodyDiv w:val="1"/>
      <w:marLeft w:val="0"/>
      <w:marRight w:val="0"/>
      <w:marTop w:val="0"/>
      <w:marBottom w:val="0"/>
      <w:divBdr>
        <w:top w:val="none" w:sz="0" w:space="0" w:color="auto"/>
        <w:left w:val="none" w:sz="0" w:space="0" w:color="auto"/>
        <w:bottom w:val="none" w:sz="0" w:space="0" w:color="auto"/>
        <w:right w:val="none" w:sz="0" w:space="0" w:color="auto"/>
      </w:divBdr>
    </w:div>
    <w:div w:id="576401076">
      <w:bodyDiv w:val="1"/>
      <w:marLeft w:val="0"/>
      <w:marRight w:val="0"/>
      <w:marTop w:val="0"/>
      <w:marBottom w:val="0"/>
      <w:divBdr>
        <w:top w:val="none" w:sz="0" w:space="0" w:color="auto"/>
        <w:left w:val="none" w:sz="0" w:space="0" w:color="auto"/>
        <w:bottom w:val="none" w:sz="0" w:space="0" w:color="auto"/>
        <w:right w:val="none" w:sz="0" w:space="0" w:color="auto"/>
      </w:divBdr>
    </w:div>
    <w:div w:id="712846924">
      <w:bodyDiv w:val="1"/>
      <w:marLeft w:val="0"/>
      <w:marRight w:val="0"/>
      <w:marTop w:val="0"/>
      <w:marBottom w:val="0"/>
      <w:divBdr>
        <w:top w:val="none" w:sz="0" w:space="0" w:color="auto"/>
        <w:left w:val="none" w:sz="0" w:space="0" w:color="auto"/>
        <w:bottom w:val="none" w:sz="0" w:space="0" w:color="auto"/>
        <w:right w:val="none" w:sz="0" w:space="0" w:color="auto"/>
      </w:divBdr>
    </w:div>
    <w:div w:id="1016419837">
      <w:bodyDiv w:val="1"/>
      <w:marLeft w:val="0"/>
      <w:marRight w:val="0"/>
      <w:marTop w:val="0"/>
      <w:marBottom w:val="0"/>
      <w:divBdr>
        <w:top w:val="none" w:sz="0" w:space="0" w:color="auto"/>
        <w:left w:val="none" w:sz="0" w:space="0" w:color="auto"/>
        <w:bottom w:val="none" w:sz="0" w:space="0" w:color="auto"/>
        <w:right w:val="none" w:sz="0" w:space="0" w:color="auto"/>
      </w:divBdr>
    </w:div>
    <w:div w:id="1275093293">
      <w:bodyDiv w:val="1"/>
      <w:marLeft w:val="0"/>
      <w:marRight w:val="0"/>
      <w:marTop w:val="0"/>
      <w:marBottom w:val="0"/>
      <w:divBdr>
        <w:top w:val="none" w:sz="0" w:space="0" w:color="auto"/>
        <w:left w:val="none" w:sz="0" w:space="0" w:color="auto"/>
        <w:bottom w:val="none" w:sz="0" w:space="0" w:color="auto"/>
        <w:right w:val="none" w:sz="0" w:space="0" w:color="auto"/>
      </w:divBdr>
    </w:div>
    <w:div w:id="1390037887">
      <w:bodyDiv w:val="1"/>
      <w:marLeft w:val="0"/>
      <w:marRight w:val="0"/>
      <w:marTop w:val="0"/>
      <w:marBottom w:val="0"/>
      <w:divBdr>
        <w:top w:val="none" w:sz="0" w:space="0" w:color="auto"/>
        <w:left w:val="none" w:sz="0" w:space="0" w:color="auto"/>
        <w:bottom w:val="none" w:sz="0" w:space="0" w:color="auto"/>
        <w:right w:val="none" w:sz="0" w:space="0" w:color="auto"/>
      </w:divBdr>
    </w:div>
    <w:div w:id="1395545584">
      <w:bodyDiv w:val="1"/>
      <w:marLeft w:val="0"/>
      <w:marRight w:val="0"/>
      <w:marTop w:val="0"/>
      <w:marBottom w:val="0"/>
      <w:divBdr>
        <w:top w:val="none" w:sz="0" w:space="0" w:color="auto"/>
        <w:left w:val="none" w:sz="0" w:space="0" w:color="auto"/>
        <w:bottom w:val="none" w:sz="0" w:space="0" w:color="auto"/>
        <w:right w:val="none" w:sz="0" w:space="0" w:color="auto"/>
      </w:divBdr>
    </w:div>
    <w:div w:id="1514219336">
      <w:bodyDiv w:val="1"/>
      <w:marLeft w:val="0"/>
      <w:marRight w:val="0"/>
      <w:marTop w:val="0"/>
      <w:marBottom w:val="0"/>
      <w:divBdr>
        <w:top w:val="none" w:sz="0" w:space="0" w:color="auto"/>
        <w:left w:val="none" w:sz="0" w:space="0" w:color="auto"/>
        <w:bottom w:val="none" w:sz="0" w:space="0" w:color="auto"/>
        <w:right w:val="none" w:sz="0" w:space="0" w:color="auto"/>
      </w:divBdr>
    </w:div>
    <w:div w:id="1726447490">
      <w:bodyDiv w:val="1"/>
      <w:marLeft w:val="0"/>
      <w:marRight w:val="0"/>
      <w:marTop w:val="0"/>
      <w:marBottom w:val="0"/>
      <w:divBdr>
        <w:top w:val="none" w:sz="0" w:space="0" w:color="auto"/>
        <w:left w:val="none" w:sz="0" w:space="0" w:color="auto"/>
        <w:bottom w:val="none" w:sz="0" w:space="0" w:color="auto"/>
        <w:right w:val="none" w:sz="0" w:space="0" w:color="auto"/>
      </w:divBdr>
    </w:div>
    <w:div w:id="190718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B91E8-669B-4CD4-8D4C-A7BAED661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4337</Words>
  <Characters>32276</Characters>
  <Application>Microsoft Office Word</Application>
  <DocSecurity>0</DocSecurity>
  <Lines>582</Lines>
  <Paragraphs>111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Yuri Harutyunyan</dc:creator>
  <cp:keywords>https://mul2.gov.am/tasks/1232488/oneclick?token=8d79f792c8c39a25711428c94edcea61</cp:keywords>
  <cp:lastModifiedBy>Tatevik Stepanyan</cp:lastModifiedBy>
  <cp:revision>4</cp:revision>
  <dcterms:created xsi:type="dcterms:W3CDTF">2025-09-09T12:13:00Z</dcterms:created>
  <dcterms:modified xsi:type="dcterms:W3CDTF">2025-10-31T06:47:00Z</dcterms:modified>
</cp:coreProperties>
</file>