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F05" w:rsidRPr="00C91F05" w:rsidRDefault="00BD4F3E" w:rsidP="00C91F05">
      <w:pPr>
        <w:shd w:val="clear" w:color="auto" w:fill="FFFFFF"/>
        <w:spacing w:after="0" w:line="240" w:lineRule="auto"/>
        <w:ind w:firstLine="379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E47B7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C91F05" w:rsidRPr="00E47B7C" w:rsidRDefault="00C91F05" w:rsidP="00C91F05">
      <w:pPr>
        <w:pStyle w:val="Header"/>
        <w:ind w:left="630" w:firstLine="90"/>
        <w:jc w:val="center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066C0E">
        <w:rPr>
          <w:rFonts w:ascii="GHEA Grapalat" w:eastAsia="Times New Roman" w:hAnsi="GHEA Grapalat" w:cs="Times New Roman"/>
          <w:sz w:val="24"/>
          <w:szCs w:val="24"/>
          <w:lang w:val="hy-AM"/>
        </w:rPr>
        <w:t>«Կենսաբանական բազմազանության մասին» կոնվենցիային կից «Գենետիկական պաշարների հասանելիության և դրանց օգտագործումից ստացվող օգուտների արդար ու հավասար հիմունքներով համօգտագործման մասին» Նագոյայի արձանագրությ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ան</w:t>
      </w:r>
    </w:p>
    <w:p w:rsidR="00BD4F3E" w:rsidRPr="00E47B7C" w:rsidRDefault="00BD4F3E" w:rsidP="00FD4ED3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0710" w:type="dxa"/>
        <w:tblInd w:w="-1175" w:type="dxa"/>
        <w:tblLook w:val="04A0" w:firstRow="1" w:lastRow="0" w:firstColumn="1" w:lastColumn="0" w:noHBand="0" w:noVBand="1"/>
      </w:tblPr>
      <w:tblGrid>
        <w:gridCol w:w="7560"/>
        <w:gridCol w:w="3150"/>
      </w:tblGrid>
      <w:tr w:rsidR="00BD4F3E" w:rsidRPr="00E47B7C" w:rsidTr="008B226D">
        <w:tc>
          <w:tcPr>
            <w:tcW w:w="7560" w:type="dxa"/>
            <w:vMerge w:val="restart"/>
            <w:shd w:val="clear" w:color="auto" w:fill="D9D9D9" w:themeFill="background1" w:themeFillShade="D9"/>
          </w:tcPr>
          <w:p w:rsidR="00BD4F3E" w:rsidRPr="00E47B7C" w:rsidRDefault="00BD4F3E" w:rsidP="00BD4F3E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</w:t>
            </w:r>
            <w:r w:rsidRPr="00E47B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 Արտաքին գործերի նախարարություն</w:t>
            </w:r>
          </w:p>
        </w:tc>
        <w:tc>
          <w:tcPr>
            <w:tcW w:w="3150" w:type="dxa"/>
            <w:shd w:val="clear" w:color="auto" w:fill="D9D9D9" w:themeFill="background1" w:themeFillShade="D9"/>
          </w:tcPr>
          <w:p w:rsidR="00BD4F3E" w:rsidRPr="00E47B7C" w:rsidRDefault="00E5771F" w:rsidP="00BD4F3E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01.09</w:t>
            </w:r>
            <w:r w:rsidR="00BD4F3E"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.2025թ</w:t>
            </w:r>
            <w:r w:rsidR="00BD4F3E" w:rsidRPr="00E47B7C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</w:p>
        </w:tc>
      </w:tr>
      <w:tr w:rsidR="00BD4F3E" w:rsidRPr="00E47B7C" w:rsidTr="008B226D">
        <w:tc>
          <w:tcPr>
            <w:tcW w:w="7560" w:type="dxa"/>
            <w:vMerge/>
            <w:shd w:val="clear" w:color="auto" w:fill="D9D9D9" w:themeFill="background1" w:themeFillShade="D9"/>
          </w:tcPr>
          <w:p w:rsidR="00BD4F3E" w:rsidRPr="00E47B7C" w:rsidRDefault="00BD4F3E" w:rsidP="00BD4F3E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150" w:type="dxa"/>
            <w:shd w:val="clear" w:color="auto" w:fill="D9D9D9" w:themeFill="background1" w:themeFillShade="D9"/>
          </w:tcPr>
          <w:p w:rsidR="00BD4F3E" w:rsidRPr="00E47B7C" w:rsidRDefault="00BD4F3E" w:rsidP="00BD4F3E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bookmarkStart w:id="0" w:name="_GoBack"/>
            <w:r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№ </w:t>
            </w:r>
            <w:r w:rsidR="00E5771F" w:rsidRPr="00E5771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1111/47226</w:t>
            </w:r>
            <w:bookmarkEnd w:id="0"/>
          </w:p>
        </w:tc>
      </w:tr>
      <w:tr w:rsidR="00BD4F3E" w:rsidRPr="00E47B7C" w:rsidTr="008B226D">
        <w:tc>
          <w:tcPr>
            <w:tcW w:w="7560" w:type="dxa"/>
          </w:tcPr>
          <w:p w:rsidR="00E5771F" w:rsidRPr="00E5771F" w:rsidRDefault="00E5771F" w:rsidP="00E5771F">
            <w:pPr>
              <w:pStyle w:val="NoSpacing"/>
              <w:spacing w:line="360" w:lineRule="auto"/>
              <w:ind w:left="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5771F">
              <w:rPr>
                <w:rFonts w:ascii="GHEA Grapalat" w:hAnsi="GHEA Grapalat" w:cs="Sylfaen"/>
                <w:sz w:val="24"/>
                <w:szCs w:val="24"/>
                <w:lang w:val="hy-AM"/>
              </w:rPr>
              <w:t>«Կենսաբանական բազմազանության մասին կոնվենցիային կից Գենետիկական պաշարների հասանելիության և դրանց օգտագործումից ստացվող օգուտների արդար ու հավասար հիմունքներով համօգտագործման մասին» Նագոյայի արձանագրությանը Հայաստանի Հանրապետության միանալը կարևորվում է 2026թ</w:t>
            </w:r>
            <w:r w:rsidRPr="00E5771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5771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Երևանում կայանալիք ՄԱԿ-ի Կենսաբանական բազմազանության մասին կոնվենցիայի կողմերի համաժողովի տասնյոթերորդ հանդիպման (COP17) հյուրընկալման և համաժողովի նախագահության ստանձման լույսի ներքո: Այն կհանդիսանա լրացուցիչ դրական ուղերձ միջազգային հանրությանը բնապահպանական խնդիրների հասցեագրման հարցում ՀՀ բարձր հանձնառության և համապատասխան քայլերի ձեռնարկման պատրաստակամության առնչությամբ։</w:t>
            </w:r>
          </w:p>
          <w:p w:rsidR="00E5771F" w:rsidRPr="00E5771F" w:rsidRDefault="00E5771F" w:rsidP="00E5771F">
            <w:pPr>
              <w:pStyle w:val="NoSpacing"/>
              <w:spacing w:line="360" w:lineRule="auto"/>
              <w:ind w:left="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5771F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Արձանագրությանը միանալը նաև հնարավորություն կտա Հայաստանին ապահովելու համաժողովի լիարժեք նախագահությունը, քանի որ Արձանագրությանը չմիանալու պարագայում վերջինիս կողմերի հանդիպման նախագահությունը անհրաժեշտ է լինելու փոխանցել արձանագրության կողմ հանդիսացող մեկ այլ երկրի ներկայացուցչի։</w:t>
            </w:r>
          </w:p>
          <w:p w:rsidR="00E5771F" w:rsidRPr="00E5771F" w:rsidRDefault="00E5771F" w:rsidP="00E5771F">
            <w:pPr>
              <w:pStyle w:val="NoSpacing"/>
              <w:spacing w:line="360" w:lineRule="auto"/>
              <w:ind w:left="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5771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Միևնույն ժամանակ, գենետիկ ռեսուրսների հասանելիության և դրանցից ստացված օգուտների արդարացի բաշխման վերաբերյալ արձանագրության դրույթների կիրառումը </w:t>
            </w:r>
            <w:r w:rsidRPr="00E5771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հնարավորություն կտա Հայաստանին տվյալ ոլորտում համագործակցություն ծավալել տարբեր երկրների և դրանցում գործող գիտահետազոտական, դեղագործական և այլ կազմակերպությունների հետ՝ նպաստելով ոլորտի վերաբերյալ ՀՀ գիտելիքների, կարողությունների և դրանց կիրառմամբ գիտահետազոտական ներուժի զարգացմանը։</w:t>
            </w:r>
          </w:p>
          <w:p w:rsidR="00E5771F" w:rsidRPr="00E5771F" w:rsidRDefault="00E5771F" w:rsidP="00E5771F">
            <w:pPr>
              <w:pStyle w:val="NoSpacing"/>
              <w:spacing w:line="360" w:lineRule="auto"/>
              <w:ind w:left="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5771F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Արձանագրությունն ընդունվել է Կենսաբանական բազմազանության մասին կոնվենցիայի կողմերի համաժողովի կողմից 2010թ. հոկտեմբերի 29-ին Նագոյայում, ուժի մեջ է մտել 2014թ. հոկտեմբերի 12-ին: Ներկայումս այն վավերացրել է 142 պետություն, ստորագրել, սակայն դեռևս չեն վավերացրել 14 պետություն:</w:t>
            </w:r>
          </w:p>
          <w:p w:rsidR="00E5771F" w:rsidRPr="00E5771F" w:rsidRDefault="00E5771F" w:rsidP="00E5771F">
            <w:pPr>
              <w:pStyle w:val="NoSpacing"/>
              <w:spacing w:line="360" w:lineRule="auto"/>
              <w:ind w:left="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5771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Արձանագրության 33-րդ հոդվածի համաձայն՝ այն ուժի մեջ է մտնում կոնվենցիայի Կողմ հանդիսացող պետությունների կամ տնտեսական ինտեգրման տարածաշրջանային կազմակերպությունների կողմից վավերացման, ընդունման, հաստատման կամ միանալու վերաբերյալ հիսուներորդ փաստաթուղթն ի պահ հանձնվելու օրվանից հետո իննսուներորդ օրը: Արձանագրությունն ուժի մեջ է մտնում այն պետության կամ տնտեսական ինտեգրման տարածաշրջանային կազմակերպության համար, որը վավերացնում, ընդունում, հաստատում է արձանագրությունը կամ միանում է դրան վերոնշյալ հիսուներորդ փաստաթուղթն ի պահ հանձնելուց հետո՝ այդ պետության կամ տնտեսական ինտեգրման տարածաշրջանային կազմակերպության կողմից վավերացման, ընդունման, հաստատման կամ միանալու վերաբերյալ փաստաթուղթն ի պահ հանձնելու օրվանից հետո իննսուներորդ օրը կամ այն օրը, երբ կոնվենցիան ուժի մեջ է մտնում այդ պետության կամ տնտեսական </w:t>
            </w:r>
            <w:r w:rsidRPr="00E5771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ինտեգրման տարածաշրջանային կազմակերպության համար՝ կախված նրանից, թե որն է ավելի ուշ։</w:t>
            </w:r>
          </w:p>
          <w:p w:rsidR="00BD4F3E" w:rsidRPr="00E5771F" w:rsidRDefault="00E5771F" w:rsidP="00E5771F">
            <w:pPr>
              <w:pStyle w:val="NoSpacing"/>
              <w:spacing w:line="360" w:lineRule="auto"/>
              <w:ind w:left="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5771F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 և ղեկավարվելով «Միջազգային պայմանագրերի մասին» ՀՀ օրենքի 11-րդ հոդվածի դրույթներով՝ «Կենսաբանական բազմազանության մասին կոնվենցիային կից Գենետիկական պաշարների հասանելիության և դրանց օգտագործումից ստացվող օգուտների արդար ու հավասար հիմունքներով համօգտագործման մասին» Նագոյայի արձանագրության վավերացումը կամ հաստատումը Հայաստանի Հանրապետության վարած արտաքին քաղաքականության առումով նպատակահարմար է։</w:t>
            </w:r>
          </w:p>
        </w:tc>
        <w:tc>
          <w:tcPr>
            <w:tcW w:w="3150" w:type="dxa"/>
          </w:tcPr>
          <w:p w:rsidR="00BD4F3E" w:rsidRPr="00E47B7C" w:rsidRDefault="00BD4F3E" w:rsidP="00BD4F3E">
            <w:pPr>
              <w:pStyle w:val="BodyText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7B7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Pr="00E47B7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։ </w:t>
            </w:r>
          </w:p>
          <w:p w:rsidR="00BD4F3E" w:rsidRPr="00E47B7C" w:rsidRDefault="00BD4F3E" w:rsidP="00BD4F3E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BD4F3E" w:rsidRPr="00E47B7C" w:rsidTr="008B226D">
        <w:tc>
          <w:tcPr>
            <w:tcW w:w="7560" w:type="dxa"/>
            <w:vMerge w:val="restart"/>
            <w:shd w:val="clear" w:color="auto" w:fill="D9D9D9" w:themeFill="background1" w:themeFillShade="D9"/>
          </w:tcPr>
          <w:p w:rsidR="00BD4F3E" w:rsidRPr="00E47B7C" w:rsidRDefault="00BD4F3E" w:rsidP="00BD4F3E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47B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2. Արդարադատության նախարարություն</w:t>
            </w:r>
          </w:p>
        </w:tc>
        <w:tc>
          <w:tcPr>
            <w:tcW w:w="3150" w:type="dxa"/>
            <w:shd w:val="clear" w:color="auto" w:fill="D9D9D9" w:themeFill="background1" w:themeFillShade="D9"/>
          </w:tcPr>
          <w:p w:rsidR="00BD4F3E" w:rsidRPr="00E47B7C" w:rsidRDefault="008B226D" w:rsidP="00BD4F3E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22</w:t>
            </w:r>
            <w:r w:rsidR="004404E8"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="00E47266" w:rsidRPr="00E47B7C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9</w:t>
            </w:r>
            <w:r w:rsidR="004404E8"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</w:t>
            </w:r>
            <w:r w:rsidR="004404E8" w:rsidRPr="00E47B7C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5</w:t>
            </w:r>
            <w:r w:rsidR="004404E8"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թ.</w:t>
            </w:r>
          </w:p>
        </w:tc>
      </w:tr>
      <w:tr w:rsidR="00BD4F3E" w:rsidRPr="00E47B7C" w:rsidTr="008B226D">
        <w:tc>
          <w:tcPr>
            <w:tcW w:w="7560" w:type="dxa"/>
            <w:vMerge/>
            <w:shd w:val="clear" w:color="auto" w:fill="D9D9D9" w:themeFill="background1" w:themeFillShade="D9"/>
          </w:tcPr>
          <w:p w:rsidR="00BD4F3E" w:rsidRPr="00E47B7C" w:rsidRDefault="00BD4F3E" w:rsidP="00BD4F3E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150" w:type="dxa"/>
            <w:shd w:val="clear" w:color="auto" w:fill="D9D9D9" w:themeFill="background1" w:themeFillShade="D9"/>
          </w:tcPr>
          <w:p w:rsidR="00BD4F3E" w:rsidRPr="00E47B7C" w:rsidRDefault="00BD4F3E" w:rsidP="00BD4F3E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№ </w:t>
            </w:r>
            <w:r w:rsidR="008B226D" w:rsidRPr="008B226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/14.2/41414</w:t>
            </w:r>
          </w:p>
        </w:tc>
      </w:tr>
      <w:tr w:rsidR="00BD4F3E" w:rsidRPr="00E47B7C" w:rsidTr="008B226D">
        <w:tc>
          <w:tcPr>
            <w:tcW w:w="7560" w:type="dxa"/>
          </w:tcPr>
          <w:p w:rsidR="008B226D" w:rsidRDefault="008B226D" w:rsidP="008B226D">
            <w:pPr>
              <w:pStyle w:val="NoSpacing"/>
              <w:spacing w:line="360" w:lineRule="auto"/>
              <w:ind w:left="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Արձանագրությունը, թեև չի պարունակում Հայաստանի Հանրապետության օրենսդրությանը հակասող դրույթներ, սակայն Արձանագրության շրջանակներում նախատեսվում է օրենքի փոփոխություն կամ նոր օրենքի ընդունում: </w:t>
            </w:r>
          </w:p>
          <w:p w:rsidR="008B226D" w:rsidRDefault="008B226D" w:rsidP="008B226D">
            <w:pPr>
              <w:pStyle w:val="NoSpacing"/>
              <w:spacing w:line="360" w:lineRule="auto"/>
              <w:ind w:left="7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Արձանագրությունը միտված է Կոնվենցիայի 1-ին հոդվածով սահմանված նպատակներից՝ գենետիկական պաշարների օգտագործումից ստացվող օգուտների արդար ու հավասար հիմունքներով համօգտագործմանը, այդ թվում՝ գենետիկական պաշարների պատշաճ հասանելիության իրագործմանը, որոնք դեռևս կարգավորված չեն ՀՀ օրենսդրությամբ: Նշվածը, մասնավորապես, վերաբերում է Արձանագրության 5-րդ հոդվածի 1-ին, 2-րդ, 3-րդ, 5-րդ մասերին, 6-րդ հոդվածի 3-րդ մասին, 12-րդ հոդվածին, 15-րդ հոդվածի 1-ին մասին, 16-րդ հոդվածի 1-ին և 2-րդ մասերին, 22-րդ հոդվածին:</w:t>
            </w:r>
          </w:p>
          <w:p w:rsidR="008B226D" w:rsidRDefault="008B226D" w:rsidP="008B226D">
            <w:pPr>
              <w:pStyle w:val="NoSpacing"/>
              <w:spacing w:line="360" w:lineRule="auto"/>
              <w:ind w:left="75"/>
              <w:jc w:val="both"/>
              <w:rPr>
                <w:rStyle w:val="Bodytext2"/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Արձանագրության 17-րդ հոդվածի 4-րդ մասի «ե» կետը սահմանում է, որ </w:t>
            </w:r>
            <w:r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միջազգայնորեն ճանաչված </w:t>
            </w:r>
            <w:r>
              <w:rPr>
                <w:rStyle w:val="Bodytext2"/>
                <w:rFonts w:ascii="GHEA Grapalat" w:hAnsi="GHEA Grapalat"/>
                <w:sz w:val="24"/>
                <w:szCs w:val="24"/>
              </w:rPr>
              <w:lastRenderedPageBreak/>
              <w:t xml:space="preserve">համապատասխանության հավաստագրում (այսուհետ նաև՝ հավաստագիր), ի թիվս այլնի, պետք է նշվի այն ֆիզիկական կամ իրավաբանական անձը, որին տրվել է նախնական հիմնավորված համաձայնությունը: Նշված դրույթից հետևում է, որ, եթե նախնական հիմնավորված համաձայնություն ստանալու համար դիմած անձը ֆիզիկական անձ է, ապա հավաստագիրը պարունակելու է անձնական տվյալներ՝ դիմած ֆիզիկական անձին նույնականացնող տվյալներ (օր՝ անուն, ազգանուն և այլն): </w:t>
            </w:r>
          </w:p>
          <w:p w:rsidR="008B226D" w:rsidRDefault="008B226D" w:rsidP="008B226D">
            <w:pPr>
              <w:spacing w:after="0" w:line="360" w:lineRule="auto"/>
              <w:ind w:left="75"/>
              <w:contextualSpacing/>
              <w:jc w:val="both"/>
              <w:rPr>
                <w:rStyle w:val="Bodytext2"/>
                <w:rFonts w:ascii="GHEA Grapalat" w:hAnsi="GHEA Grapalat"/>
                <w:sz w:val="24"/>
                <w:szCs w:val="24"/>
              </w:rPr>
            </w:pPr>
            <w:r>
              <w:rPr>
                <w:rStyle w:val="Bodytext2"/>
                <w:rFonts w:ascii="GHEA Grapalat" w:hAnsi="GHEA Grapalat"/>
                <w:sz w:val="24"/>
                <w:szCs w:val="24"/>
              </w:rPr>
              <w:t>Արձանագրության 17-րդ հոդվածի 1-ին մասի «ա» կետի «iii» ենթակետը սահմանում է, որ Կողմը միջազգայնորեն ճանաչված համապատասխանության հավաստագրերից ստացված տեղեկատվությունը փոխանցում է նախնական հիմնավորված համաձայնություն տրամադրող Կողմին, որից հետևում է, որ Արձանագրության կողմ հանդիսացող պետությունները, ի դեմս անցակետերի, իրավասու ազգային մարմինների, հավաստագրում ֆիզիկական անձի անձնական տվյալներ նշված լինելու դեպքում՝ միմյանց փոխանցելու են նաև անձնական տվյալներ:</w:t>
            </w:r>
          </w:p>
          <w:p w:rsidR="008B226D" w:rsidRDefault="008B226D" w:rsidP="008B226D">
            <w:pPr>
              <w:spacing w:after="0" w:line="360" w:lineRule="auto"/>
              <w:ind w:left="75"/>
              <w:contextualSpacing/>
              <w:jc w:val="both"/>
              <w:rPr>
                <w:rStyle w:val="Bodytext2"/>
                <w:rFonts w:ascii="GHEA Grapalat" w:hAnsi="GHEA Grapalat"/>
                <w:sz w:val="24"/>
                <w:szCs w:val="24"/>
              </w:rPr>
            </w:pPr>
            <w:r>
              <w:rPr>
                <w:rStyle w:val="Bodytext2"/>
                <w:rFonts w:ascii="GHEA Grapalat" w:hAnsi="GHEA Grapalat"/>
                <w:sz w:val="24"/>
                <w:szCs w:val="24"/>
              </w:rPr>
              <w:t>Հաշվի առնելով վերոնշյալը՝ Արձանագրության շրջանականերում Կողմերի իրավասու պետական մարմինների միջև փոխանակվելու են անձնական տվյալներ:</w:t>
            </w:r>
          </w:p>
          <w:p w:rsidR="008B226D" w:rsidRPr="007D6CA9" w:rsidRDefault="008B226D" w:rsidP="008B226D">
            <w:pPr>
              <w:spacing w:after="0" w:line="360" w:lineRule="auto"/>
              <w:ind w:left="75"/>
              <w:contextualSpacing/>
              <w:jc w:val="both"/>
              <w:rPr>
                <w:lang w:val="hy-AM"/>
              </w:rPr>
            </w:pPr>
            <w:r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Ելնելով վերոգրյալից՝ Արձանագրությունը ենթակա է վավերացման ՀՀ Սահմանադրության 116-րդ հոդվածի 1-ին մասի 1-ին, 5-րդ կետերով և «Միջազգային պայմանագրերի մասին» օրենքի 10-րդ հոդվածի 2-րդ մասի 1-ին, 5-րդ կետերով, իսկ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ֆինանսական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գույքային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պարտավորություններ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նախատեսելու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Արձանագրությունը ենթակա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կլինի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վավերացման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ՀՀ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Սահմանադրության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116-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1-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4-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Միջազգային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պայմանագրերի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10-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2-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4-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կետերով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  <w:p w:rsidR="00BD4F3E" w:rsidRPr="00E47B7C" w:rsidRDefault="00BD4F3E" w:rsidP="008B226D">
            <w:pPr>
              <w:tabs>
                <w:tab w:val="left" w:pos="10530"/>
              </w:tabs>
              <w:spacing w:after="0" w:line="240" w:lineRule="auto"/>
              <w:ind w:right="1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</w:tcPr>
          <w:p w:rsidR="00BD4F3E" w:rsidRPr="00E47B7C" w:rsidRDefault="00FD4ED3" w:rsidP="00D806C2">
            <w:pPr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7B7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Pr="00E47B7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  <w:tr w:rsidR="00BD4F3E" w:rsidRPr="00E47B7C" w:rsidTr="008B226D">
        <w:tc>
          <w:tcPr>
            <w:tcW w:w="7560" w:type="dxa"/>
            <w:vMerge w:val="restart"/>
            <w:shd w:val="clear" w:color="auto" w:fill="D9D9D9" w:themeFill="background1" w:themeFillShade="D9"/>
          </w:tcPr>
          <w:p w:rsidR="00BD4F3E" w:rsidRPr="00E47B7C" w:rsidRDefault="00360569" w:rsidP="00BD4F3E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7B7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  <w:r w:rsidR="00AA2227" w:rsidRPr="00E47B7C">
              <w:rPr>
                <w:rFonts w:ascii="GHEA Grapalat" w:hAnsi="GHEA Grapalat"/>
                <w:sz w:val="24"/>
                <w:szCs w:val="24"/>
                <w:lang w:val="hy-AM"/>
              </w:rPr>
              <w:t>. Տարածքային կառավարման և ենթակառուցվածքների նախարարություն</w:t>
            </w:r>
          </w:p>
        </w:tc>
        <w:tc>
          <w:tcPr>
            <w:tcW w:w="3150" w:type="dxa"/>
            <w:shd w:val="clear" w:color="auto" w:fill="D9D9D9" w:themeFill="background1" w:themeFillShade="D9"/>
          </w:tcPr>
          <w:p w:rsidR="00BD4F3E" w:rsidRPr="00E47B7C" w:rsidRDefault="000E7D6C" w:rsidP="004404E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12</w:t>
            </w:r>
            <w:r w:rsidR="004404E8"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="00E31FFD" w:rsidRPr="00E47B7C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9</w:t>
            </w:r>
            <w:r w:rsidR="004404E8"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</w:t>
            </w:r>
            <w:r w:rsidR="004404E8" w:rsidRPr="00E47B7C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5</w:t>
            </w:r>
            <w:r w:rsidR="004404E8"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թ.</w:t>
            </w:r>
          </w:p>
        </w:tc>
      </w:tr>
      <w:tr w:rsidR="00BD4F3E" w:rsidRPr="00E47B7C" w:rsidTr="008B226D">
        <w:tc>
          <w:tcPr>
            <w:tcW w:w="7560" w:type="dxa"/>
            <w:vMerge/>
            <w:shd w:val="clear" w:color="auto" w:fill="D9D9D9" w:themeFill="background1" w:themeFillShade="D9"/>
          </w:tcPr>
          <w:p w:rsidR="00BD4F3E" w:rsidRPr="00E47B7C" w:rsidRDefault="00BD4F3E" w:rsidP="00BD4F3E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shd w:val="clear" w:color="auto" w:fill="D9D9D9" w:themeFill="background1" w:themeFillShade="D9"/>
          </w:tcPr>
          <w:p w:rsidR="00BD4F3E" w:rsidRPr="00E47B7C" w:rsidRDefault="008B4260" w:rsidP="000E7D6C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№  </w:t>
            </w:r>
            <w:r w:rsidR="000E7D6C" w:rsidRPr="000E7D6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ԴԽ//31536</w:t>
            </w:r>
          </w:p>
        </w:tc>
      </w:tr>
      <w:tr w:rsidR="008B4260" w:rsidRPr="00E47B7C" w:rsidTr="000E7D6C">
        <w:trPr>
          <w:trHeight w:val="4211"/>
        </w:trPr>
        <w:tc>
          <w:tcPr>
            <w:tcW w:w="7560" w:type="dxa"/>
          </w:tcPr>
          <w:p w:rsidR="008B4260" w:rsidRPr="000E7D6C" w:rsidRDefault="000E7D6C" w:rsidP="000E7D6C">
            <w:pPr>
              <w:spacing w:after="0" w:line="360" w:lineRule="auto"/>
              <w:ind w:left="75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0E7D6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«Կենսաբանական բազմազանության մասին կոնվենցիային կից Գենետիկական պաշարների հասանելիության և դրանց օգտագործումից ստացվող օգուտների արդար ու հավասար հիմունքներով համօգտագործման մասին» Նագոյայի արձանագրությամբ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  </w:t>
            </w:r>
          </w:p>
        </w:tc>
        <w:tc>
          <w:tcPr>
            <w:tcW w:w="3150" w:type="dxa"/>
          </w:tcPr>
          <w:p w:rsidR="008B4260" w:rsidRPr="00E47B7C" w:rsidRDefault="008B4260" w:rsidP="008B426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7B7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  <w:r w:rsidRPr="00E47B7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  <w:tr w:rsidR="008B4260" w:rsidRPr="00E47B7C" w:rsidTr="008B226D">
        <w:tc>
          <w:tcPr>
            <w:tcW w:w="7560" w:type="dxa"/>
            <w:vMerge w:val="restart"/>
            <w:shd w:val="clear" w:color="auto" w:fill="D9D9D9" w:themeFill="background1" w:themeFillShade="D9"/>
          </w:tcPr>
          <w:p w:rsidR="008B4260" w:rsidRPr="00E47B7C" w:rsidRDefault="00360569" w:rsidP="008B426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7B7C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A922E1" w:rsidRPr="00E47B7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A922E1" w:rsidRPr="00E47B7C">
              <w:rPr>
                <w:rFonts w:ascii="GHEA Grapalat" w:hAnsi="GHEA Grapalat"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3150" w:type="dxa"/>
            <w:shd w:val="clear" w:color="auto" w:fill="D9D9D9" w:themeFill="background1" w:themeFillShade="D9"/>
          </w:tcPr>
          <w:p w:rsidR="008B4260" w:rsidRPr="00E47B7C" w:rsidRDefault="00C3379F" w:rsidP="00200AE8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25</w:t>
            </w:r>
            <w:r w:rsidR="00200AE8"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</w:t>
            </w:r>
            <w:r w:rsidR="00A4272E" w:rsidRPr="00E47B7C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0</w:t>
            </w:r>
            <w:r w:rsidR="00A4272E"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9</w:t>
            </w:r>
            <w:r w:rsidR="00200AE8"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.202</w:t>
            </w:r>
            <w:r w:rsidR="00200AE8" w:rsidRPr="00E47B7C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5</w:t>
            </w:r>
            <w:r w:rsidR="00200AE8"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թ.</w:t>
            </w:r>
          </w:p>
        </w:tc>
      </w:tr>
      <w:tr w:rsidR="008B4260" w:rsidRPr="00E47B7C" w:rsidTr="008B226D">
        <w:tc>
          <w:tcPr>
            <w:tcW w:w="7560" w:type="dxa"/>
            <w:vMerge/>
            <w:shd w:val="clear" w:color="auto" w:fill="D9D9D9" w:themeFill="background1" w:themeFillShade="D9"/>
          </w:tcPr>
          <w:p w:rsidR="008B4260" w:rsidRPr="00E47B7C" w:rsidRDefault="008B4260" w:rsidP="008B4260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shd w:val="clear" w:color="auto" w:fill="D9D9D9" w:themeFill="background1" w:themeFillShade="D9"/>
          </w:tcPr>
          <w:p w:rsidR="008B4260" w:rsidRPr="00E47B7C" w:rsidRDefault="00200AE8" w:rsidP="00C932AB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7B7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№  </w:t>
            </w:r>
            <w:r w:rsidR="00C932AB" w:rsidRPr="00C932AB">
              <w:rPr>
                <w:rFonts w:ascii="GHEA Grapalat" w:hAnsi="GHEA Grapalat" w:cs="Sylfaen"/>
                <w:sz w:val="24"/>
                <w:szCs w:val="24"/>
                <w:lang w:val="hy-AM"/>
              </w:rPr>
              <w:t>04/5-2/21133</w:t>
            </w:r>
          </w:p>
        </w:tc>
      </w:tr>
      <w:tr w:rsidR="008B4260" w:rsidRPr="00E47B7C" w:rsidTr="008B226D">
        <w:tc>
          <w:tcPr>
            <w:tcW w:w="7560" w:type="dxa"/>
          </w:tcPr>
          <w:p w:rsidR="00C3379F" w:rsidRDefault="00C3379F" w:rsidP="00C3379F">
            <w:pPr>
              <w:widowControl w:val="0"/>
              <w:tabs>
                <w:tab w:val="left" w:pos="720"/>
              </w:tabs>
              <w:spacing w:after="0" w:line="360" w:lineRule="auto"/>
              <w:ind w:left="-1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14098">
              <w:rPr>
                <w:rFonts w:ascii="GHEA Grapalat" w:hAnsi="GHEA Grapalat" w:cs="Sylfaen"/>
                <w:sz w:val="24"/>
                <w:szCs w:val="24"/>
                <w:lang w:val="hy-AM"/>
              </w:rPr>
              <w:t>ՄԱԿ-ի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14098">
              <w:rPr>
                <w:rFonts w:ascii="GHEA Grapalat" w:hAnsi="GHEA Grapalat" w:cs="Sylfaen"/>
                <w:sz w:val="24"/>
                <w:szCs w:val="24"/>
                <w:lang w:val="hy-AM"/>
              </w:rPr>
              <w:t>«Կենսաբանական բազմազանության մասին» կոնվենցիային կից «Գենետիկական պաշարների հասանելիության և դրանց օգտագործումից ստացվող օգուտների արդար ու հավասար հիմունքներով համօգտագործման մասին» Նագոյայի արձանագրությ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ամբ</w:t>
            </w:r>
            <w:r w:rsidRPr="00C140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F5452B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համար ֆինանսական</w:t>
            </w:r>
            <w:r w:rsidRPr="00F545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պարտավորություններ</w:t>
            </w:r>
            <w:r w:rsidRPr="00F545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նախատեսող դրույթներ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առկա չեն։</w:t>
            </w:r>
            <w:r w:rsidRPr="00F5452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8B4260" w:rsidRPr="00E47B7C" w:rsidRDefault="008B4260" w:rsidP="00796C2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</w:tcPr>
          <w:p w:rsidR="007270ED" w:rsidRPr="00E47B7C" w:rsidRDefault="007270ED" w:rsidP="008B4260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47B7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</w:t>
            </w:r>
            <w:r w:rsidRPr="00E47B7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</w:tbl>
    <w:p w:rsidR="00BD4F3E" w:rsidRPr="00E47B7C" w:rsidRDefault="00BD4F3E" w:rsidP="00BD4F3E">
      <w:pPr>
        <w:spacing w:after="0"/>
        <w:ind w:left="-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BD4F3E" w:rsidRPr="00E47B7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C555DC"/>
    <w:multiLevelType w:val="hybridMultilevel"/>
    <w:tmpl w:val="47EA2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F3E"/>
    <w:rsid w:val="00012651"/>
    <w:rsid w:val="0004345A"/>
    <w:rsid w:val="0004783B"/>
    <w:rsid w:val="000E7D6C"/>
    <w:rsid w:val="00200AE8"/>
    <w:rsid w:val="00287F8C"/>
    <w:rsid w:val="002B5A92"/>
    <w:rsid w:val="00360569"/>
    <w:rsid w:val="003C669F"/>
    <w:rsid w:val="00410CE5"/>
    <w:rsid w:val="004404E8"/>
    <w:rsid w:val="004B0A60"/>
    <w:rsid w:val="006C0B77"/>
    <w:rsid w:val="007270ED"/>
    <w:rsid w:val="00796C22"/>
    <w:rsid w:val="007B09A0"/>
    <w:rsid w:val="007F5FE8"/>
    <w:rsid w:val="008242FF"/>
    <w:rsid w:val="00870751"/>
    <w:rsid w:val="008B226D"/>
    <w:rsid w:val="008B4260"/>
    <w:rsid w:val="008B5F1A"/>
    <w:rsid w:val="00922C48"/>
    <w:rsid w:val="00A4272E"/>
    <w:rsid w:val="00A922E1"/>
    <w:rsid w:val="00AA2227"/>
    <w:rsid w:val="00B915B7"/>
    <w:rsid w:val="00BD4F3E"/>
    <w:rsid w:val="00C04673"/>
    <w:rsid w:val="00C3379F"/>
    <w:rsid w:val="00C91F05"/>
    <w:rsid w:val="00C932AB"/>
    <w:rsid w:val="00CD1906"/>
    <w:rsid w:val="00D30945"/>
    <w:rsid w:val="00D806C2"/>
    <w:rsid w:val="00E31FFD"/>
    <w:rsid w:val="00E429B8"/>
    <w:rsid w:val="00E47266"/>
    <w:rsid w:val="00E47B7C"/>
    <w:rsid w:val="00E5771F"/>
    <w:rsid w:val="00E77785"/>
    <w:rsid w:val="00EA59DF"/>
    <w:rsid w:val="00EE3FBD"/>
    <w:rsid w:val="00EE4070"/>
    <w:rsid w:val="00F12C76"/>
    <w:rsid w:val="00FD4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A2D65"/>
  <w15:chartTrackingRefBased/>
  <w15:docId w15:val="{11289513-C2D9-48D2-B294-DD4C81A3E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F3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D4F3E"/>
    <w:pPr>
      <w:spacing w:after="14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rsid w:val="00BD4F3E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BD4F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,Bullet1"/>
    <w:basedOn w:val="Normal"/>
    <w:link w:val="ListParagraphChar"/>
    <w:uiPriority w:val="34"/>
    <w:qFormat/>
    <w:rsid w:val="00BD4F3E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BD4F3E"/>
  </w:style>
  <w:style w:type="paragraph" w:customStyle="1" w:styleId="DocumentMap1">
    <w:name w:val="Document Map1"/>
    <w:qFormat/>
    <w:rsid w:val="00200AE8"/>
    <w:pPr>
      <w:suppressAutoHyphens/>
      <w:spacing w:after="0" w:line="240" w:lineRule="auto"/>
    </w:pPr>
    <w:rPr>
      <w:rFonts w:cs="Calibri"/>
      <w:lang w:val="en-US"/>
    </w:rPr>
  </w:style>
  <w:style w:type="paragraph" w:styleId="NoSpacing">
    <w:name w:val="No Spacing"/>
    <w:uiPriority w:val="1"/>
    <w:qFormat/>
    <w:rsid w:val="00D806C2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91F05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C91F05"/>
    <w:rPr>
      <w:lang w:val="en-US"/>
    </w:rPr>
  </w:style>
  <w:style w:type="character" w:customStyle="1" w:styleId="Bodytext2">
    <w:name w:val="Body text (2)"/>
    <w:rsid w:val="008B226D"/>
    <w:rPr>
      <w:rFonts w:ascii="Arial" w:eastAsia="Arial" w:hAnsi="Arial" w:cs="Arial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970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Ministry of Environment</dc:creator>
  <cp:keywords/>
  <dc:description/>
  <cp:lastModifiedBy>Meri Aghababyan</cp:lastModifiedBy>
  <cp:revision>38</cp:revision>
  <dcterms:created xsi:type="dcterms:W3CDTF">2025-05-20T11:22:00Z</dcterms:created>
  <dcterms:modified xsi:type="dcterms:W3CDTF">2025-09-30T07:43:00Z</dcterms:modified>
</cp:coreProperties>
</file>