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20CD8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20CD8">
        <w:rPr>
          <w:rFonts w:ascii="Calibri" w:hAnsi="Calibri" w:cs="Calibri"/>
          <w:color w:val="000000"/>
          <w:lang w:val="hy-AM"/>
        </w:rPr>
        <w:t>  </w:t>
      </w:r>
    </w:p>
    <w:p w:rsidR="00BA2BBD" w:rsidRDefault="00B611FF" w:rsidP="004D14DF">
      <w:pPr>
        <w:spacing w:line="360" w:lineRule="auto"/>
        <w:jc w:val="center"/>
        <w:rPr>
          <w:rFonts w:ascii="GHEA Grapalat" w:hAnsi="GHEA Grapalat"/>
          <w:lang w:val="af-ZA"/>
        </w:rPr>
      </w:pPr>
      <w:r w:rsidRPr="00C87CAB">
        <w:rPr>
          <w:rFonts w:ascii="GHEA Grapalat" w:eastAsia="Calibri" w:hAnsi="GHEA Grapalat"/>
          <w:b/>
          <w:lang w:val="hy-AM"/>
        </w:rPr>
        <w:t>«ՇԵՆՔԵՐԻ ԵՎ ՇԻՆՈՒԹՅՈՒՆՆԵՐԻ ՏԵԽՆԻԿԱԿԱՆ ՎԻՃԱԿԻ ՀԵՏԱԶՆՆՈՒԹՅԱՆ ԿԱՐԳԸ ՀԱՍՏԱՏԵԼՈՒ</w:t>
      </w:r>
      <w:r>
        <w:rPr>
          <w:rFonts w:ascii="GHEA Grapalat" w:eastAsia="Calibri" w:hAnsi="GHEA Grapalat"/>
          <w:b/>
          <w:lang w:val="hy-AM"/>
        </w:rPr>
        <w:t xml:space="preserve"> ՄԱՍԻՆ</w:t>
      </w:r>
      <w:r w:rsidRPr="00C87CAB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</w:t>
      </w:r>
      <w:r w:rsidRPr="00C87CAB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Հ </w:t>
      </w:r>
      <w:r w:rsidRPr="00C87CAB">
        <w:rPr>
          <w:rFonts w:ascii="GHEA Grapalat" w:hAnsi="GHEA Grapalat"/>
          <w:b/>
          <w:lang w:val="hy-AM"/>
        </w:rPr>
        <w:t xml:space="preserve">ԿԱՌԱՎԱՐՈՒԹՅԱՆ ՈՐՈՇՄԱՆ ՆԱԽԱԳԾԻ </w:t>
      </w:r>
      <w:r w:rsidR="00BA2BBD" w:rsidRPr="004D14DF">
        <w:rPr>
          <w:rFonts w:ascii="GHEA Grapalat" w:hAnsi="GHEA Grapalat"/>
          <w:b/>
          <w:lang w:val="hy-AM"/>
        </w:rPr>
        <w:t>ՎԵՐԱԲԵՐՅԱԼ</w:t>
      </w:r>
    </w:p>
    <w:p w:rsidR="006D2A36" w:rsidRPr="001846DC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ՍՏԱՑՎԱԾ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ԴԻՏՈՂՈՒԹՅՈՒՆՆԵՐԻ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EB1843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5"/>
        <w:gridCol w:w="3678"/>
      </w:tblGrid>
      <w:tr w:rsidR="001272E6" w:rsidRPr="000D75C0" w:rsidTr="00DA1EEB">
        <w:trPr>
          <w:trHeight w:val="626"/>
        </w:trPr>
        <w:tc>
          <w:tcPr>
            <w:tcW w:w="10255" w:type="dxa"/>
            <w:vMerge w:val="restart"/>
            <w:vAlign w:val="center"/>
          </w:tcPr>
          <w:p w:rsidR="001272E6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</w:p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 w:rsidRPr="00D27DAA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 xml:space="preserve">ՀՀ </w:t>
            </w:r>
            <w:r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վարչապետի աշխատակազմի</w:t>
            </w:r>
          </w:p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տեսչական մարմինների աշխատանքների համակարգման գրասենյակ</w:t>
            </w:r>
          </w:p>
        </w:tc>
        <w:tc>
          <w:tcPr>
            <w:tcW w:w="3678" w:type="dxa"/>
            <w:vAlign w:val="center"/>
          </w:tcPr>
          <w:p w:rsidR="001272E6" w:rsidRPr="00157B03" w:rsidRDefault="001272E6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5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1272E6" w:rsidRPr="000D75C0" w:rsidTr="001272E6">
        <w:trPr>
          <w:trHeight w:val="908"/>
        </w:trPr>
        <w:tc>
          <w:tcPr>
            <w:tcW w:w="10255" w:type="dxa"/>
            <w:vMerge/>
            <w:vAlign w:val="center"/>
          </w:tcPr>
          <w:p w:rsidR="001272E6" w:rsidRPr="004D032D" w:rsidRDefault="001272E6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8" w:type="dxa"/>
            <w:vAlign w:val="center"/>
          </w:tcPr>
          <w:p w:rsidR="001272E6" w:rsidRPr="00157B03" w:rsidRDefault="001272E6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Pr="00C17021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02/12.21/3422-2025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  <w:vAlign w:val="center"/>
          </w:tcPr>
          <w:p w:rsidR="001272E6" w:rsidRDefault="001272E6" w:rsidP="001272E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7A1F00">
              <w:rPr>
                <w:rFonts w:ascii="GHEA Grapalat" w:hAnsi="GHEA Grapalat"/>
                <w:lang w:val="hy-AM"/>
              </w:rPr>
              <w:t>Նախագծով առաջարկվում է ուժը կորցրած ճանաչե</w:t>
            </w:r>
            <w:r>
              <w:rPr>
                <w:rFonts w:ascii="GHEA Grapalat" w:hAnsi="GHEA Grapalat"/>
                <w:lang w:val="hy-AM"/>
              </w:rPr>
              <w:t>լ</w:t>
            </w:r>
            <w:r w:rsidRPr="007A1F00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2015 թվականի մարտի 19-ի «Շենքերի ու շինությունների տեխնիկական վիճակի հետազննության և անձնագրավորման կարգը հաստատելու մասին» N 274-Ն որոշումը, միաժամանակ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7A1F00">
              <w:rPr>
                <w:rFonts w:ascii="GHEA Grapalat" w:hAnsi="GHEA Grapalat"/>
                <w:lang w:val="hy-AM"/>
              </w:rPr>
              <w:t xml:space="preserve"> </w:t>
            </w:r>
            <w:r w:rsidRPr="00FB092B">
              <w:rPr>
                <w:rFonts w:ascii="GHEA Grapalat" w:hAnsi="GHEA Grapalat"/>
                <w:b/>
                <w:i/>
                <w:lang w:val="hy-AM"/>
              </w:rPr>
              <w:t>հաստատելով շենքերի և շինությունների տեխնիկական վիճակի հետազննության կարգը</w:t>
            </w:r>
            <w:r w:rsidRPr="007A1F00">
              <w:rPr>
                <w:rFonts w:ascii="GHEA Grapalat" w:hAnsi="GHEA Grapalat"/>
                <w:lang w:val="hy-AM"/>
              </w:rPr>
              <w:t>:</w:t>
            </w:r>
          </w:p>
          <w:p w:rsidR="001272E6" w:rsidRPr="001272E6" w:rsidRDefault="001272E6" w:rsidP="001272E6">
            <w:pPr>
              <w:pStyle w:val="HTMLPreformatted"/>
              <w:shd w:val="clear" w:color="auto" w:fill="FFFFFF" w:themeFill="background1"/>
              <w:spacing w:line="276" w:lineRule="auto"/>
              <w:ind w:firstLine="72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ունենալով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հիմքում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դրված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«Քաղաքաշինության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մասին»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10-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5-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համաձայն՝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Կառավարությունը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քաղաքաշինության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բնագավառում՝</w:t>
            </w:r>
            <w:r w:rsidRPr="00FB092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B092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B092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հաստատում է շենքերի և շինությունների տեխնիկական վիճակի </w:t>
            </w:r>
            <w:r w:rsidRPr="00FB092B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հետազննության</w:t>
            </w:r>
            <w:r w:rsidRPr="00FB092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անձնագրավորման կարգերը,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գտնում եմ, որ քննարկվող կարգով չեն կարող սահմանվել Նախագծի 9-րդ գլխով </w:t>
            </w:r>
            <w:r w:rsidRPr="000E158B">
              <w:rPr>
                <w:rFonts w:ascii="GHEA Grapalat" w:hAnsi="GHEA Grapalat" w:cs="Arial Armenia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բնակելի շենքները բնակության համար պիտանի ճանաչելը</w:t>
            </w:r>
            <w:r w:rsidRPr="000E158B">
              <w:rPr>
                <w:rFonts w:ascii="GHEA Grapalat" w:hAnsi="GHEA Grapalat" w:cs="Arial Armenia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նախատեսված իրավակարգավորումները, քանի որ դուրս են </w:t>
            </w:r>
            <w:r w:rsidRPr="00FB092B">
              <w:rPr>
                <w:rFonts w:ascii="GHEA Grapalat" w:hAnsi="GHEA Grapalat" w:cs="Arial Armenian"/>
                <w:sz w:val="24"/>
                <w:szCs w:val="24"/>
                <w:lang w:val="hy-AM"/>
              </w:rPr>
              <w:t>թե՛  լիազորող նորմի և թե՛ Նախագծի կարգավորման առարկայի շրջանակից, ուստի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՝</w:t>
            </w:r>
            <w:r w:rsidRPr="00FB092B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առաջարկում եմ նշված կետերը հանել Նախագծից։ </w:t>
            </w:r>
          </w:p>
        </w:tc>
        <w:tc>
          <w:tcPr>
            <w:tcW w:w="3678" w:type="dxa"/>
            <w:vAlign w:val="center"/>
          </w:tcPr>
          <w:p w:rsidR="001272E6" w:rsidRDefault="00C77DF3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Չի ընդունվել</w:t>
            </w:r>
          </w:p>
          <w:p w:rsidR="00C77DF3" w:rsidRDefault="00C77DF3" w:rsidP="00C77DF3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C77DF3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Բնակելի շենքերը բնակության համար պիտանի ճանաչելը ուղղակիորեն կապված է տվյալ Նախագծի՝ այսինքն շենքերի և շինությունների տեխնիկական վիճակի հետազննման գործընթացի հետ: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Այդ կարգավորումները ՀՀ-ում շուրջ 30 տարի է գործում են,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lastRenderedPageBreak/>
              <w:t xml:space="preserve">իսկ մինչ այդ գործել են նաև խորհրդային տարիներին, մշակվել են </w:t>
            </w:r>
            <w:r w:rsidR="00A55C3E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և հիմնավորվել  ոլորտի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գիտական կոչումներ ունեցող մասնագիտական խմբերի և մասնագիտացված կազմակերպությունների կողմից, որոնք</w:t>
            </w:r>
            <w:r w:rsidR="00A55C3E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առ այսօր վերանայման ենթակա չեն և կարծում եմ չեն էլ լինի: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Pr="00C77DF3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Մեկնաբանությունը </w:t>
            </w:r>
            <w:r w:rsidR="00A55C3E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ընդունելի</w:t>
            </w:r>
            <w:r w:rsidRPr="00C77DF3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չէ:</w:t>
            </w:r>
          </w:p>
          <w:p w:rsidR="00C77DF3" w:rsidRPr="00C77DF3" w:rsidRDefault="00C77DF3" w:rsidP="00A55C3E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Առաջարկվում է դիտարկել ՀՀ քաղաքաշինության նախարարի 2009 թվականի </w:t>
            </w:r>
            <w:r w:rsidR="00A55C3E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դեկտեմբերի 8-ի N282-Ն հրամանի կարգավորումները, որոնք այս կարգի ընդունման </w:t>
            </w:r>
            <w:r w:rsidR="00A55C3E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lastRenderedPageBreak/>
              <w:t>պարագայում սահմանված կարգով կճանաչվեն ուժը կորցրած: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  <w:vAlign w:val="center"/>
          </w:tcPr>
          <w:p w:rsidR="001272E6" w:rsidRPr="005F0FBF" w:rsidRDefault="001272E6" w:rsidP="001272E6">
            <w:pPr>
              <w:pStyle w:val="HTMLPreformatted"/>
              <w:shd w:val="clear" w:color="auto" w:fill="FFFFFF" w:themeFill="background1"/>
              <w:spacing w:line="276" w:lineRule="auto"/>
              <w:ind w:firstLine="720"/>
              <w:jc w:val="both"/>
              <w:rPr>
                <w:rFonts w:ascii="GHEA Grapalat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B631E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Նախագծի հավելվածի 24-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ր</w:t>
            </w:r>
            <w:r w:rsidRPr="000B631E">
              <w:rPr>
                <w:rFonts w:ascii="GHEA Grapalat" w:hAnsi="GHEA Grapalat" w:cs="Arial Armenian"/>
                <w:sz w:val="24"/>
                <w:szCs w:val="24"/>
                <w:lang w:val="hy-AM"/>
              </w:rPr>
              <w:t>դ կետի համաձայն՝</w:t>
            </w:r>
            <w:r w:rsidRPr="000B631E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F0FBF">
              <w:rPr>
                <w:rFonts w:ascii="GHEA Grapalat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բնակելի նպատակային նշանակության օբյեկտի (շենքի կամ մասնաշենքերի` սենքերի, բնակելի մակերեսների) հետազննության արդյունքները, որոնք պարունակում են դրանց տեխնիկական վիճակի և բնակության պիտանիության գնահատականները, ներկայացված են ստորև՝ ըստ 10-րդ գլխի: </w:t>
            </w:r>
          </w:p>
          <w:p w:rsidR="001272E6" w:rsidRPr="001272E6" w:rsidRDefault="001272E6" w:rsidP="001272E6">
            <w:pPr>
              <w:pStyle w:val="HTMLPreformatted"/>
              <w:shd w:val="clear" w:color="auto" w:fill="FFFFFF" w:themeFill="background1"/>
              <w:spacing w:line="276" w:lineRule="auto"/>
              <w:ind w:firstLine="7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B631E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Վեր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  <w:r w:rsidRPr="000B631E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գրյալի համատեքստում հարկ եմ համարում նշել, որ Նախագծի հավելվածի 10-րդ գլխով սահմանվում են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ոչ թե </w:t>
            </w:r>
            <w:r w:rsidRPr="000B631E">
              <w:rPr>
                <w:rFonts w:ascii="GHEA Grapalat" w:hAnsi="GHEA Grapalat" w:cs="Times New Roman"/>
                <w:i/>
                <w:color w:val="000000"/>
                <w:sz w:val="24"/>
                <w:szCs w:val="24"/>
                <w:lang w:val="hy-AM"/>
              </w:rPr>
              <w:t>բնակելի նպատակային նշանակության օբյեկտի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, այլ </w:t>
            </w:r>
            <w:r w:rsidRPr="000B631E">
              <w:rPr>
                <w:rFonts w:ascii="GHEA Grapalat" w:hAnsi="GHEA Grapalat" w:cs="Times New Roman"/>
                <w:i/>
                <w:color w:val="000000"/>
                <w:sz w:val="24"/>
                <w:szCs w:val="24"/>
                <w:lang w:val="hy-AM"/>
              </w:rPr>
              <w:t>արտադրական շենքերի տեխնիկական վիճակի գնահատում</w:t>
            </w:r>
            <w:r w:rsidRPr="000E158B">
              <w:rPr>
                <w:rFonts w:ascii="GHEA Grapalat" w:hAnsi="GHEA Grapalat" w:cs="Times New Roman"/>
                <w:i/>
                <w:color w:val="000000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E158B">
              <w:rPr>
                <w:rFonts w:ascii="GHEA Grapalat" w:hAnsi="GHEA Grapalat" w:cs="Times New Roman"/>
                <w:i/>
                <w:color w:val="000000"/>
                <w:sz w:val="24"/>
                <w:szCs w:val="24"/>
                <w:lang w:val="hy-AM"/>
              </w:rPr>
              <w:t>և արտակարգ իրավիճակի ազդեցությանը ենթարկված երկաթբետոնե կոնստրուկցիաների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վերաբերյալ իրավակարգավորումներ: Հաշվի առնելով վերոգրյալն՝ առաջարկում եմ նախագծի իրավակարգավորումերը համապատասխանեցնել միմյանց:</w:t>
            </w:r>
          </w:p>
        </w:tc>
        <w:tc>
          <w:tcPr>
            <w:tcW w:w="3678" w:type="dxa"/>
            <w:vAlign w:val="center"/>
          </w:tcPr>
          <w:p w:rsidR="001272E6" w:rsidRDefault="00A55C3E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 է</w:t>
            </w:r>
          </w:p>
          <w:p w:rsidR="00A55C3E" w:rsidRPr="002E4873" w:rsidRDefault="00A55C3E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2E4873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Կատարվել է համապատասխան փոփոխություն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  <w:vAlign w:val="center"/>
          </w:tcPr>
          <w:p w:rsidR="001272E6" w:rsidRPr="001272E6" w:rsidRDefault="001272E6" w:rsidP="001272E6">
            <w:pPr>
              <w:pStyle w:val="HTMLPreformatted"/>
              <w:shd w:val="clear" w:color="auto" w:fill="FFFFFF" w:themeFill="background1"/>
              <w:spacing w:line="276" w:lineRule="auto"/>
              <w:ind w:firstLine="72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ռաջարկում եմ Նախագծի 14-17-րդ գլուխներով սահմանված աղյուսակները ներառել Նախագծի հավելվածի այն իրավակարգավորման մոտ, որին դրանք վերաբերվում են, այլ ոչ թե շարադրել առանձին գլուխներով:</w:t>
            </w:r>
          </w:p>
        </w:tc>
        <w:tc>
          <w:tcPr>
            <w:tcW w:w="3678" w:type="dxa"/>
            <w:vAlign w:val="center"/>
          </w:tcPr>
          <w:p w:rsidR="001272E6" w:rsidRDefault="00BE45BB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Չի ընդունվել</w:t>
            </w:r>
          </w:p>
          <w:p w:rsidR="00BE45BB" w:rsidRPr="00AD54FB" w:rsidRDefault="00BE45BB" w:rsidP="00AD54FB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AD54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Աղյուսակները համախմբվել են մեկ </w:t>
            </w:r>
            <w:r w:rsidR="00AD54FB" w:rsidRPr="00AD54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վերնագրի</w:t>
            </w:r>
            <w:r w:rsidRPr="00AD54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ներքո</w:t>
            </w:r>
            <w:r w:rsidR="00AD54FB" w:rsidRPr="00AD54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՝ որպես տարբեր կոնստրուկտիվ տարրերի մաշվածության ցուցանիշներ</w:t>
            </w:r>
          </w:p>
        </w:tc>
      </w:tr>
      <w:tr w:rsidR="001272E6" w:rsidRPr="000D75C0" w:rsidTr="00DA1EEB">
        <w:trPr>
          <w:trHeight w:val="729"/>
        </w:trPr>
        <w:tc>
          <w:tcPr>
            <w:tcW w:w="10255" w:type="dxa"/>
            <w:vMerge w:val="restart"/>
            <w:vAlign w:val="center"/>
          </w:tcPr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 w:rsidRPr="00D27DAA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lastRenderedPageBreak/>
              <w:t xml:space="preserve">ՀՀ </w:t>
            </w:r>
            <w:r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վարչապետի աշխատակազմի</w:t>
            </w:r>
          </w:p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 w:rsidRPr="00D27DAA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տարածքային զարգացման և շրջակա միջավայրի հարցերի վարչություն</w:t>
            </w:r>
          </w:p>
          <w:p w:rsidR="001272E6" w:rsidRPr="008E5564" w:rsidRDefault="001272E6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272E6" w:rsidRPr="00157B03" w:rsidRDefault="001272E6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5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1272E6" w:rsidRPr="000D75C0" w:rsidTr="00DA1EEB">
        <w:trPr>
          <w:trHeight w:val="729"/>
        </w:trPr>
        <w:tc>
          <w:tcPr>
            <w:tcW w:w="10255" w:type="dxa"/>
            <w:vMerge/>
            <w:vAlign w:val="center"/>
          </w:tcPr>
          <w:p w:rsidR="001272E6" w:rsidRPr="004D032D" w:rsidRDefault="001272E6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8" w:type="dxa"/>
            <w:vAlign w:val="center"/>
          </w:tcPr>
          <w:p w:rsidR="001272E6" w:rsidRPr="00157B03" w:rsidRDefault="001272E6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Pr="00C17021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02/12.21/3422-2025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EB5ACA" w:rsidRDefault="001272E6" w:rsidP="001272E6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363C6">
              <w:rPr>
                <w:rFonts w:ascii="GHEA Grapalat" w:hAnsi="GHEA Grapalat"/>
                <w:lang w:val="hy-AM"/>
              </w:rPr>
              <w:t>«Շենքերի և շինությունների տեխնիկական վիճակի հետազննության կարգը հաստատելու մասին» Հայաստանի Հանրապետության կառավարության որոշման</w:t>
            </w:r>
            <w:r w:rsidRPr="00EB5ACA">
              <w:rPr>
                <w:rFonts w:ascii="GHEA Grapalat" w:hAnsi="GHEA Grapalat"/>
                <w:lang w:val="hy-AM"/>
              </w:rPr>
              <w:t xml:space="preserve"> նախագծի (</w:t>
            </w:r>
            <w:r>
              <w:rPr>
                <w:rFonts w:ascii="GHEA Grapalat" w:hAnsi="GHEA Grapalat"/>
                <w:lang w:val="hy-AM"/>
              </w:rPr>
              <w:t>այսու</w:t>
            </w:r>
            <w:r w:rsidRPr="00EB5ACA">
              <w:rPr>
                <w:rFonts w:ascii="GHEA Grapalat" w:hAnsi="GHEA Grapalat"/>
                <w:lang w:val="hy-AM"/>
              </w:rPr>
              <w:t>հետ՝ Նախագիծ) վերաբերյալ հայտնում ենք հետևյալը՝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>1. Նախագծով հաստատված հավելվածի՝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b/>
                <w:i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1) 4-րդ կետով նախատեսվում է, որ </w:t>
            </w:r>
            <w:r w:rsidRPr="00D27DAA">
              <w:rPr>
                <w:rFonts w:ascii="GHEA Grapalat" w:hAnsi="GHEA Grapalat"/>
                <w:i/>
                <w:color w:val="000000"/>
                <w:lang w:val="hy-AM"/>
              </w:rPr>
              <w:t>շենքերի ու շինությունների</w:t>
            </w:r>
            <w:r w:rsidRPr="00D27DAA">
              <w:rPr>
                <w:rFonts w:ascii="Calibri" w:hAnsi="Calibri" w:cs="Calibri"/>
                <w:i/>
                <w:color w:val="000000"/>
                <w:lang w:val="hy-AM"/>
              </w:rPr>
              <w:t> </w:t>
            </w:r>
            <w:r w:rsidRPr="00D27DAA">
              <w:rPr>
                <w:rFonts w:ascii="GHEA Grapalat" w:hAnsi="GHEA Grapalat"/>
                <w:i/>
                <w:color w:val="000000"/>
                <w:lang w:val="hy-AM"/>
              </w:rPr>
              <w:t>տեխնիկական</w:t>
            </w:r>
            <w:r w:rsidRPr="00D27DAA">
              <w:rPr>
                <w:rFonts w:ascii="Calibri" w:hAnsi="Calibri" w:cs="Calibri"/>
                <w:i/>
                <w:color w:val="000000"/>
                <w:lang w:val="hy-AM"/>
              </w:rPr>
              <w:t> </w:t>
            </w:r>
            <w:r w:rsidRPr="00D27DAA">
              <w:rPr>
                <w:rFonts w:ascii="GHEA Grapalat" w:hAnsi="GHEA Grapalat"/>
                <w:i/>
                <w:color w:val="000000"/>
                <w:lang w:val="hy-AM"/>
              </w:rPr>
              <w:t xml:space="preserve">վիճակի հետազննությունները պատվիրվում են ՀՀ պետական կառավարման մարմինների, տեղական ինքնակառավարման մարմինների, </w:t>
            </w:r>
            <w:r w:rsidRPr="00D27DAA">
              <w:rPr>
                <w:rFonts w:ascii="GHEA Grapalat" w:hAnsi="GHEA Grapalat"/>
                <w:b/>
                <w:i/>
                <w:color w:val="000000"/>
                <w:lang w:val="hy-AM"/>
              </w:rPr>
              <w:t>բազմաբնակարան շենքերի</w:t>
            </w:r>
            <w:r w:rsidRPr="00D27DAA">
              <w:rPr>
                <w:rFonts w:ascii="GHEA Grapalat" w:hAnsi="GHEA Grapalat"/>
                <w:i/>
                <w:color w:val="000000"/>
                <w:lang w:val="hy-AM"/>
              </w:rPr>
              <w:t xml:space="preserve"> կառավարման մարմինների (իսկ կառավարման մարմնի բացակայության դեպքում՝ համայնքի), </w:t>
            </w:r>
            <w:r w:rsidRPr="00D27DAA">
              <w:rPr>
                <w:rFonts w:ascii="GHEA Grapalat" w:hAnsi="GHEA Grapalat"/>
                <w:b/>
                <w:i/>
                <w:color w:val="000000"/>
                <w:lang w:val="hy-AM"/>
              </w:rPr>
              <w:t>անհատական բնակելի տների</w:t>
            </w:r>
            <w:r w:rsidRPr="00D27DAA">
              <w:rPr>
                <w:rFonts w:ascii="GHEA Grapalat" w:hAnsi="GHEA Grapalat"/>
                <w:i/>
                <w:color w:val="000000"/>
                <w:lang w:val="hy-AM"/>
              </w:rPr>
              <w:t xml:space="preserve"> սեփականատերերի (իսկ սեփականության իրավունք գրանցված չլինելու դեպքում՝ դրանց նկատմամբ իրավահաստատող փաստաթղթեր ունեցող անձանց), </w:t>
            </w:r>
            <w:r w:rsidRPr="00D27DAA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հասարակական և արտադրական շենքերի ու շինությունների սեփականատերերի, </w:t>
            </w:r>
            <w:r w:rsidRPr="00D27DAA">
              <w:rPr>
                <w:rFonts w:ascii="GHEA Grapalat" w:hAnsi="GHEA Grapalat"/>
                <w:b/>
                <w:i/>
                <w:color w:val="000000"/>
                <w:u w:val="single"/>
                <w:lang w:val="hy-AM"/>
              </w:rPr>
              <w:t>այլ ֆիզիկական ու իրավաբանական անձանց</w:t>
            </w:r>
            <w:r w:rsidRPr="00D27DAA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կողմից: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 հայտնում ենք, որ ՀՀ կառավարության 2021 թվականի </w:t>
            </w:r>
            <w:r w:rsidRPr="00D27DA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ապրիլի 15-ի N 600-Ն որոշման N 1 հավելվածով սահմանված է բնակելի նպատակային նշանակության շենքերի, շինությունների առավել լայն շրջանակ, ինչի հետևանքով լրացուցիչ պարզաբանման անհրաժեշտություն ունի միայն </w:t>
            </w:r>
            <w:r w:rsidRPr="00D27DAA">
              <w:rPr>
                <w:rFonts w:ascii="GHEA Grapalat" w:hAnsi="GHEA Grapalat"/>
                <w:b/>
                <w:i/>
                <w:color w:val="000000"/>
                <w:lang w:val="hy-AM"/>
              </w:rPr>
              <w:t>բազմաբնակարան շենքերին և անհատական բնակելի տներին անդրադարձ կատարելու հանգամանքը</w:t>
            </w:r>
            <w:r w:rsidRPr="00D27DA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Միաժամանակ՝ լրացուցիչ պարզաբանման անհրաժեշտություն ունեն սեփականատերերից բացի </w:t>
            </w:r>
            <w:r w:rsidRPr="00D27DAA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այլ ֆիզիկական ու իրավաբանական անձանց կողմից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lastRenderedPageBreak/>
              <w:t>շենքերի ու շինությունների</w:t>
            </w:r>
            <w:r w:rsidRPr="00D27DAA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>տեխնիկական</w:t>
            </w:r>
            <w:r w:rsidRPr="00D27DAA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>վիճակի հետազննություններ պատվիրելու իրավական հիմքերը: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>Նույն դիտարկումը վերաբերում է նաև Նախագծով հաստատված հավելվածի 25-րդ կետին:</w:t>
            </w:r>
          </w:p>
        </w:tc>
        <w:tc>
          <w:tcPr>
            <w:tcW w:w="3678" w:type="dxa"/>
            <w:vAlign w:val="center"/>
          </w:tcPr>
          <w:p w:rsidR="001272E6" w:rsidRPr="00F157CD" w:rsidRDefault="00FB3350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 է մասնակի</w:t>
            </w:r>
          </w:p>
          <w:p w:rsidR="00FB3350" w:rsidRDefault="00FB3350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  <w:p w:rsidR="00FB3350" w:rsidRDefault="00FB3350" w:rsidP="00FB3350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Նախագծում ավելացվել է եզրույթ՝ (այդ թվում` բազմաֆունկցիոնալ) ձևակերպումով:</w:t>
            </w:r>
          </w:p>
          <w:p w:rsidR="00FB3350" w:rsidRPr="00FB3350" w:rsidRDefault="00FB3350" w:rsidP="00FB3350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Ինչ վերաբերում է </w:t>
            </w:r>
            <w:r w:rsidRPr="00D27D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կառավարության 2021 թվականի 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ապրիլի 15-ի N 600-Ն որոշման N 1 հավելվածով սահմանված  բնակելի նպատակային նշանակության շենքերի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ն ու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շինությունների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 xml:space="preserve">ն, ապա հարկ է նշել, Նախագծով ամրագրվել է պարտադիր 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lastRenderedPageBreak/>
              <w:t xml:space="preserve">պահանջ շենքերի սկզբնական և գործիքային հետազննման համար </w:t>
            </w:r>
            <w:r w:rsidR="001751C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 xml:space="preserve">միջին, 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միջինից բարձր, բարձր և բարձրագույն նշանակության օբյեկտների համար (այսինքն՝ բնակելիի պարագայում անհատական բնակելի տներից մինչև բազմաբնակարան/բազմաֆունկցիոնալ շենքեր և դրանցով կառուցապատման համալիրներ)՝ դրանց նպատակային նշանակությունից անկախ: Ուստի՝ բնակելի նպատակային նշանակության օբյեկտների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 xml:space="preserve">դեպքում ևս ամբողջ տեսականու թվարկի </w:t>
            </w:r>
            <w:r w:rsidRPr="00FB335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lastRenderedPageBreak/>
              <w:t>անհրաժեշտությունը բացակայում է: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lastRenderedPageBreak/>
              <w:t>2</w:t>
            </w:r>
            <w:r w:rsidRPr="00D27DAA">
              <w:rPr>
                <w:rFonts w:ascii="GHEA Grapalat" w:hAnsi="GHEA Grapalat"/>
                <w:lang w:val="hy-AM"/>
              </w:rPr>
              <w:t>) 7-րդ կետով աղյուսակի տեսքով թվարկվել են մի շարք իրավական ակտեր, մինչդեռ չի հստակեցվել իրավական ակտերի թվարկման նպատակը, ու՞մ կողմից և ո՞ր դեպքերում են կիրառվելու իրավական ակտերով սահմանված պահանջները: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>Առաջարկում ենք հստակեցնել: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>Միաժամանակ՝ աղյուսակի 52-րդ կետում և Նախագծով հաստատված հավելվածի 11-րդ կետում ՀՀ արտակարգ իրավիճակների նախարարի 2014 թվականի հոկտեմբերի 23-ի N 957-Ա հրամանին տրված հղումը վերանայման անհրաժեշտություն ունի՝ հաշվի առնելով, որ Հայաստանի իրավական տեղեկատվական համակարգում վերոնշյալ հրամանը բացակայում է</w:t>
            </w:r>
            <w:r w:rsidRPr="00027156">
              <w:rPr>
                <w:lang w:val="hy-AM"/>
              </w:rPr>
              <w:t>:</w:t>
            </w:r>
          </w:p>
        </w:tc>
        <w:tc>
          <w:tcPr>
            <w:tcW w:w="3678" w:type="dxa"/>
            <w:vAlign w:val="center"/>
          </w:tcPr>
          <w:p w:rsidR="000F0E14" w:rsidRPr="00F157CD" w:rsidRDefault="00881D73" w:rsidP="000F0E14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 xml:space="preserve">Ընդունվել է </w:t>
            </w:r>
          </w:p>
          <w:p w:rsidR="00881D73" w:rsidRPr="00881D73" w:rsidRDefault="00881D73" w:rsidP="000F0E14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Տվյալ դեպքում՝ </w:t>
            </w:r>
            <w:r w:rsidRPr="00D27DAA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en-US"/>
              </w:rPr>
              <w:t>ԱԻՆ-ի</w:t>
            </w:r>
            <w:r w:rsidRPr="00D27DAA">
              <w:rPr>
                <w:rFonts w:ascii="GHEA Grapalat" w:hAnsi="GHEA Grapalat"/>
                <w:lang w:val="hy-AM"/>
              </w:rPr>
              <w:t xml:space="preserve"> 2014 թվականի հոկտեմբերի 23-ի N 957-Ա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հրամանի մասով առաջարկը ներկայացվել է ՀՀ ՆԳՆ կողմից: Հարկ է նշել, որ այդ իրավական ակտի ընդունման ժամանակահատվածում &lt;Նորմատիվ իրավական ակտերի մասին&gt; օրենքի արդի պահանջները չեն գործել և ըստ այդմ անհատական բնույթի ձեռնարկները չեն հրապարակվել իրավական տեղեկատվական կայքէջում, </w:t>
            </w:r>
            <w:r>
              <w:rPr>
                <w:rFonts w:ascii="GHEA Grapalat" w:hAnsi="GHEA Grapalat"/>
                <w:color w:val="000000"/>
                <w:lang w:val="en-US"/>
              </w:rPr>
              <w:lastRenderedPageBreak/>
              <w:t>սակայն ունեցել են կիրառություն:</w:t>
            </w:r>
            <w:r w:rsidR="000F0E14">
              <w:rPr>
                <w:rFonts w:ascii="GHEA Grapalat" w:hAnsi="GHEA Grapalat"/>
                <w:color w:val="000000"/>
                <w:lang w:val="en-US"/>
              </w:rPr>
              <w:t xml:space="preserve"> Այնուամենայնիվ հղումը հանվել է: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spacing w:line="276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lastRenderedPageBreak/>
              <w:t>3) 12-րդ կետի համաձայն՝ հետազննության գործիքային տեսակը պարտադիր է ՀՀ կառավարության 2015 թվականի մարտի 3-ի N 596-Ն որոշմամբ սահմանված կարգի բարձր (IV) և բարձրագույն (V) ռիսկայնության օբյեկտների համար, մինչդեռ հիմնավորման անհրաժեշտություն ունի գործիքային հետազննությունը միայն վերոնշյալ օբյեկտների նկատմամբ կիրառելու հանգամանքը:</w:t>
            </w:r>
          </w:p>
          <w:p w:rsidR="001272E6" w:rsidRPr="00D27DAA" w:rsidRDefault="001272E6" w:rsidP="001272E6">
            <w:pPr>
              <w:spacing w:line="276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 xml:space="preserve">Միևնույն ժամանակ՝ վերոգրյալ կարգավորման համատեքստում լրացուցիչ պարզաբանման անհրաժեշտություն ունի </w:t>
            </w:r>
            <w:r w:rsidRPr="00D27DAA">
              <w:rPr>
                <w:rFonts w:ascii="GHEA Grapalat" w:hAnsi="GHEA Grapalat"/>
                <w:b/>
                <w:lang w:val="hy-AM"/>
              </w:rPr>
              <w:t>միջին և միջինից բարձր</w:t>
            </w:r>
            <w:r w:rsidRPr="00D27DAA">
              <w:rPr>
                <w:rFonts w:ascii="GHEA Grapalat" w:hAnsi="GHEA Grapalat"/>
                <w:lang w:val="hy-AM"/>
              </w:rPr>
              <w:t xml:space="preserve"> ռիսկայնության օբյեկտների դեպքում զուտ </w:t>
            </w:r>
            <w:r w:rsidRPr="00D27DAA">
              <w:rPr>
                <w:rFonts w:ascii="GHEA Grapalat" w:hAnsi="GHEA Grapalat"/>
                <w:b/>
                <w:lang w:val="hy-AM"/>
              </w:rPr>
              <w:t>ակնադիտական գնահատմամբ</w:t>
            </w:r>
            <w:r w:rsidRPr="00D27DAA">
              <w:rPr>
                <w:rFonts w:ascii="GHEA Grapalat" w:hAnsi="GHEA Grapalat"/>
                <w:lang w:val="hy-AM"/>
              </w:rPr>
              <w:t xml:space="preserve"> հետազննություն իրականացնելու հանգամանքը՝ հստակեցնելով՝ արդյո՞ք նման կարգավորումը գործնականում լուրջ խնդիրների առաջացման պատճառ չի հանդիսանա:</w:t>
            </w:r>
          </w:p>
        </w:tc>
        <w:tc>
          <w:tcPr>
            <w:tcW w:w="3678" w:type="dxa"/>
            <w:vAlign w:val="center"/>
          </w:tcPr>
          <w:p w:rsidR="000F0E14" w:rsidRPr="00F157CD" w:rsidRDefault="000F0E14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 xml:space="preserve">Ընդունվել է </w:t>
            </w:r>
          </w:p>
          <w:p w:rsidR="000F0E14" w:rsidRDefault="000F0E14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Նախագծում կատարվել է լրացում՝ </w:t>
            </w:r>
            <w:r w:rsidRPr="000F0E14">
              <w:rPr>
                <w:rFonts w:ascii="GHEA Grapalat" w:hAnsi="GHEA Grapalat"/>
                <w:b/>
                <w:i/>
                <w:color w:val="000000"/>
                <w:lang w:val="en-US"/>
              </w:rPr>
              <w:t>միջին և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0F0E14">
              <w:rPr>
                <w:rFonts w:ascii="GHEA Grapalat" w:hAnsi="GHEA Grapalat"/>
                <w:b/>
                <w:i/>
                <w:color w:val="000000"/>
                <w:lang w:val="en-US"/>
              </w:rPr>
              <w:t>միջինից բարձր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օբյեկտների </w:t>
            </w:r>
            <w:r w:rsidR="00861DC5">
              <w:rPr>
                <w:rFonts w:ascii="GHEA Grapalat" w:hAnsi="GHEA Grapalat"/>
                <w:color w:val="000000"/>
                <w:lang w:val="en-US"/>
              </w:rPr>
              <w:t>մասով</w:t>
            </w:r>
            <w:r>
              <w:rPr>
                <w:rFonts w:ascii="GHEA Grapalat" w:hAnsi="GHEA Grapalat"/>
                <w:color w:val="000000"/>
                <w:lang w:val="en-US"/>
              </w:rPr>
              <w:t>:</w:t>
            </w:r>
          </w:p>
          <w:p w:rsidR="000F0E14" w:rsidRPr="000F0E14" w:rsidRDefault="000F0E14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>4) մի շարք դրույթներում կիրառվում են «սկզբնական (ակնադիտական արագ գնահատում) հետազննություն», «սկզբնական/արագ գնահատման հետազննություն», «սկզբնական հետազննություն» ձևակերպումները:</w:t>
            </w:r>
          </w:p>
          <w:p w:rsidR="001272E6" w:rsidRPr="00D27DAA" w:rsidRDefault="001272E6" w:rsidP="001272E6">
            <w:pPr>
              <w:spacing w:line="276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>Առաջարկում ենք կիրառել միօրինակ ձևակերպումներ:</w:t>
            </w:r>
          </w:p>
        </w:tc>
        <w:tc>
          <w:tcPr>
            <w:tcW w:w="3678" w:type="dxa"/>
            <w:vAlign w:val="center"/>
          </w:tcPr>
          <w:p w:rsidR="001272E6" w:rsidRPr="00F157CD" w:rsidRDefault="000931BE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Ընդունվել է</w:t>
            </w:r>
          </w:p>
          <w:p w:rsidR="000931BE" w:rsidRPr="000931BE" w:rsidRDefault="000931BE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Նախագծում կատարվել է համապատասխան փոփոխություն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spacing w:line="268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 xml:space="preserve">5) 13-րդ կետում, 16-րդ կետի 4-րդ ենթակետում, ինչպես նաև 106-րդ կետում շենքերի և շինությունների </w:t>
            </w:r>
            <w:r w:rsidRPr="00D27DAA">
              <w:rPr>
                <w:rFonts w:ascii="GHEA Grapalat" w:hAnsi="GHEA Grapalat"/>
                <w:b/>
                <w:lang w:val="hy-AM"/>
              </w:rPr>
              <w:t>կենսաբանական վնասվածության</w:t>
            </w:r>
            <w:r w:rsidRPr="00D27DAA">
              <w:rPr>
                <w:rFonts w:ascii="GHEA Grapalat" w:hAnsi="GHEA Grapalat"/>
                <w:lang w:val="hy-AM"/>
              </w:rPr>
              <w:t xml:space="preserve"> վերաբերյալ դրույթը լրացուցիչ հստակեցման անհրաժեշտություն ունի: </w:t>
            </w:r>
          </w:p>
        </w:tc>
        <w:tc>
          <w:tcPr>
            <w:tcW w:w="3678" w:type="dxa"/>
            <w:vAlign w:val="center"/>
          </w:tcPr>
          <w:p w:rsidR="005232BA" w:rsidRPr="00F157CD" w:rsidRDefault="005232BA" w:rsidP="005232BA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  <w:r w:rsidRPr="00F157CD">
              <w:rPr>
                <w:rFonts w:ascii="GHEA Grapalat" w:hAnsi="GHEA Grapalat"/>
                <w:b/>
                <w:lang w:val="en-US"/>
              </w:rPr>
              <w:t>Ընդունվել է</w:t>
            </w:r>
            <w:r w:rsidR="00E76FEC" w:rsidRPr="00F157CD">
              <w:rPr>
                <w:rFonts w:ascii="GHEA Grapalat" w:hAnsi="GHEA Grapalat"/>
                <w:b/>
                <w:lang w:val="en-US"/>
              </w:rPr>
              <w:t xml:space="preserve"> </w:t>
            </w:r>
          </w:p>
          <w:p w:rsidR="001272E6" w:rsidRPr="00AF25E0" w:rsidRDefault="005232BA" w:rsidP="005232BA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5232BA">
              <w:rPr>
                <w:rFonts w:ascii="GHEA Grapalat" w:hAnsi="GHEA Grapalat"/>
                <w:lang w:val="en-US"/>
              </w:rPr>
              <w:t xml:space="preserve">Կատարվել է </w:t>
            </w:r>
            <w:r>
              <w:rPr>
                <w:rFonts w:ascii="GHEA Grapalat" w:hAnsi="GHEA Grapalat"/>
                <w:lang w:val="en-US"/>
              </w:rPr>
              <w:t xml:space="preserve">համապատասխան </w:t>
            </w:r>
            <w:r w:rsidRPr="005232BA">
              <w:rPr>
                <w:rFonts w:ascii="GHEA Grapalat" w:hAnsi="GHEA Grapalat"/>
                <w:lang w:val="en-US"/>
              </w:rPr>
              <w:t>լրացում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spacing w:line="276" w:lineRule="auto"/>
              <w:contextualSpacing/>
              <w:jc w:val="both"/>
              <w:rPr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lastRenderedPageBreak/>
              <w:t xml:space="preserve">          6) </w:t>
            </w:r>
            <w:r w:rsidRPr="00D27D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18-րդ կետում հստակեցված չէ հետազննության ո՞ր տեսակով է մանրակրկիտ ստուգվում շենքերի և շինությունների </w:t>
            </w:r>
            <w:r w:rsidRPr="00D27DAA">
              <w:rPr>
                <w:rFonts w:ascii="GHEA Grapalat" w:hAnsi="GHEA Grapalat"/>
                <w:lang w:val="hy-AM"/>
              </w:rPr>
              <w:t>ջրամատակարարման և ջրահեռացման, ջեռուցման, օդափոխության, կոյուղու, էլեկտրամատակարարման, գազամատակարարման, կապի ներքին համակարգերի, ինչպես նաև արտաքին սալվածքի, մթնոլորտային տեղումների հեռացման համար նախատեսված սարքերի ու սարքավորումների տեխնիկական վիճակը:</w:t>
            </w:r>
          </w:p>
        </w:tc>
        <w:tc>
          <w:tcPr>
            <w:tcW w:w="3678" w:type="dxa"/>
            <w:vAlign w:val="center"/>
          </w:tcPr>
          <w:p w:rsidR="001272E6" w:rsidRPr="00F157CD" w:rsidRDefault="00B359D5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Ընդունվել է մասնակի</w:t>
            </w:r>
          </w:p>
          <w:p w:rsidR="00AF25E0" w:rsidRDefault="00AF25E0" w:rsidP="001668FE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Հետազննության տեսակը կախված է ամբողջ օբյեկտի ռիսկայնության աստիճանից, իսկ </w:t>
            </w:r>
            <w:r w:rsidR="001751C2">
              <w:rPr>
                <w:rFonts w:ascii="GHEA Grapalat" w:hAnsi="GHEA Grapalat"/>
                <w:color w:val="000000"/>
                <w:lang w:val="en-US"/>
              </w:rPr>
              <w:t xml:space="preserve">միայն 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սարքերի պարագայում այն  </w:t>
            </w:r>
            <w:r w:rsidR="001668FE">
              <w:rPr>
                <w:rFonts w:ascii="GHEA Grapalat" w:hAnsi="GHEA Grapalat"/>
                <w:color w:val="000000"/>
                <w:lang w:val="en-US"/>
              </w:rPr>
              <w:t xml:space="preserve">իրականացվում է 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շահագործողական ցուցանիշների ուսումնասիրությամբ՝ ակնադիտական </w:t>
            </w:r>
            <w:r w:rsidR="001668FE">
              <w:rPr>
                <w:rFonts w:ascii="GHEA Grapalat" w:hAnsi="GHEA Grapalat"/>
                <w:color w:val="000000"/>
                <w:lang w:val="en-US"/>
              </w:rPr>
              <w:t>գնահատմամբ:</w:t>
            </w:r>
          </w:p>
          <w:p w:rsidR="001668FE" w:rsidRPr="00AF25E0" w:rsidRDefault="001668FE" w:rsidP="00B359D5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Այս </w:t>
            </w:r>
            <w:r w:rsidR="00B359D5">
              <w:rPr>
                <w:rFonts w:ascii="GHEA Grapalat" w:hAnsi="GHEA Grapalat"/>
                <w:color w:val="000000"/>
                <w:lang w:val="en-US"/>
              </w:rPr>
              <w:t>գործընթացը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աշխատանքների համալիր է, որի կատարման մանրամասները կարող են բացահայտվել հենց ուսումնասիրության </w:t>
            </w:r>
            <w:r>
              <w:rPr>
                <w:rFonts w:ascii="GHEA Grapalat" w:hAnsi="GHEA Grapalat"/>
                <w:color w:val="000000"/>
                <w:lang w:val="en-US"/>
              </w:rPr>
              <w:lastRenderedPageBreak/>
              <w:t>ընթացքում:</w:t>
            </w:r>
            <w:r w:rsidR="00B359D5">
              <w:rPr>
                <w:rFonts w:ascii="GHEA Grapalat" w:hAnsi="GHEA Grapalat"/>
                <w:color w:val="000000"/>
                <w:lang w:val="en-US"/>
              </w:rPr>
              <w:t xml:space="preserve"> Ձևակերպման մեջ կատարվել է մասնակի լրացում: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b/>
                <w:i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lastRenderedPageBreak/>
              <w:t xml:space="preserve">7) </w:t>
            </w:r>
            <w:r w:rsidRPr="00D27D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21-րդ կետի համաձայն՝ </w:t>
            </w:r>
            <w:r w:rsidRPr="00D27DAA">
              <w:rPr>
                <w:rFonts w:ascii="GHEA Grapalat" w:hAnsi="GHEA Grapalat"/>
                <w:i/>
                <w:color w:val="000000"/>
                <w:lang w:val="hy-AM"/>
              </w:rPr>
              <w:t xml:space="preserve">վնասված շենքերի և շինությունների տեխնիկական վիճակի գնահատականը (վնասվածության աստիճանը) որոշվում է </w:t>
            </w:r>
            <w:r w:rsidRPr="00D27DAA">
              <w:rPr>
                <w:rFonts w:ascii="GHEA Grapalat" w:hAnsi="GHEA Grapalat"/>
                <w:b/>
                <w:i/>
                <w:color w:val="000000"/>
                <w:lang w:val="hy-AM"/>
              </w:rPr>
              <w:t>ՀՀ քաղաքաշինության կոմիտեի նախագահի  2020 թվականի դեկտեմբերի 28-ի N 102-Ն հրամանով հաստատված ՀՀՇՆ 20.04-2020 «Երկրաշարժադիմացկուն շինարարություն. Նախագծման նորմեր» շինարարական նորմերով սահմանված մեթոդաբանության համաձայն:</w:t>
            </w:r>
          </w:p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Մինչդեռ, լրացուցիչ պարզաբանման անհրաժեշտություն ունի 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>միայն մեկ շինարարական նորմով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սահմանված մեթոդաբանությամբ շենքերի և շինությունների տեխնիկական վիճակի </w:t>
            </w:r>
            <w:r w:rsidRPr="00D27DAA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արժանահավատ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գնահատականի որոշման հանգամանքը՝ հատկապես, նկատի ունենալով, որ սույն կետի համատեքստում առավել ևս չի հիմնավորվում Նախագծով հաստատված հավելվածի 7-րդ կետով իրավական ակտերի սահմանման և կիրառելիության հանգամանքը:</w:t>
            </w:r>
          </w:p>
        </w:tc>
        <w:tc>
          <w:tcPr>
            <w:tcW w:w="3678" w:type="dxa"/>
            <w:vAlign w:val="center"/>
          </w:tcPr>
          <w:p w:rsidR="001272E6" w:rsidRPr="00F157CD" w:rsidRDefault="005A7E61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Ընդունվել է</w:t>
            </w:r>
          </w:p>
          <w:p w:rsidR="005A7E61" w:rsidRPr="005A7E61" w:rsidRDefault="005A7E61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21-րդ կետը բացառվել է նախագծից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>8)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D27DAA">
              <w:rPr>
                <w:rFonts w:ascii="GHEA Grapalat" w:hAnsi="GHEA Grapalat"/>
                <w:lang w:val="hy-AM"/>
              </w:rPr>
              <w:t xml:space="preserve">20-22-րդ կետերով </w:t>
            </w:r>
            <w:r w:rsidRPr="00D27DAA">
              <w:rPr>
                <w:rFonts w:ascii="GHEA Grapalat" w:hAnsi="GHEA Grapalat"/>
                <w:b/>
                <w:lang w:val="hy-AM"/>
              </w:rPr>
              <w:t>սահմանվել են շենքերի և շինությունների տեխնիկական վիճակի և շահագործման պիտանելիության գնահատականների որոշման կարգեր,</w:t>
            </w:r>
            <w:r w:rsidRPr="00D27DAA">
              <w:rPr>
                <w:rFonts w:ascii="GHEA Grapalat" w:hAnsi="GHEA Grapalat"/>
                <w:lang w:val="hy-AM"/>
              </w:rPr>
              <w:t xml:space="preserve"> մինչդեռ 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Նախագծի վերնագրի և 1-ին կետի համաձայն՝ ՀՀ կառավարությունը հաստատում է </w:t>
            </w:r>
            <w:r w:rsidRPr="00D27DAA">
              <w:rPr>
                <w:rFonts w:ascii="GHEA Grapalat" w:hAnsi="GHEA Grapalat"/>
                <w:lang w:val="hy-AM"/>
              </w:rPr>
              <w:t>շենքերի և շինությունների տեխնիկական վիճակի հետազննության կարգը:</w:t>
            </w:r>
          </w:p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 xml:space="preserve">Միաժամանակ՝ վերոգրյալ դրույթների շրջանակներում լրացուցիչ հստակեցման անհրաժեշտություն ունի </w:t>
            </w:r>
            <w:r w:rsidRPr="00D27DAA">
              <w:rPr>
                <w:rFonts w:ascii="GHEA Grapalat" w:hAnsi="GHEA Grapalat"/>
                <w:b/>
                <w:lang w:val="hy-AM"/>
              </w:rPr>
              <w:t>տեխնիկական վիճակի և շահագործման պիտանելիության գնահատականների որոշման հետազննության տեսակը</w:t>
            </w:r>
            <w:r w:rsidRPr="00D27DA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678" w:type="dxa"/>
            <w:vAlign w:val="center"/>
          </w:tcPr>
          <w:p w:rsidR="001272E6" w:rsidRPr="00F157CD" w:rsidRDefault="00E51EE8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Չի ընդունվել</w:t>
            </w:r>
          </w:p>
          <w:p w:rsidR="00E51EE8" w:rsidRPr="00E51EE8" w:rsidRDefault="00E51EE8" w:rsidP="004D27DD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20-22-րդ կետերում նկարագրվածը պիտանելիության կարգ չէ, այլ ընդամենը փոխկապակցված դրույթներ, </w:t>
            </w:r>
            <w:r>
              <w:rPr>
                <w:rFonts w:ascii="GHEA Grapalat" w:hAnsi="GHEA Grapalat"/>
                <w:color w:val="000000"/>
                <w:lang w:val="en-US"/>
              </w:rPr>
              <w:lastRenderedPageBreak/>
              <w:t xml:space="preserve">պատճառահետևանքային </w:t>
            </w:r>
            <w:r w:rsidR="004D27DD">
              <w:rPr>
                <w:rFonts w:ascii="GHEA Grapalat" w:hAnsi="GHEA Grapalat"/>
                <w:color w:val="000000"/>
                <w:lang w:val="en-US"/>
              </w:rPr>
              <w:t>եզրահանգումներ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, որոնք պայմանավորված են Նախագծի աղյուսակ </w:t>
            </w:r>
            <w:r w:rsidR="004D27DD">
              <w:rPr>
                <w:rFonts w:ascii="GHEA Grapalat" w:hAnsi="GHEA Grapalat"/>
                <w:color w:val="000000"/>
                <w:lang w:val="en-US"/>
              </w:rPr>
              <w:t>2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-ի չափորոշիչներով: 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lastRenderedPageBreak/>
              <w:t>9) 25-րդ կետով ամրագրված կարգավորումը կրկնում է Նախագծով հաստատված հավելվածի 4-րդ կետով, ինչպես նաև 27-րդ կետով ամրագրված կարգավորումները:</w:t>
            </w:r>
          </w:p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lang w:val="hy-AM"/>
              </w:rPr>
              <w:t xml:space="preserve">Բացի այդ հարկ է նշել, որ 4-րդ կետով շենքերի և շինությունների 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>տեխնիկական</w:t>
            </w:r>
            <w:r w:rsidRPr="00D27DAA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վիճակի հետազննությունները մի դեպքում 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>պատվիրվում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>են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>տեղական ինքնակառավարման մարմինների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կողմից, իսկ 25-րդ կետով՝ 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 xml:space="preserve">համայնքների 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>կողմից՝ ուստի առաջարկվում է առաջնորդվել միօրինակ ձևակերպումներով:</w:t>
            </w:r>
          </w:p>
        </w:tc>
        <w:tc>
          <w:tcPr>
            <w:tcW w:w="3678" w:type="dxa"/>
            <w:vAlign w:val="center"/>
          </w:tcPr>
          <w:p w:rsidR="001272E6" w:rsidRPr="00F157CD" w:rsidRDefault="00B429E8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 xml:space="preserve">Ընդունվել է </w:t>
            </w:r>
          </w:p>
          <w:p w:rsidR="00B429E8" w:rsidRPr="00B429E8" w:rsidRDefault="00B429E8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Կատարվել է համապատասխան փոփոխություն 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tabs>
                <w:tab w:val="left" w:pos="90"/>
              </w:tabs>
              <w:spacing w:line="268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>10) 26-րդ կետի շրջանակներում լրացուցիչ հստակեցման անհրաժեշտություն ունի՝ ու՞մ համար են պարտադիր շենքերի և շինությունների չծրագրված հետազննությունները:</w:t>
            </w:r>
          </w:p>
          <w:p w:rsidR="001272E6" w:rsidRPr="00D27DAA" w:rsidRDefault="001272E6" w:rsidP="001272E6">
            <w:pPr>
              <w:tabs>
                <w:tab w:val="left" w:pos="90"/>
              </w:tabs>
              <w:spacing w:line="268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>Միևնույն ժամանակ՝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26-րդ կետի 1-ին, 2-րդ և 3-րդ ենթակետերով շենքերի և շինությունների չծրագրված հետազննությունները պարտադիր են 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>շենքի գործառնական նշանակության, շահագործման պայմանների փոփոխությունների,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ինչպես նաև շենքի կոնստրուկցիաներում բնական և տեխնածին աղետների՝ երկրաշարժի, սողանքի, փոթորկի, հրդեհի (պայթյունի), հիմնատակի գրունտների անհավասարաչափ նստվածքների հետևանքով առկա </w:t>
            </w:r>
            <w:r w:rsidRPr="00D27DAA">
              <w:rPr>
                <w:rFonts w:ascii="GHEA Grapalat" w:hAnsi="GHEA Grapalat"/>
                <w:b/>
                <w:color w:val="000000"/>
                <w:lang w:val="hy-AM"/>
              </w:rPr>
              <w:t>ակնհայտ վնասվածքների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 xml:space="preserve"> դեպքերում, մինչդեռ, հարկ է նկատի ունենալ, որ՝ </w:t>
            </w:r>
          </w:p>
          <w:p w:rsidR="001272E6" w:rsidRPr="00D27DAA" w:rsidRDefault="001272E6" w:rsidP="001272E6">
            <w:pPr>
              <w:tabs>
                <w:tab w:val="left" w:pos="90"/>
              </w:tabs>
              <w:spacing w:line="268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>ա. ՀՀ օրենսդրությամբ շենքերի և շինությունների գործառնական նշանակության փոփոխության կարգ սահմանված չէ:</w:t>
            </w:r>
          </w:p>
          <w:p w:rsidR="001272E6" w:rsidRPr="00D27DAA" w:rsidRDefault="001272E6" w:rsidP="001272E6">
            <w:pPr>
              <w:tabs>
                <w:tab w:val="left" w:pos="90"/>
              </w:tabs>
              <w:spacing w:line="268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lastRenderedPageBreak/>
              <w:t>բ. 2-րդ և 3-րդ ենթակետերում «շենքի շահագործման պայմանների փոփոխություն» և «ակնհայտ վնասվածքներ» ձևակերպումները լրացուցիչ հստակեցման անհրաժեշտություն ունեն:</w:t>
            </w:r>
          </w:p>
        </w:tc>
        <w:tc>
          <w:tcPr>
            <w:tcW w:w="3678" w:type="dxa"/>
            <w:vAlign w:val="center"/>
          </w:tcPr>
          <w:p w:rsidR="00AF1909" w:rsidRPr="00F157CD" w:rsidRDefault="00AF1909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 xml:space="preserve">Ընդունվել է </w:t>
            </w:r>
          </w:p>
          <w:p w:rsidR="00AF1909" w:rsidRDefault="002218A0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Կատարվել է համապատասխան լրացում</w:t>
            </w:r>
          </w:p>
          <w:p w:rsidR="002218A0" w:rsidRDefault="002218A0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  <w:p w:rsidR="002218A0" w:rsidRDefault="002218A0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Ինչ վերաբերում է.</w:t>
            </w:r>
          </w:p>
          <w:p w:rsidR="002218A0" w:rsidRDefault="002218A0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- շահագործման պայմանների փոփոխությանը, ապա դրույթն ինքը պարզաբանում է, որ վերջինս վերաբերում է </w:t>
            </w:r>
            <w:r>
              <w:rPr>
                <w:rFonts w:ascii="GHEA Grapalat" w:hAnsi="GHEA Grapalat"/>
                <w:color w:val="000000"/>
                <w:lang w:val="en-US"/>
              </w:rPr>
              <w:lastRenderedPageBreak/>
              <w:t>բեռնվածքի ավելացման խնդրին,</w:t>
            </w:r>
          </w:p>
          <w:p w:rsidR="002218A0" w:rsidRDefault="002218A0" w:rsidP="002218A0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-ակնհայտ վնասվածքին, ապա դա այն վնասվածքն է, որն այնքան ցայտուն է</w:t>
            </w:r>
          </w:p>
          <w:p w:rsidR="002218A0" w:rsidRPr="00AF1909" w:rsidRDefault="002218A0" w:rsidP="002218A0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 և գործիքային հետազննմամբ բացահայտման կարիք չունի: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lastRenderedPageBreak/>
              <w:t>11) 27-րդ կետով ամրագրված կարգավորումը կրկնում է 26-րդ կետով, ինչպես նաև ՀՀ կառավարության 2023 թվականի նոյեմբերի 23-ի N 2024-Ն որոշմամբ հաստատված N 1 հավելվածի 6-րդ կետով ամրագրված կարգավորումներն, ինչը լրացուցիչ պարզաբանման անհրաժեշտություն ունի:</w:t>
            </w:r>
          </w:p>
        </w:tc>
        <w:tc>
          <w:tcPr>
            <w:tcW w:w="3678" w:type="dxa"/>
            <w:vAlign w:val="center"/>
          </w:tcPr>
          <w:p w:rsidR="001272E6" w:rsidRPr="00F157CD" w:rsidRDefault="00C800D3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Ընդունվել է</w:t>
            </w:r>
          </w:p>
          <w:p w:rsidR="00C800D3" w:rsidRPr="00C800D3" w:rsidRDefault="00C800D3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Կատարվել է համապատասխան փոփոխություն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>12) 140-րդ, 141-րդ, և 142-րդ կետերով նախատեսվում են բնակելի շենքերը բնակության համար ոչ պիտանի ճանաչելու վերաբերյալ կարգավորումներ:</w:t>
            </w:r>
          </w:p>
          <w:p w:rsidR="001272E6" w:rsidRPr="00D27DAA" w:rsidRDefault="001272E6" w:rsidP="001272E6">
            <w:pPr>
              <w:tabs>
                <w:tab w:val="left" w:pos="9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27DAA">
              <w:rPr>
                <w:rFonts w:ascii="GHEA Grapalat" w:hAnsi="GHEA Grapalat"/>
                <w:color w:val="000000"/>
                <w:lang w:val="hy-AM"/>
              </w:rPr>
              <w:t>Նախագծով նման կարգավարումներ նախատեսելու դեպքում լրացուցիչ պարզաբանման անհրաժեշտություն ունի</w:t>
            </w:r>
            <w:r w:rsidRPr="00D27D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Քաղաքաշինության կոմիտեի նախագահի 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t>կողմից 17.12.2024թ.-ի N 01/14.2/16121-2024 գրությամբ «Բնակելի, հասարակական և արտադրական նշանակության շենքերի և շինությունների տեխնիկական վիճակից ելնելով՝ դրանք շահագործման համար ոչ պիտանի ճանաչելու կարգը հաստատելու</w:t>
            </w:r>
            <w:r w:rsidRPr="00D27D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ՀՀ կառավարության որոշման նախագծի Վարչապետի աշխատակազմ ներկայացման անհրաժեշտության հանգամանքը:</w:t>
            </w:r>
          </w:p>
        </w:tc>
        <w:tc>
          <w:tcPr>
            <w:tcW w:w="3678" w:type="dxa"/>
            <w:vAlign w:val="center"/>
          </w:tcPr>
          <w:p w:rsidR="001272E6" w:rsidRPr="00F157CD" w:rsidRDefault="00C800D3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Չի ընդունվել</w:t>
            </w:r>
          </w:p>
          <w:p w:rsidR="00C800D3" w:rsidRDefault="00C800D3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  <w:p w:rsidR="00C800D3" w:rsidRPr="00C800D3" w:rsidRDefault="00C800D3" w:rsidP="001751C2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Նախագծում ներառված դրույթները պարզապես շեշտում են Նախագծի կարգավորումների փոխկապակցվածությունը </w:t>
            </w:r>
            <w:r w:rsidRPr="00D27DAA">
              <w:rPr>
                <w:rFonts w:ascii="GHEA Grapalat" w:hAnsi="GHEA Grapalat"/>
                <w:color w:val="000000"/>
                <w:lang w:val="hy-AM"/>
              </w:rPr>
              <w:lastRenderedPageBreak/>
              <w:t>բնակելի շենքերը բնակության համար ոչ պիտանի ճան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աչելու վերաբերյալ 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ընդհանուր </w:t>
            </w:r>
            <w:r>
              <w:rPr>
                <w:rFonts w:ascii="GHEA Grapalat" w:hAnsi="GHEA Grapalat"/>
                <w:color w:val="000000"/>
                <w:lang w:val="hy-AM"/>
              </w:rPr>
              <w:t>պայմանների հետ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, որոնք որպես համապատասխան գործընթացի կարգ կամ ընթացակարգ գնահատվել չեն կարող: </w:t>
            </w:r>
          </w:p>
        </w:tc>
      </w:tr>
      <w:tr w:rsidR="001272E6" w:rsidRPr="008E5564" w:rsidTr="00DA1EEB">
        <w:trPr>
          <w:trHeight w:val="729"/>
        </w:trPr>
        <w:tc>
          <w:tcPr>
            <w:tcW w:w="10255" w:type="dxa"/>
          </w:tcPr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D27DAA">
              <w:rPr>
                <w:rFonts w:ascii="GHEA Grapalat" w:hAnsi="GHEA Grapalat"/>
                <w:b/>
                <w:lang w:val="hy-AM"/>
              </w:rPr>
              <w:lastRenderedPageBreak/>
              <w:t>2.</w:t>
            </w:r>
            <w:r w:rsidRPr="00D27DAA">
              <w:rPr>
                <w:rFonts w:ascii="GHEA Grapalat" w:hAnsi="GHEA Grapalat"/>
                <w:lang w:val="hy-AM"/>
              </w:rPr>
              <w:t xml:space="preserve"> Նկատի ունենալով Վարչապետի 2021 թվականի նոյեմբերի 26-ի </w:t>
            </w:r>
            <w:r w:rsidRPr="00D27DAA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D27DAA">
              <w:rPr>
                <w:rFonts w:ascii="GHEA Grapalat" w:hAnsi="GHEA Grapalat"/>
                <w:lang w:val="hy-AM"/>
              </w:rPr>
              <w:t xml:space="preserve">02/16.10/40655-2021 և 2024 թվականի դեկտեմբերի 19-ի </w:t>
            </w:r>
            <w:r w:rsidRPr="00D27DAA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D27DAA">
              <w:rPr>
                <w:rFonts w:ascii="GHEA Grapalat" w:hAnsi="GHEA Grapalat"/>
                <w:lang w:val="hy-AM"/>
              </w:rPr>
              <w:t>02/08.86/43837-2024 հանձնարարականները՝ Նախագծի հիմնավորման «Կապը ռազմավարական փաստաթղթերի հետ» բաժինը կարիք ունի լրամշակման՝ բացառելով ընդհանրական հղումները:</w:t>
            </w:r>
          </w:p>
        </w:tc>
        <w:tc>
          <w:tcPr>
            <w:tcW w:w="3678" w:type="dxa"/>
            <w:vAlign w:val="center"/>
          </w:tcPr>
          <w:p w:rsidR="00276292" w:rsidRPr="00F157CD" w:rsidRDefault="00276292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 xml:space="preserve">Ընդունվել է </w:t>
            </w:r>
          </w:p>
          <w:p w:rsidR="001272E6" w:rsidRPr="00276292" w:rsidRDefault="00276292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կատարվել է լրացում ըստ առկա իրավակարգավորումների</w:t>
            </w:r>
          </w:p>
        </w:tc>
      </w:tr>
      <w:tr w:rsidR="001272E6" w:rsidRPr="00D27DAA" w:rsidTr="00DA1EEB">
        <w:trPr>
          <w:trHeight w:val="729"/>
        </w:trPr>
        <w:tc>
          <w:tcPr>
            <w:tcW w:w="10255" w:type="dxa"/>
            <w:vMerge w:val="restart"/>
          </w:tcPr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 w:rsidRPr="00D27DAA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 xml:space="preserve">ՀՀ </w:t>
            </w:r>
            <w:r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վարչապետի աշխատակազմի</w:t>
            </w:r>
          </w:p>
          <w:p w:rsidR="001272E6" w:rsidRPr="00D27DAA" w:rsidRDefault="001272E6" w:rsidP="001272E6">
            <w:pPr>
              <w:spacing w:line="276" w:lineRule="auto"/>
              <w:ind w:firstLine="720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իրավաբանական վարչություն</w:t>
            </w:r>
          </w:p>
        </w:tc>
        <w:tc>
          <w:tcPr>
            <w:tcW w:w="3678" w:type="dxa"/>
            <w:vAlign w:val="center"/>
          </w:tcPr>
          <w:p w:rsidR="001272E6" w:rsidRPr="00157B03" w:rsidRDefault="001272E6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5</w:t>
            </w: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1272E6" w:rsidRPr="00D27DAA" w:rsidTr="00DA1EEB">
        <w:trPr>
          <w:trHeight w:val="729"/>
        </w:trPr>
        <w:tc>
          <w:tcPr>
            <w:tcW w:w="10255" w:type="dxa"/>
            <w:vMerge/>
          </w:tcPr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</w:p>
        </w:tc>
        <w:tc>
          <w:tcPr>
            <w:tcW w:w="3678" w:type="dxa"/>
            <w:vAlign w:val="center"/>
          </w:tcPr>
          <w:p w:rsidR="001272E6" w:rsidRPr="00157B03" w:rsidRDefault="001272E6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Pr="00C17021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02/12.21/3422-2025</w:t>
            </w:r>
          </w:p>
        </w:tc>
      </w:tr>
      <w:tr w:rsidR="001272E6" w:rsidRPr="00D27DAA" w:rsidTr="00DA1EEB">
        <w:trPr>
          <w:trHeight w:val="729"/>
        </w:trPr>
        <w:tc>
          <w:tcPr>
            <w:tcW w:w="10255" w:type="dxa"/>
          </w:tcPr>
          <w:p w:rsidR="001272E6" w:rsidRPr="005D0853" w:rsidRDefault="001272E6" w:rsidP="001272E6">
            <w:pPr>
              <w:pStyle w:val="ListParagraph"/>
              <w:numPr>
                <w:ilvl w:val="0"/>
                <w:numId w:val="28"/>
              </w:numPr>
              <w:spacing w:after="160"/>
              <w:ind w:left="9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6841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«Քաղաքաշինության մասին» օրենքի 10-րդ հոդվածի 1-ին մասի 5-րդ կետի համաձայն՝ </w:t>
            </w:r>
            <w:r w:rsidRPr="004868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Կառավարությունը քաղաքաշինության բնագավառում հաստատում է շենքերի և շինությունների </w:t>
            </w:r>
            <w:r w:rsidRPr="001F5C92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տեխնիկական վիճակի հետազննության</w:t>
            </w:r>
            <w:r w:rsidRPr="004868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486841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F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անձնագրավորման կարգերը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մինչդեռ նախագծով սահմանված մի  շարք դրույթներ չեն կարող դիտարկվել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հետազննության կարգի մաս (օրինակ՝ հավելվածի 4-րդ, 5-րդ, 7-րդ, 8-րդ, 10-րդ, 18-21-րդ, 23-24-րդ, 26-27-րդ, 29-րդ և դրան հաջորդող մի շարք այլ կետեր):</w:t>
            </w:r>
          </w:p>
        </w:tc>
        <w:tc>
          <w:tcPr>
            <w:tcW w:w="3678" w:type="dxa"/>
            <w:vAlign w:val="center"/>
          </w:tcPr>
          <w:p w:rsidR="001272E6" w:rsidRPr="00F157CD" w:rsidRDefault="0058492B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Չի ընդունվել</w:t>
            </w:r>
          </w:p>
          <w:p w:rsidR="0058492B" w:rsidRPr="0058492B" w:rsidRDefault="0058492B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Մեկնաբանությունը մասնագիտական չէ</w:t>
            </w:r>
            <w:r w:rsidR="001751C2">
              <w:rPr>
                <w:rFonts w:ascii="GHEA Grapalat" w:hAnsi="GHEA Grapalat"/>
                <w:color w:val="000000"/>
                <w:lang w:val="en-US"/>
              </w:rPr>
              <w:t xml:space="preserve">: </w:t>
            </w:r>
            <w:r w:rsidR="001751C2">
              <w:rPr>
                <w:rFonts w:ascii="GHEA Grapalat" w:hAnsi="GHEA Grapalat"/>
                <w:color w:val="000000"/>
                <w:lang w:val="en-US"/>
              </w:rPr>
              <w:lastRenderedPageBreak/>
              <w:t xml:space="preserve">Քաղաքաշինության բնագավառում իրականացվող յուրաքանչյուր գործընթաց ուղղակիորեն փոխկապակցված է քաղաքաշինության նորմատիվ բոլոր իրավակարգավորումների ապահովման հետ, դրանք անջատ դիտարկել հնարավոր չէ: Ուստի ոլորտում որևէ գործընթացի նախաձեռնումը ենթադրում է մի շարք  հարակից գործողությունների և կարգավորումների համապատասխանեցման համալիր: </w:t>
            </w:r>
          </w:p>
        </w:tc>
      </w:tr>
      <w:tr w:rsidR="001272E6" w:rsidRPr="00D27DAA" w:rsidTr="00DA1EEB">
        <w:trPr>
          <w:trHeight w:val="729"/>
        </w:trPr>
        <w:tc>
          <w:tcPr>
            <w:tcW w:w="10255" w:type="dxa"/>
          </w:tcPr>
          <w:p w:rsidR="001272E6" w:rsidRPr="005D0853" w:rsidRDefault="001272E6" w:rsidP="001272E6">
            <w:pPr>
              <w:pStyle w:val="ListParagraph"/>
              <w:numPr>
                <w:ilvl w:val="0"/>
                <w:numId w:val="28"/>
              </w:numPr>
              <w:spacing w:after="160"/>
              <w:ind w:left="9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Նախագծում հղում է կատարված մի շարք իրավական ակտերի, որոնք արդիականության խնդիր ունեն (օրինակ՝ հավելվածի 11-րդ կետը):</w:t>
            </w:r>
          </w:p>
        </w:tc>
        <w:tc>
          <w:tcPr>
            <w:tcW w:w="3678" w:type="dxa"/>
            <w:vAlign w:val="center"/>
          </w:tcPr>
          <w:p w:rsidR="001272E6" w:rsidRPr="00F157CD" w:rsidRDefault="0058492B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Չի ընդունվել</w:t>
            </w:r>
          </w:p>
          <w:p w:rsidR="0058492B" w:rsidRPr="0058492B" w:rsidRDefault="0058492B" w:rsidP="00702854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lastRenderedPageBreak/>
              <w:t xml:space="preserve">Իրավական ակտի արդիականությունը չի որոշվում վերջինիս ընդունման տարեթվով, այն որոշվում է իր բովանդակությամբ, </w:t>
            </w:r>
            <w:r w:rsidR="00702854">
              <w:rPr>
                <w:rFonts w:ascii="GHEA Grapalat" w:hAnsi="GHEA Grapalat"/>
                <w:color w:val="000000"/>
                <w:lang w:val="en-US"/>
              </w:rPr>
              <w:t>արդի իրավա</w:t>
            </w:r>
            <w:r>
              <w:rPr>
                <w:rFonts w:ascii="GHEA Grapalat" w:hAnsi="GHEA Grapalat"/>
                <w:color w:val="000000"/>
                <w:lang w:val="en-US"/>
              </w:rPr>
              <w:t>կարգավոր</w:t>
            </w:r>
            <w:r w:rsidR="00702854">
              <w:rPr>
                <w:rFonts w:ascii="GHEA Grapalat" w:hAnsi="GHEA Grapalat"/>
                <w:color w:val="000000"/>
                <w:lang w:val="en-US"/>
              </w:rPr>
              <w:t>ումներով</w:t>
            </w:r>
          </w:p>
        </w:tc>
      </w:tr>
      <w:tr w:rsidR="001272E6" w:rsidRPr="00D27DAA" w:rsidTr="00DA1EEB">
        <w:trPr>
          <w:trHeight w:val="729"/>
        </w:trPr>
        <w:tc>
          <w:tcPr>
            <w:tcW w:w="10255" w:type="dxa"/>
          </w:tcPr>
          <w:p w:rsidR="001272E6" w:rsidRPr="005D0853" w:rsidRDefault="001272E6" w:rsidP="001272E6">
            <w:pPr>
              <w:pStyle w:val="ListParagraph"/>
              <w:numPr>
                <w:ilvl w:val="0"/>
                <w:numId w:val="28"/>
              </w:numPr>
              <w:spacing w:after="160"/>
              <w:ind w:left="9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հավելվածի 12-րդ կետի համաձայն՝ հետազննության գործիքային տեսակը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F5C92">
              <w:rPr>
                <w:rFonts w:ascii="GHEA Grapalat" w:hAnsi="GHEA Grapalat"/>
                <w:sz w:val="24"/>
                <w:szCs w:val="24"/>
                <w:lang w:val="hy-AM"/>
              </w:rPr>
              <w:t>պարտադիր է ՀՀ կառավարության 2015 թվականի մարտի 3-ի 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F5C92">
              <w:rPr>
                <w:rFonts w:ascii="GHEA Grapalat" w:hAnsi="GHEA Grapalat"/>
                <w:sz w:val="24"/>
                <w:szCs w:val="24"/>
                <w:lang w:val="hy-AM"/>
              </w:rPr>
              <w:t xml:space="preserve">596-Ն որոշմամբ սահմանված կարգի </w:t>
            </w:r>
            <w:r w:rsidRPr="001F5C9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բարձր (IV) և բարձրագույն (V) ռիսկայնության օբյեկտների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մինչդեռ ծանրակշիռ հիմնավորմ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ան կարիք ունի գործիքային հետազննությունը պարտադիր կերպով միայն վերոնշյալ օբյեկտների նկատմամբ կիրառելը:</w:t>
            </w:r>
          </w:p>
        </w:tc>
        <w:tc>
          <w:tcPr>
            <w:tcW w:w="3678" w:type="dxa"/>
            <w:vAlign w:val="center"/>
          </w:tcPr>
          <w:p w:rsidR="001272E6" w:rsidRDefault="0058492B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Ընդունվել է</w:t>
            </w:r>
          </w:p>
          <w:p w:rsidR="0058492B" w:rsidRPr="0058492B" w:rsidRDefault="0058492B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Կատարվել է համապատասխան լրացում</w:t>
            </w:r>
          </w:p>
        </w:tc>
      </w:tr>
      <w:tr w:rsidR="001272E6" w:rsidRPr="00D27DAA" w:rsidTr="00DA1EEB">
        <w:trPr>
          <w:trHeight w:val="729"/>
        </w:trPr>
        <w:tc>
          <w:tcPr>
            <w:tcW w:w="10255" w:type="dxa"/>
          </w:tcPr>
          <w:p w:rsidR="001272E6" w:rsidRPr="005D0853" w:rsidRDefault="001272E6" w:rsidP="001272E6">
            <w:pPr>
              <w:pStyle w:val="ListParagraph"/>
              <w:numPr>
                <w:ilvl w:val="0"/>
                <w:numId w:val="28"/>
              </w:numPr>
              <w:spacing w:after="160"/>
              <w:ind w:left="9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64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25-րդ կետի համաձայն՝ </w:t>
            </w:r>
            <w:r w:rsidRPr="0055645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շենքերի և շինությունների տեխնիկական վիճակի հետազննությունները պետք է </w:t>
            </w:r>
            <w:r w:rsidRPr="0055645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ծրագրվեն</w:t>
            </w:r>
            <w:r w:rsidRPr="0055645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(պատվիրվեն) վերջիններիս  սեփականատերերի՝ տնօրինողների, պետական մարմինների և համայնքների, ֆիզիկական կամ իրավաբանական անձանց, շենքի կառավարման մարմինների կողմից և այլն, </w:t>
            </w:r>
            <w:r w:rsidRPr="005666D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առավելագույնը 10 տարին մեկ պարբերականությամբ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, մինչդեռ, սույն կարգի շրջանակներում սեփականատերերի վրա նախատեսվող </w:t>
            </w:r>
            <w:r w:rsidRPr="005666D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պարտականության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սահմանման օրենսդրական հիմքերը որոշակիացման անհրաժեշտություն ունեն:</w:t>
            </w:r>
          </w:p>
        </w:tc>
        <w:tc>
          <w:tcPr>
            <w:tcW w:w="3678" w:type="dxa"/>
            <w:vAlign w:val="center"/>
          </w:tcPr>
          <w:p w:rsidR="001272E6" w:rsidRPr="00F157CD" w:rsidRDefault="00574A34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Ընդունվել է մասնակի</w:t>
            </w:r>
          </w:p>
          <w:p w:rsidR="00574A34" w:rsidRDefault="00574A34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Առաջարկվում է դիտարկել գործող կարգավորումը՝ ՀՀ կառ. 19.03.2015թ N274-Ն որոշման 4-րդ կետը, ինչպես նաև ՀՀ կառ.23.11.2023թ N2024-Ն որոշման </w:t>
            </w:r>
            <w:r>
              <w:rPr>
                <w:rFonts w:ascii="GHEA Grapalat" w:hAnsi="GHEA Grapalat"/>
                <w:color w:val="000000"/>
                <w:lang w:val="en-US"/>
              </w:rPr>
              <w:lastRenderedPageBreak/>
              <w:t>անալոգային կարգավորումները</w:t>
            </w:r>
          </w:p>
          <w:p w:rsidR="007B3996" w:rsidRPr="007B3996" w:rsidRDefault="007B3996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</w:tc>
      </w:tr>
      <w:tr w:rsidR="001272E6" w:rsidRPr="00D27DAA" w:rsidTr="00DA1EEB">
        <w:trPr>
          <w:trHeight w:val="729"/>
        </w:trPr>
        <w:tc>
          <w:tcPr>
            <w:tcW w:w="10255" w:type="dxa"/>
          </w:tcPr>
          <w:p w:rsidR="001272E6" w:rsidRPr="005D0853" w:rsidRDefault="001272E6" w:rsidP="001272E6">
            <w:pPr>
              <w:pStyle w:val="ListParagraph"/>
              <w:numPr>
                <w:ilvl w:val="0"/>
                <w:numId w:val="28"/>
              </w:numPr>
              <w:spacing w:after="160"/>
              <w:ind w:left="9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64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2-րդ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3678" w:type="dxa"/>
            <w:vAlign w:val="center"/>
          </w:tcPr>
          <w:p w:rsidR="001272E6" w:rsidRPr="00F157CD" w:rsidRDefault="00574A34" w:rsidP="001272E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157CD">
              <w:rPr>
                <w:rFonts w:ascii="GHEA Grapalat" w:hAnsi="GHEA Grapalat"/>
                <w:b/>
                <w:color w:val="000000"/>
                <w:lang w:val="en-US"/>
              </w:rPr>
              <w:t>Ընդունվել է</w:t>
            </w:r>
          </w:p>
          <w:p w:rsidR="00EE34E7" w:rsidRPr="00574A34" w:rsidRDefault="00EE34E7" w:rsidP="001272E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Կատարվել է համապատասխան փոփոխություն</w:t>
            </w:r>
          </w:p>
        </w:tc>
      </w:tr>
    </w:tbl>
    <w:p w:rsidR="002E1FFA" w:rsidRPr="00471BAF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471BAF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CA2" w:rsidRDefault="00A96CA2" w:rsidP="00AA1821">
      <w:r>
        <w:separator/>
      </w:r>
    </w:p>
  </w:endnote>
  <w:endnote w:type="continuationSeparator" w:id="0">
    <w:p w:rsidR="00A96CA2" w:rsidRDefault="00A96CA2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CC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CA2" w:rsidRDefault="00A96CA2" w:rsidP="00AA1821">
      <w:r>
        <w:separator/>
      </w:r>
    </w:p>
  </w:footnote>
  <w:footnote w:type="continuationSeparator" w:id="0">
    <w:p w:rsidR="00A96CA2" w:rsidRDefault="00A96CA2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A22210"/>
    <w:multiLevelType w:val="hybridMultilevel"/>
    <w:tmpl w:val="091CE6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9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1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8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8"/>
  </w:num>
  <w:num w:numId="5">
    <w:abstractNumId w:val="7"/>
  </w:num>
  <w:num w:numId="6">
    <w:abstractNumId w:val="22"/>
  </w:num>
  <w:num w:numId="7">
    <w:abstractNumId w:val="12"/>
  </w:num>
  <w:num w:numId="8">
    <w:abstractNumId w:val="2"/>
  </w:num>
  <w:num w:numId="9">
    <w:abstractNumId w:val="5"/>
  </w:num>
  <w:num w:numId="10">
    <w:abstractNumId w:val="14"/>
  </w:num>
  <w:num w:numId="11">
    <w:abstractNumId w:val="21"/>
  </w:num>
  <w:num w:numId="12">
    <w:abstractNumId w:val="15"/>
  </w:num>
  <w:num w:numId="13">
    <w:abstractNumId w:val="8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4"/>
  </w:num>
  <w:num w:numId="17">
    <w:abstractNumId w:val="20"/>
  </w:num>
  <w:num w:numId="18">
    <w:abstractNumId w:val="26"/>
  </w:num>
  <w:num w:numId="19">
    <w:abstractNumId w:val="19"/>
  </w:num>
  <w:num w:numId="20">
    <w:abstractNumId w:val="11"/>
  </w:num>
  <w:num w:numId="21">
    <w:abstractNumId w:val="16"/>
  </w:num>
  <w:num w:numId="22">
    <w:abstractNumId w:val="25"/>
  </w:num>
  <w:num w:numId="23">
    <w:abstractNumId w:val="10"/>
  </w:num>
  <w:num w:numId="24">
    <w:abstractNumId w:val="17"/>
  </w:num>
  <w:num w:numId="25">
    <w:abstractNumId w:val="23"/>
  </w:num>
  <w:num w:numId="26">
    <w:abstractNumId w:val="3"/>
  </w:num>
  <w:num w:numId="27">
    <w:abstractNumId w:val="9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27BBB"/>
    <w:rsid w:val="00032165"/>
    <w:rsid w:val="00033495"/>
    <w:rsid w:val="00041293"/>
    <w:rsid w:val="0004134D"/>
    <w:rsid w:val="00057F0D"/>
    <w:rsid w:val="000652D9"/>
    <w:rsid w:val="000652E0"/>
    <w:rsid w:val="00075F5D"/>
    <w:rsid w:val="0008052D"/>
    <w:rsid w:val="00086714"/>
    <w:rsid w:val="0009173F"/>
    <w:rsid w:val="0009258E"/>
    <w:rsid w:val="000931BE"/>
    <w:rsid w:val="000A194C"/>
    <w:rsid w:val="000A1B41"/>
    <w:rsid w:val="000A455E"/>
    <w:rsid w:val="000B2E4B"/>
    <w:rsid w:val="000C1BA0"/>
    <w:rsid w:val="000D75C0"/>
    <w:rsid w:val="000F0E14"/>
    <w:rsid w:val="00110D76"/>
    <w:rsid w:val="001272E6"/>
    <w:rsid w:val="001427E0"/>
    <w:rsid w:val="00147D8F"/>
    <w:rsid w:val="00151B32"/>
    <w:rsid w:val="00157B03"/>
    <w:rsid w:val="001668FE"/>
    <w:rsid w:val="001671CE"/>
    <w:rsid w:val="00172C2C"/>
    <w:rsid w:val="001751C2"/>
    <w:rsid w:val="001846DC"/>
    <w:rsid w:val="001851A4"/>
    <w:rsid w:val="001B4F1E"/>
    <w:rsid w:val="001C17FD"/>
    <w:rsid w:val="001D31CE"/>
    <w:rsid w:val="001D42C9"/>
    <w:rsid w:val="001E0EBB"/>
    <w:rsid w:val="001F3351"/>
    <w:rsid w:val="001F4AEE"/>
    <w:rsid w:val="00215E46"/>
    <w:rsid w:val="002218A0"/>
    <w:rsid w:val="00227163"/>
    <w:rsid w:val="00227824"/>
    <w:rsid w:val="00236D5C"/>
    <w:rsid w:val="002413C0"/>
    <w:rsid w:val="00260AE7"/>
    <w:rsid w:val="00276292"/>
    <w:rsid w:val="002802A4"/>
    <w:rsid w:val="0028169A"/>
    <w:rsid w:val="00292339"/>
    <w:rsid w:val="00295D24"/>
    <w:rsid w:val="002A38E9"/>
    <w:rsid w:val="002B114E"/>
    <w:rsid w:val="002B4A54"/>
    <w:rsid w:val="002C2CB9"/>
    <w:rsid w:val="002C6635"/>
    <w:rsid w:val="002C73FE"/>
    <w:rsid w:val="002D7A90"/>
    <w:rsid w:val="002E1FFA"/>
    <w:rsid w:val="002E3D46"/>
    <w:rsid w:val="002E3FDD"/>
    <w:rsid w:val="002E4873"/>
    <w:rsid w:val="002E5BD4"/>
    <w:rsid w:val="002E5DC9"/>
    <w:rsid w:val="002F509C"/>
    <w:rsid w:val="002F7EB8"/>
    <w:rsid w:val="0030647A"/>
    <w:rsid w:val="00317BDE"/>
    <w:rsid w:val="00320591"/>
    <w:rsid w:val="003265AA"/>
    <w:rsid w:val="0033304D"/>
    <w:rsid w:val="00334725"/>
    <w:rsid w:val="00334873"/>
    <w:rsid w:val="0034373B"/>
    <w:rsid w:val="00343935"/>
    <w:rsid w:val="003508E0"/>
    <w:rsid w:val="00353368"/>
    <w:rsid w:val="003644D2"/>
    <w:rsid w:val="00364639"/>
    <w:rsid w:val="003869C4"/>
    <w:rsid w:val="00396FCD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20BC1"/>
    <w:rsid w:val="00430A9B"/>
    <w:rsid w:val="004329B2"/>
    <w:rsid w:val="00433CAC"/>
    <w:rsid w:val="00445BFD"/>
    <w:rsid w:val="00471719"/>
    <w:rsid w:val="00471BAF"/>
    <w:rsid w:val="00474E35"/>
    <w:rsid w:val="00477B2C"/>
    <w:rsid w:val="004834EF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D14DF"/>
    <w:rsid w:val="004D27DD"/>
    <w:rsid w:val="004E2FC2"/>
    <w:rsid w:val="004E6932"/>
    <w:rsid w:val="004E76FB"/>
    <w:rsid w:val="004F3154"/>
    <w:rsid w:val="004F58A1"/>
    <w:rsid w:val="004F7D92"/>
    <w:rsid w:val="005017B5"/>
    <w:rsid w:val="0050381D"/>
    <w:rsid w:val="00505215"/>
    <w:rsid w:val="00516D20"/>
    <w:rsid w:val="005232BA"/>
    <w:rsid w:val="00531B10"/>
    <w:rsid w:val="00532FC4"/>
    <w:rsid w:val="00550122"/>
    <w:rsid w:val="00557180"/>
    <w:rsid w:val="00560183"/>
    <w:rsid w:val="00573225"/>
    <w:rsid w:val="00574A34"/>
    <w:rsid w:val="00575728"/>
    <w:rsid w:val="0058034B"/>
    <w:rsid w:val="0058492B"/>
    <w:rsid w:val="00585F96"/>
    <w:rsid w:val="00590AC9"/>
    <w:rsid w:val="00590D26"/>
    <w:rsid w:val="005A3D13"/>
    <w:rsid w:val="005A7E61"/>
    <w:rsid w:val="005B695C"/>
    <w:rsid w:val="005C28AA"/>
    <w:rsid w:val="005D0853"/>
    <w:rsid w:val="005E01A2"/>
    <w:rsid w:val="005E0E7A"/>
    <w:rsid w:val="005F1DC9"/>
    <w:rsid w:val="00612510"/>
    <w:rsid w:val="0061461A"/>
    <w:rsid w:val="0062007E"/>
    <w:rsid w:val="00623E7C"/>
    <w:rsid w:val="006500BA"/>
    <w:rsid w:val="006550C1"/>
    <w:rsid w:val="0066458C"/>
    <w:rsid w:val="0066664C"/>
    <w:rsid w:val="00667147"/>
    <w:rsid w:val="00667681"/>
    <w:rsid w:val="00681640"/>
    <w:rsid w:val="006829C4"/>
    <w:rsid w:val="00684526"/>
    <w:rsid w:val="006863CE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702854"/>
    <w:rsid w:val="0070449D"/>
    <w:rsid w:val="00704A39"/>
    <w:rsid w:val="00713CFC"/>
    <w:rsid w:val="00717670"/>
    <w:rsid w:val="00726475"/>
    <w:rsid w:val="00732D7F"/>
    <w:rsid w:val="00735FEB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93BF7"/>
    <w:rsid w:val="00794EFB"/>
    <w:rsid w:val="007B3996"/>
    <w:rsid w:val="007C2737"/>
    <w:rsid w:val="007C2C1F"/>
    <w:rsid w:val="007D1235"/>
    <w:rsid w:val="008203AD"/>
    <w:rsid w:val="008270A1"/>
    <w:rsid w:val="00847341"/>
    <w:rsid w:val="00850DB3"/>
    <w:rsid w:val="00860667"/>
    <w:rsid w:val="008619F6"/>
    <w:rsid w:val="00861DC5"/>
    <w:rsid w:val="00880CAF"/>
    <w:rsid w:val="00881D73"/>
    <w:rsid w:val="00885F33"/>
    <w:rsid w:val="008910D1"/>
    <w:rsid w:val="008B1996"/>
    <w:rsid w:val="008B6769"/>
    <w:rsid w:val="008E5564"/>
    <w:rsid w:val="0090236B"/>
    <w:rsid w:val="009329BD"/>
    <w:rsid w:val="00934454"/>
    <w:rsid w:val="00936E84"/>
    <w:rsid w:val="00937736"/>
    <w:rsid w:val="009414E5"/>
    <w:rsid w:val="00955F2C"/>
    <w:rsid w:val="00967788"/>
    <w:rsid w:val="0097183B"/>
    <w:rsid w:val="0097461E"/>
    <w:rsid w:val="00981396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7571"/>
    <w:rsid w:val="00A448D6"/>
    <w:rsid w:val="00A55C3E"/>
    <w:rsid w:val="00A5678D"/>
    <w:rsid w:val="00A66BAC"/>
    <w:rsid w:val="00A75A6E"/>
    <w:rsid w:val="00A96CA2"/>
    <w:rsid w:val="00AA1821"/>
    <w:rsid w:val="00AA57DD"/>
    <w:rsid w:val="00AB0E60"/>
    <w:rsid w:val="00AB18B3"/>
    <w:rsid w:val="00AD54FB"/>
    <w:rsid w:val="00AE2C1F"/>
    <w:rsid w:val="00AE7E5F"/>
    <w:rsid w:val="00AF1909"/>
    <w:rsid w:val="00AF1E70"/>
    <w:rsid w:val="00AF1EA7"/>
    <w:rsid w:val="00AF25E0"/>
    <w:rsid w:val="00B2793A"/>
    <w:rsid w:val="00B30686"/>
    <w:rsid w:val="00B359D5"/>
    <w:rsid w:val="00B40851"/>
    <w:rsid w:val="00B429E8"/>
    <w:rsid w:val="00B611FF"/>
    <w:rsid w:val="00B7431C"/>
    <w:rsid w:val="00B83A3C"/>
    <w:rsid w:val="00B87843"/>
    <w:rsid w:val="00B93A63"/>
    <w:rsid w:val="00B97BE9"/>
    <w:rsid w:val="00BA2BBD"/>
    <w:rsid w:val="00BA32C4"/>
    <w:rsid w:val="00BA783F"/>
    <w:rsid w:val="00BA7AD2"/>
    <w:rsid w:val="00BB2365"/>
    <w:rsid w:val="00BC2876"/>
    <w:rsid w:val="00BD4E74"/>
    <w:rsid w:val="00BE45BB"/>
    <w:rsid w:val="00BF0663"/>
    <w:rsid w:val="00BF7198"/>
    <w:rsid w:val="00C00249"/>
    <w:rsid w:val="00C12832"/>
    <w:rsid w:val="00C17021"/>
    <w:rsid w:val="00C1744A"/>
    <w:rsid w:val="00C32F07"/>
    <w:rsid w:val="00C374B3"/>
    <w:rsid w:val="00C41817"/>
    <w:rsid w:val="00C64678"/>
    <w:rsid w:val="00C77DF3"/>
    <w:rsid w:val="00C800D3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D006BE"/>
    <w:rsid w:val="00D11EFF"/>
    <w:rsid w:val="00D139F5"/>
    <w:rsid w:val="00D27DAA"/>
    <w:rsid w:val="00D3019A"/>
    <w:rsid w:val="00D30472"/>
    <w:rsid w:val="00D42093"/>
    <w:rsid w:val="00D578D1"/>
    <w:rsid w:val="00D6719B"/>
    <w:rsid w:val="00D9316B"/>
    <w:rsid w:val="00D93D21"/>
    <w:rsid w:val="00DA1EEB"/>
    <w:rsid w:val="00DA21C5"/>
    <w:rsid w:val="00DA7A56"/>
    <w:rsid w:val="00DB0F43"/>
    <w:rsid w:val="00DB3C52"/>
    <w:rsid w:val="00DC268D"/>
    <w:rsid w:val="00DD661F"/>
    <w:rsid w:val="00DE4557"/>
    <w:rsid w:val="00DE7A47"/>
    <w:rsid w:val="00E0374A"/>
    <w:rsid w:val="00E43475"/>
    <w:rsid w:val="00E51EE8"/>
    <w:rsid w:val="00E62345"/>
    <w:rsid w:val="00E72F50"/>
    <w:rsid w:val="00E7430A"/>
    <w:rsid w:val="00E76FEC"/>
    <w:rsid w:val="00E80D5E"/>
    <w:rsid w:val="00EB12B7"/>
    <w:rsid w:val="00EB1843"/>
    <w:rsid w:val="00EC010D"/>
    <w:rsid w:val="00ED4A4E"/>
    <w:rsid w:val="00ED503E"/>
    <w:rsid w:val="00EE34E7"/>
    <w:rsid w:val="00EE48AC"/>
    <w:rsid w:val="00EF7495"/>
    <w:rsid w:val="00EF7FEE"/>
    <w:rsid w:val="00F03A5F"/>
    <w:rsid w:val="00F10A4D"/>
    <w:rsid w:val="00F10B53"/>
    <w:rsid w:val="00F13DD0"/>
    <w:rsid w:val="00F14FE9"/>
    <w:rsid w:val="00F157CD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B3350"/>
    <w:rsid w:val="00FC5467"/>
    <w:rsid w:val="00FC61FB"/>
    <w:rsid w:val="00FC662E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5CA4E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272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272E6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57C5FE-1819-4979-883F-39E3CA15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15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https://mul2-mud.gov.am/tasks/830240/oneclick?token=27e2e64f39dd4a77846e9f54ae1eeb1d</cp:keywords>
  <dc:description/>
  <cp:lastModifiedBy>Ruzanna Adamyan</cp:lastModifiedBy>
  <cp:revision>28</cp:revision>
  <dcterms:created xsi:type="dcterms:W3CDTF">2024-12-09T08:26:00Z</dcterms:created>
  <dcterms:modified xsi:type="dcterms:W3CDTF">2025-03-20T13:51:00Z</dcterms:modified>
</cp:coreProperties>
</file>