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0228EA" w14:textId="77777777" w:rsidR="00BF77CE" w:rsidRDefault="00BF77CE" w:rsidP="00BF77CE">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Pr>
          <w:rFonts w:ascii="GHEA Grapalat" w:hAnsi="GHEA Grapalat"/>
          <w:b/>
          <w:lang w:val="hy-AM"/>
        </w:rPr>
        <w:t>ՀԻՄՆԱՎՈՐՈՒՄ</w:t>
      </w:r>
    </w:p>
    <w:p w14:paraId="23E8661C" w14:textId="77777777" w:rsidR="00BF77CE" w:rsidRDefault="00BF77CE" w:rsidP="00BF77CE">
      <w:pPr>
        <w:spacing w:before="240"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t>ՀԱՅԱՍՏԱՆԻ ՀԱՆՐԱՊԵՏՈՒԹՅԱՆ ԿԱՌԱՎԱՐՈՒԹՅԱՆ 2022 ԹՎԱԿԱՆԻ ԴԵԿՏԵՄԲԵՐԻ 15-Ի N 1950-Ն ՈՐՈՇՄԱՆ ՄԵՋ ՓՈՓՈԽՈՒԹՅՈՒՆ ԿԱՏԱՐԵԼՈՒ ՄԱՍԻՆ ՀՀ ԿԱՌԱՎԱՐՈՒԹՅԱՆ ՈՐՈՇՄԱՆ ՆԱԽԱԳԾԻ</w:t>
      </w:r>
    </w:p>
    <w:tbl>
      <w:tblPr>
        <w:tblW w:w="0"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97"/>
        <w:gridCol w:w="10082"/>
        <w:gridCol w:w="14"/>
      </w:tblGrid>
      <w:tr w:rsidR="00BF77CE" w14:paraId="56459CD7" w14:textId="77777777" w:rsidTr="00BF77CE">
        <w:tc>
          <w:tcPr>
            <w:tcW w:w="10793" w:type="dxa"/>
            <w:gridSpan w:val="3"/>
            <w:tcBorders>
              <w:top w:val="single" w:sz="4" w:space="0" w:color="000000"/>
              <w:left w:val="single" w:sz="4" w:space="0" w:color="000000"/>
              <w:bottom w:val="single" w:sz="4" w:space="0" w:color="000000"/>
              <w:right w:val="single" w:sz="4" w:space="0" w:color="000000"/>
            </w:tcBorders>
            <w:hideMark/>
          </w:tcPr>
          <w:p w14:paraId="25A2167E" w14:textId="77777777" w:rsidR="00BF77CE" w:rsidRDefault="00BF77CE">
            <w:pPr>
              <w:widowControl w:val="0"/>
              <w:spacing w:line="360" w:lineRule="auto"/>
              <w:jc w:val="both"/>
              <w:rPr>
                <w:rFonts w:ascii="GHEA Grapalat" w:hAnsi="GHEA Grapalat"/>
                <w:b/>
                <w:lang w:val="en-US" w:eastAsia="en-US"/>
              </w:rPr>
            </w:pPr>
            <w:r>
              <w:rPr>
                <w:rFonts w:ascii="GHEA Grapalat" w:hAnsi="GHEA Grapalat"/>
                <w:b/>
                <w:lang w:val="en-US" w:eastAsia="en-US"/>
              </w:rPr>
              <w:t>Իրավական ակտի հիմնավորումը</w:t>
            </w:r>
          </w:p>
        </w:tc>
      </w:tr>
      <w:tr w:rsidR="00BF77CE" w14:paraId="647B35CD" w14:textId="77777777" w:rsidTr="00BF77CE">
        <w:trPr>
          <w:gridAfter w:val="1"/>
          <w:wAfter w:w="14" w:type="dxa"/>
          <w:trHeight w:val="350"/>
        </w:trPr>
        <w:tc>
          <w:tcPr>
            <w:tcW w:w="697" w:type="dxa"/>
            <w:tcBorders>
              <w:top w:val="single" w:sz="4" w:space="0" w:color="000000"/>
              <w:left w:val="single" w:sz="4" w:space="0" w:color="000000"/>
              <w:bottom w:val="single" w:sz="4" w:space="0" w:color="000000"/>
              <w:right w:val="single" w:sz="4" w:space="0" w:color="000000"/>
            </w:tcBorders>
            <w:hideMark/>
          </w:tcPr>
          <w:p w14:paraId="479EBF5E" w14:textId="77777777" w:rsidR="00BF77CE" w:rsidRDefault="00BF77CE">
            <w:pPr>
              <w:widowControl w:val="0"/>
              <w:spacing w:line="360" w:lineRule="auto"/>
              <w:jc w:val="both"/>
              <w:rPr>
                <w:rFonts w:ascii="GHEA Grapalat" w:hAnsi="GHEA Grapalat"/>
                <w:b/>
                <w:lang w:val="en-US" w:eastAsia="en-US"/>
              </w:rPr>
            </w:pPr>
            <w:r>
              <w:rPr>
                <w:rFonts w:ascii="GHEA Grapalat" w:hAnsi="GHEA Grapalat"/>
                <w:b/>
                <w:lang w:val="en-US" w:eastAsia="en-US"/>
              </w:rPr>
              <w:t>1.</w:t>
            </w:r>
          </w:p>
        </w:tc>
        <w:tc>
          <w:tcPr>
            <w:tcW w:w="10082" w:type="dxa"/>
            <w:tcBorders>
              <w:top w:val="single" w:sz="4" w:space="0" w:color="000000"/>
              <w:left w:val="single" w:sz="4" w:space="0" w:color="000000"/>
              <w:bottom w:val="single" w:sz="4" w:space="0" w:color="000000"/>
              <w:right w:val="single" w:sz="4" w:space="0" w:color="000000"/>
            </w:tcBorders>
            <w:hideMark/>
          </w:tcPr>
          <w:p w14:paraId="30205C21" w14:textId="77777777" w:rsidR="00BF77CE" w:rsidRDefault="00BF77CE">
            <w:pPr>
              <w:widowControl w:val="0"/>
              <w:spacing w:line="360" w:lineRule="auto"/>
              <w:jc w:val="both"/>
              <w:rPr>
                <w:rFonts w:ascii="GHEA Grapalat" w:hAnsi="GHEA Grapalat"/>
                <w:b/>
                <w:lang w:val="en-US" w:eastAsia="en-US"/>
              </w:rPr>
            </w:pPr>
            <w:r>
              <w:rPr>
                <w:rFonts w:ascii="GHEA Grapalat" w:hAnsi="GHEA Grapalat"/>
                <w:b/>
                <w:lang w:val="en-US" w:eastAsia="en-US"/>
              </w:rPr>
              <w:t>Անհրաժեշտությունը</w:t>
            </w:r>
          </w:p>
        </w:tc>
      </w:tr>
      <w:tr w:rsidR="00BF77CE" w14:paraId="2AE27D45" w14:textId="77777777" w:rsidTr="00BF77CE">
        <w:trPr>
          <w:gridAfter w:val="1"/>
          <w:wAfter w:w="14" w:type="dxa"/>
          <w:trHeight w:val="454"/>
        </w:trPr>
        <w:tc>
          <w:tcPr>
            <w:tcW w:w="697" w:type="dxa"/>
            <w:tcBorders>
              <w:top w:val="single" w:sz="4" w:space="0" w:color="000000"/>
              <w:left w:val="single" w:sz="4" w:space="0" w:color="000000"/>
              <w:bottom w:val="single" w:sz="4" w:space="0" w:color="000000"/>
              <w:right w:val="single" w:sz="4" w:space="0" w:color="000000"/>
            </w:tcBorders>
          </w:tcPr>
          <w:p w14:paraId="65CBF52D" w14:textId="77777777" w:rsidR="00BF77CE" w:rsidRDefault="00BF77CE">
            <w:pPr>
              <w:widowControl w:val="0"/>
              <w:spacing w:line="360" w:lineRule="auto"/>
              <w:jc w:val="both"/>
              <w:rPr>
                <w:rFonts w:ascii="GHEA Grapalat" w:hAnsi="GHEA Grapalat"/>
                <w:lang w:val="en-US"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14:paraId="5C89BB47" w14:textId="77777777" w:rsidR="00BF77CE" w:rsidRDefault="00BF77CE">
            <w:pPr>
              <w:spacing w:line="360" w:lineRule="auto"/>
              <w:ind w:firstLine="720"/>
              <w:jc w:val="both"/>
              <w:rPr>
                <w:rFonts w:ascii="GHEA Grapalat" w:hAnsi="GHEA Grapalat"/>
                <w:shd w:val="clear" w:color="auto" w:fill="FFFFFF"/>
                <w:lang w:val="hy-AM"/>
              </w:rPr>
            </w:pPr>
            <w:r>
              <w:rPr>
                <w:rFonts w:ascii="GHEA Grapalat" w:hAnsi="GHEA Grapalat"/>
                <w:lang w:val="hy-AM"/>
              </w:rPr>
              <w:t xml:space="preserve">Նախագծի ընդունումը պայմանավորված է </w:t>
            </w:r>
            <w:r>
              <w:rPr>
                <w:rFonts w:ascii="GHEA Grapalat" w:hAnsi="GHEA Grapalat"/>
                <w:color w:val="000000"/>
                <w:shd w:val="clear" w:color="auto" w:fill="FFFFFF"/>
                <w:lang w:val="hy-AM"/>
              </w:rPr>
              <w:t xml:space="preserve">անձի ֆունկցիոնալության գնահատման գործընթացը անխափան կազմակերպելու </w:t>
            </w:r>
            <w:r>
              <w:rPr>
                <w:rFonts w:ascii="GHEA Grapalat" w:hAnsi="GHEA Grapalat"/>
                <w:lang w:val="hy-AM"/>
              </w:rPr>
              <w:t>անհրաժեշտությամբ</w:t>
            </w:r>
            <w:r>
              <w:rPr>
                <w:rFonts w:ascii="GHEA Grapalat" w:hAnsi="GHEA Grapalat"/>
                <w:color w:val="000000"/>
                <w:shd w:val="clear" w:color="auto" w:fill="FFFFFF"/>
                <w:lang w:val="hy-AM"/>
              </w:rPr>
              <w:t>։</w:t>
            </w:r>
          </w:p>
        </w:tc>
      </w:tr>
      <w:tr w:rsidR="00BF77CE" w14:paraId="0F2B77C8" w14:textId="77777777" w:rsidTr="00BF77CE">
        <w:trPr>
          <w:gridAfter w:val="1"/>
          <w:wAfter w:w="14" w:type="dxa"/>
          <w:trHeight w:val="409"/>
        </w:trPr>
        <w:tc>
          <w:tcPr>
            <w:tcW w:w="697" w:type="dxa"/>
            <w:tcBorders>
              <w:top w:val="single" w:sz="4" w:space="0" w:color="000000"/>
              <w:left w:val="single" w:sz="4" w:space="0" w:color="000000"/>
              <w:bottom w:val="single" w:sz="4" w:space="0" w:color="000000"/>
              <w:right w:val="single" w:sz="4" w:space="0" w:color="000000"/>
            </w:tcBorders>
            <w:hideMark/>
          </w:tcPr>
          <w:p w14:paraId="4DEC77D0" w14:textId="77777777" w:rsidR="00BF77CE" w:rsidRDefault="00BF77CE">
            <w:pPr>
              <w:widowControl w:val="0"/>
              <w:spacing w:line="360" w:lineRule="auto"/>
              <w:jc w:val="both"/>
              <w:rPr>
                <w:rFonts w:ascii="GHEA Grapalat" w:hAnsi="GHEA Grapalat"/>
                <w:b/>
                <w:lang w:val="en-US" w:eastAsia="en-US"/>
              </w:rPr>
            </w:pPr>
            <w:r>
              <w:rPr>
                <w:rFonts w:ascii="GHEA Grapalat" w:hAnsi="GHEA Grapalat"/>
                <w:b/>
                <w:lang w:val="en-US" w:eastAsia="en-US"/>
              </w:rPr>
              <w:t>2.</w:t>
            </w:r>
          </w:p>
        </w:tc>
        <w:tc>
          <w:tcPr>
            <w:tcW w:w="10082" w:type="dxa"/>
            <w:tcBorders>
              <w:top w:val="single" w:sz="4" w:space="0" w:color="000000"/>
              <w:left w:val="single" w:sz="4" w:space="0" w:color="000000"/>
              <w:bottom w:val="single" w:sz="4" w:space="0" w:color="000000"/>
              <w:right w:val="single" w:sz="4" w:space="0" w:color="000000"/>
            </w:tcBorders>
            <w:hideMark/>
          </w:tcPr>
          <w:p w14:paraId="03BD45CD" w14:textId="77777777" w:rsidR="00BF77CE" w:rsidRDefault="00BF77CE">
            <w:pPr>
              <w:widowControl w:val="0"/>
              <w:spacing w:line="360" w:lineRule="auto"/>
              <w:jc w:val="both"/>
              <w:rPr>
                <w:rFonts w:ascii="GHEA Grapalat" w:hAnsi="GHEA Grapalat"/>
                <w:b/>
                <w:lang w:val="en-US" w:eastAsia="en-US"/>
              </w:rPr>
            </w:pPr>
            <w:r>
              <w:rPr>
                <w:rFonts w:ascii="GHEA Grapalat" w:hAnsi="GHEA Grapalat"/>
                <w:b/>
                <w:lang w:val="hy-AM" w:eastAsia="en-US"/>
              </w:rPr>
              <w:t>Առկա</w:t>
            </w:r>
            <w:r>
              <w:rPr>
                <w:rFonts w:ascii="GHEA Grapalat" w:hAnsi="GHEA Grapalat"/>
                <w:b/>
                <w:lang w:val="en-US" w:eastAsia="en-US"/>
              </w:rPr>
              <w:t xml:space="preserve"> իրավիճակը և խնդիրները</w:t>
            </w:r>
          </w:p>
        </w:tc>
      </w:tr>
      <w:tr w:rsidR="00BF77CE" w:rsidRPr="00BF77CE" w14:paraId="48FFE28E" w14:textId="77777777" w:rsidTr="00BF77CE">
        <w:trPr>
          <w:gridAfter w:val="1"/>
          <w:wAfter w:w="14" w:type="dxa"/>
        </w:trPr>
        <w:tc>
          <w:tcPr>
            <w:tcW w:w="697" w:type="dxa"/>
            <w:tcBorders>
              <w:top w:val="single" w:sz="4" w:space="0" w:color="000000"/>
              <w:left w:val="single" w:sz="4" w:space="0" w:color="000000"/>
              <w:bottom w:val="single" w:sz="4" w:space="0" w:color="000000"/>
              <w:right w:val="single" w:sz="4" w:space="0" w:color="000000"/>
            </w:tcBorders>
          </w:tcPr>
          <w:p w14:paraId="119EF0E0" w14:textId="77777777" w:rsidR="00BF77CE" w:rsidRDefault="00BF77CE">
            <w:pPr>
              <w:widowControl w:val="0"/>
              <w:spacing w:line="360" w:lineRule="auto"/>
              <w:jc w:val="both"/>
              <w:rPr>
                <w:rFonts w:ascii="GHEA Grapalat" w:hAnsi="GHEA Grapalat"/>
                <w:lang w:val="en-US" w:eastAsia="en-US"/>
              </w:rPr>
            </w:pPr>
          </w:p>
        </w:tc>
        <w:tc>
          <w:tcPr>
            <w:tcW w:w="10082" w:type="dxa"/>
            <w:tcBorders>
              <w:top w:val="single" w:sz="4" w:space="0" w:color="000000"/>
              <w:left w:val="single" w:sz="4" w:space="0" w:color="000000"/>
              <w:bottom w:val="single" w:sz="4" w:space="0" w:color="000000"/>
              <w:right w:val="single" w:sz="4" w:space="0" w:color="000000"/>
            </w:tcBorders>
          </w:tcPr>
          <w:p w14:paraId="198B8437" w14:textId="77777777" w:rsidR="00BF77CE" w:rsidRDefault="00BF77CE">
            <w:pPr>
              <w:widowControl w:val="0"/>
              <w:tabs>
                <w:tab w:val="left" w:pos="993"/>
              </w:tabs>
              <w:spacing w:line="360" w:lineRule="auto"/>
              <w:ind w:left="70" w:firstLine="540"/>
              <w:jc w:val="both"/>
              <w:rPr>
                <w:rFonts w:ascii="GHEA Grapalat" w:hAnsi="GHEA Grapalat"/>
                <w:lang w:val="hy-AM"/>
              </w:rPr>
            </w:pPr>
            <w:r>
              <w:rPr>
                <w:rFonts w:ascii="GHEA Grapalat" w:hAnsi="GHEA Grapalat"/>
                <w:lang w:val="hy-AM"/>
              </w:rPr>
              <w:t xml:space="preserve">Համաձայն ՀՀ կառավարության 2022 թվականի 1950-Ն որոշման 3-րդ կետի 2026 թվականի հունվարի 1-ից ուժը կորցրած է ճանաչվում </w:t>
            </w:r>
            <w:r>
              <w:rPr>
                <w:rFonts w:ascii="GHEA Grapalat" w:hAnsi="GHEA Grapalat"/>
                <w:color w:val="000000"/>
                <w:shd w:val="clear" w:color="auto" w:fill="FFFFFF"/>
                <w:lang w:val="hy-AM"/>
              </w:rPr>
              <w:t>Հայաստանի Հանրապետության կառավարության 2014 թվականի հուլիսի 3-ի «Պետական իշխանության մարմիններում քաղաքացիական աշխատանք կատարող և տեխնիկական սպասարկում իրականացնող անձանց պաշտոնային դրույքաչափերը սահմանելու մասին» N 737-Ն որոշման N 1 հավելվածի «ՍՈՑԻԱԼԱԿԱՆ ՈԼՈՐՏ» բաժնի 21.2՝ «անձի ֆունկցիոնալությունը գնահատող մասնագետ» կետը,</w:t>
            </w:r>
            <w:r>
              <w:rPr>
                <w:rFonts w:ascii="Calibri" w:hAnsi="Calibri" w:cs="Calibri"/>
                <w:color w:val="000000"/>
                <w:shd w:val="clear" w:color="auto" w:fill="FFFFFF"/>
                <w:lang w:val="hy-AM"/>
              </w:rPr>
              <w:t> </w:t>
            </w:r>
            <w:r>
              <w:rPr>
                <w:rFonts w:ascii="GHEA Grapalat" w:hAnsi="GHEA Grapalat" w:cs="GHEA Grapalat"/>
                <w:color w:val="000000"/>
                <w:shd w:val="clear" w:color="auto" w:fill="FFFFFF"/>
                <w:lang w:val="hy-AM"/>
              </w:rPr>
              <w:t>այն</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նկատառումով</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որ</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դրանից</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հետո</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նշված</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մասնագետների</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վարձատրությունը</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կկազմակերպվի</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գործավճարի</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սկզբունքով</w:t>
            </w:r>
            <w:r>
              <w:rPr>
                <w:rFonts w:ascii="GHEA Grapalat" w:hAnsi="GHEA Grapalat"/>
                <w:color w:val="000000"/>
                <w:shd w:val="clear" w:color="auto" w:fill="FFFFFF"/>
                <w:lang w:val="hy-AM"/>
              </w:rPr>
              <w:t>։</w:t>
            </w:r>
          </w:p>
          <w:p w14:paraId="185BE65C" w14:textId="77777777" w:rsidR="00BF77CE" w:rsidRDefault="00BF77CE">
            <w:pPr>
              <w:widowControl w:val="0"/>
              <w:tabs>
                <w:tab w:val="left" w:pos="993"/>
              </w:tabs>
              <w:spacing w:line="360" w:lineRule="auto"/>
              <w:ind w:left="70" w:firstLine="54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Անձի ֆունկցիոնալությունը գնահատող մասնագետների վարձատրությունը գործավճարի սկզբունքով սահմանելու հարցը տարեբեր ձևաչափերով տևական ժամանակ քննարկվել է։</w:t>
            </w:r>
          </w:p>
          <w:p w14:paraId="18A109A0" w14:textId="77777777" w:rsidR="00BF77CE" w:rsidRDefault="00BF77CE">
            <w:pPr>
              <w:widowControl w:val="0"/>
              <w:tabs>
                <w:tab w:val="left" w:pos="993"/>
              </w:tabs>
              <w:spacing w:line="360" w:lineRule="auto"/>
              <w:ind w:left="70" w:firstLine="54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Հաշվի առնելով մի շարք օբյեկտիվ հանգամանքներ անձի ֆունկցիոնալությունը գնահատող մասնագետների վարձատրությունը 2026 թվականի հունվարի 1-ից գործավճարի սկզբունքով կազմակերպելը չի կարող արդյունավետ լինել, մասնավորապես՝</w:t>
            </w:r>
          </w:p>
          <w:p w14:paraId="74FB0D6C" w14:textId="77777777" w:rsidR="00BF77CE" w:rsidRDefault="00BF77CE" w:rsidP="00BF77CE">
            <w:pPr>
              <w:pStyle w:val="ListParagraph"/>
              <w:numPr>
                <w:ilvl w:val="0"/>
                <w:numId w:val="5"/>
              </w:numPr>
              <w:spacing w:after="0" w:line="360" w:lineRule="auto"/>
              <w:ind w:left="70" w:firstLine="540"/>
              <w:jc w:val="both"/>
              <w:rPr>
                <w:rFonts w:ascii="GHEA Grapalat" w:hAnsi="GHEA Grapalat" w:cs="GHEA Grapalat"/>
                <w:sz w:val="24"/>
                <w:szCs w:val="24"/>
                <w:lang w:val="hy-AM"/>
              </w:rPr>
            </w:pPr>
            <w:r>
              <w:rPr>
                <w:rFonts w:ascii="GHEA Grapalat" w:hAnsi="GHEA Grapalat" w:cs="GHEA Grapalat"/>
                <w:sz w:val="24"/>
                <w:szCs w:val="24"/>
                <w:lang w:val="hy-AM"/>
              </w:rPr>
              <w:t>Անձի ֆունկցիոնալությունը գնահատող մասնագետների գրանցման ռեեստրը համալրված չէ մասնագետների այնպիսի քանակով ապահովելու համար մասնագետների պատահական ընտրությունը: Դա ապահովելու համար յուրաքանչյուր տարածքի համար անհրաժեշտ է յուրաքանչյուր մասնագետից առնվազն 3-ը։</w:t>
            </w:r>
          </w:p>
          <w:p w14:paraId="5E3EE151" w14:textId="77777777" w:rsidR="00BF77CE" w:rsidRDefault="00BF77CE">
            <w:pPr>
              <w:spacing w:line="360" w:lineRule="auto"/>
              <w:ind w:left="70" w:firstLine="540"/>
              <w:jc w:val="both"/>
              <w:rPr>
                <w:rFonts w:ascii="GHEA Grapalat" w:hAnsi="GHEA Grapalat" w:cs="GHEA Grapalat"/>
                <w:lang w:val="hy-AM"/>
              </w:rPr>
            </w:pPr>
            <w:r>
              <w:rPr>
                <w:rFonts w:ascii="GHEA Grapalat" w:hAnsi="GHEA Grapalat" w:cs="GHEA Grapalat"/>
                <w:lang w:val="hy-AM"/>
              </w:rPr>
              <w:t>Սկսած 2022 թվականի նոյեմբեր ամսից Սոցիալական հետազոտությունների ազգային ինստիտուտում վերապատրաստվել են 352 մասնագետ, որոնցից հավաստագիր են ստացել 257-ը: Հավաստագրված 257 մասնագետից, որպես գնահատող մասնագետներ ներկայումս աշխատում են 118-ը:</w:t>
            </w:r>
          </w:p>
          <w:p w14:paraId="2D56CEA6" w14:textId="77777777" w:rsidR="00BF77CE" w:rsidRDefault="00BF77CE">
            <w:pPr>
              <w:spacing w:line="360" w:lineRule="auto"/>
              <w:ind w:left="70" w:firstLine="540"/>
              <w:jc w:val="both"/>
              <w:rPr>
                <w:rFonts w:ascii="GHEA Grapalat" w:hAnsi="GHEA Grapalat" w:cs="GHEA Grapalat"/>
                <w:lang w:val="hy-AM"/>
              </w:rPr>
            </w:pPr>
            <w:r>
              <w:rPr>
                <w:rFonts w:ascii="GHEA Grapalat" w:hAnsi="GHEA Grapalat" w:cs="GHEA Grapalat"/>
                <w:lang w:val="hy-AM"/>
              </w:rPr>
              <w:t xml:space="preserve">Անձի ֆունկցիոնալության գնահատում իրականացնող մասնագետների քանակը գրեթե համեմատական է մարզերի  քանակին, օր. վիրաբույժների քանակը 13-ն է, ովքեր աշխատում են 11.5 հաստիքով և սպասարկում են 10 մարզ և Երևան քաղաքի 5 տարածքային կենտրոններ, ինչը նշանակում է, որ յուրաքանչյուր տարածք սպասարկում է լավագույն դեպքում 1 մասնագետ և համակարգը այլ ընտրություն չունի: </w:t>
            </w:r>
          </w:p>
          <w:p w14:paraId="76427132" w14:textId="77777777" w:rsidR="00BF77CE" w:rsidRDefault="00BF77CE">
            <w:pPr>
              <w:spacing w:line="360" w:lineRule="auto"/>
              <w:ind w:left="70" w:firstLine="540"/>
              <w:jc w:val="both"/>
              <w:rPr>
                <w:rFonts w:ascii="GHEA Grapalat" w:hAnsi="GHEA Grapalat" w:cs="GHEA Grapalat"/>
                <w:lang w:val="hy-AM"/>
              </w:rPr>
            </w:pPr>
            <w:r>
              <w:rPr>
                <w:rFonts w:ascii="GHEA Grapalat" w:hAnsi="GHEA Grapalat" w:cs="GHEA Grapalat"/>
                <w:lang w:val="hy-AM"/>
              </w:rPr>
              <w:t>Պատահական ընտրությունն ապահովելու համար, անհրաժեշտ է ունենալ առնավազն հետևյալ քանակը՝</w:t>
            </w:r>
          </w:p>
          <w:tbl>
            <w:tblPr>
              <w:tblStyle w:val="TableGrid"/>
              <w:tblW w:w="0" w:type="auto"/>
              <w:tblInd w:w="708" w:type="dxa"/>
              <w:tblLayout w:type="fixed"/>
              <w:tblLook w:val="04A0" w:firstRow="1" w:lastRow="0" w:firstColumn="1" w:lastColumn="0" w:noHBand="0" w:noVBand="1"/>
            </w:tblPr>
            <w:tblGrid>
              <w:gridCol w:w="3317"/>
              <w:gridCol w:w="1350"/>
              <w:gridCol w:w="3510"/>
            </w:tblGrid>
            <w:tr w:rsidR="00BF77CE" w:rsidRPr="00BF77CE" w14:paraId="4098B645" w14:textId="77777777">
              <w:trPr>
                <w:trHeight w:val="694"/>
              </w:trPr>
              <w:tc>
                <w:tcPr>
                  <w:tcW w:w="3317" w:type="dxa"/>
                  <w:tcBorders>
                    <w:top w:val="single" w:sz="4" w:space="0" w:color="auto"/>
                    <w:left w:val="single" w:sz="4" w:space="0" w:color="auto"/>
                    <w:bottom w:val="single" w:sz="4" w:space="0" w:color="auto"/>
                    <w:right w:val="single" w:sz="4" w:space="0" w:color="auto"/>
                  </w:tcBorders>
                  <w:hideMark/>
                </w:tcPr>
                <w:p w14:paraId="6DFD8286" w14:textId="77777777" w:rsidR="00BF77CE" w:rsidRDefault="00BF77CE">
                  <w:pPr>
                    <w:pStyle w:val="ListParagraph"/>
                    <w:spacing w:line="360" w:lineRule="auto"/>
                    <w:ind w:left="70" w:firstLine="342"/>
                    <w:jc w:val="both"/>
                    <w:rPr>
                      <w:rFonts w:ascii="GHEA Grapalat" w:hAnsi="GHEA Grapalat" w:cs="GHEA Grapalat"/>
                      <w:b/>
                      <w:sz w:val="24"/>
                      <w:szCs w:val="24"/>
                      <w:lang w:val="hy-AM"/>
                    </w:rPr>
                  </w:pPr>
                  <w:r>
                    <w:rPr>
                      <w:rFonts w:ascii="GHEA Grapalat" w:hAnsi="GHEA Grapalat" w:cs="GHEA Grapalat"/>
                      <w:b/>
                      <w:sz w:val="24"/>
                      <w:szCs w:val="24"/>
                      <w:lang w:val="hy-AM"/>
                    </w:rPr>
                    <w:t>Մասնագետներ</w:t>
                  </w:r>
                </w:p>
              </w:tc>
              <w:tc>
                <w:tcPr>
                  <w:tcW w:w="1350" w:type="dxa"/>
                  <w:tcBorders>
                    <w:top w:val="single" w:sz="4" w:space="0" w:color="auto"/>
                    <w:left w:val="single" w:sz="4" w:space="0" w:color="auto"/>
                    <w:bottom w:val="single" w:sz="4" w:space="0" w:color="auto"/>
                    <w:right w:val="single" w:sz="4" w:space="0" w:color="auto"/>
                  </w:tcBorders>
                  <w:hideMark/>
                </w:tcPr>
                <w:p w14:paraId="31853628" w14:textId="77777777" w:rsidR="00BF77CE" w:rsidRDefault="00BF77CE">
                  <w:pPr>
                    <w:pStyle w:val="ListParagraph"/>
                    <w:spacing w:line="360" w:lineRule="auto"/>
                    <w:ind w:left="70" w:firstLine="22"/>
                    <w:jc w:val="both"/>
                    <w:rPr>
                      <w:rFonts w:ascii="GHEA Grapalat" w:hAnsi="GHEA Grapalat" w:cs="GHEA Grapalat"/>
                      <w:b/>
                      <w:sz w:val="24"/>
                      <w:szCs w:val="24"/>
                      <w:lang w:val="hy-AM"/>
                    </w:rPr>
                  </w:pPr>
                  <w:r>
                    <w:rPr>
                      <w:rFonts w:ascii="GHEA Grapalat" w:hAnsi="GHEA Grapalat" w:cs="GHEA Grapalat"/>
                      <w:b/>
                      <w:sz w:val="24"/>
                      <w:szCs w:val="24"/>
                      <w:lang w:val="hy-AM"/>
                    </w:rPr>
                    <w:t>գործող</w:t>
                  </w:r>
                </w:p>
              </w:tc>
              <w:tc>
                <w:tcPr>
                  <w:tcW w:w="3510" w:type="dxa"/>
                  <w:tcBorders>
                    <w:top w:val="single" w:sz="4" w:space="0" w:color="auto"/>
                    <w:left w:val="single" w:sz="4" w:space="0" w:color="auto"/>
                    <w:bottom w:val="single" w:sz="4" w:space="0" w:color="auto"/>
                    <w:right w:val="single" w:sz="4" w:space="0" w:color="auto"/>
                  </w:tcBorders>
                  <w:hideMark/>
                </w:tcPr>
                <w:p w14:paraId="5E7B7086" w14:textId="77777777" w:rsidR="00BF77CE" w:rsidRDefault="00BF77CE">
                  <w:pPr>
                    <w:pStyle w:val="ListParagraph"/>
                    <w:spacing w:line="360" w:lineRule="auto"/>
                    <w:ind w:left="70" w:hanging="15"/>
                    <w:jc w:val="both"/>
                    <w:rPr>
                      <w:rFonts w:ascii="GHEA Grapalat" w:hAnsi="GHEA Grapalat" w:cs="GHEA Grapalat"/>
                      <w:b/>
                      <w:sz w:val="24"/>
                      <w:szCs w:val="24"/>
                      <w:lang w:val="hy-AM"/>
                    </w:rPr>
                  </w:pPr>
                  <w:r>
                    <w:rPr>
                      <w:rFonts w:ascii="GHEA Grapalat" w:hAnsi="GHEA Grapalat" w:cs="GHEA Grapalat"/>
                      <w:b/>
                      <w:sz w:val="24"/>
                      <w:szCs w:val="24"/>
                      <w:lang w:val="hy-AM"/>
                    </w:rPr>
                    <w:t>անհրաժեշտ</w:t>
                  </w:r>
                </w:p>
              </w:tc>
            </w:tr>
            <w:tr w:rsidR="00BF77CE" w:rsidRPr="00BF77CE" w14:paraId="04FFEC41" w14:textId="77777777">
              <w:trPr>
                <w:trHeight w:val="694"/>
              </w:trPr>
              <w:tc>
                <w:tcPr>
                  <w:tcW w:w="3317" w:type="dxa"/>
                  <w:tcBorders>
                    <w:top w:val="single" w:sz="4" w:space="0" w:color="auto"/>
                    <w:left w:val="single" w:sz="4" w:space="0" w:color="auto"/>
                    <w:bottom w:val="single" w:sz="4" w:space="0" w:color="auto"/>
                    <w:right w:val="single" w:sz="4" w:space="0" w:color="auto"/>
                  </w:tcBorders>
                  <w:hideMark/>
                </w:tcPr>
                <w:p w14:paraId="3D955CFE" w14:textId="77777777" w:rsidR="00BF77CE" w:rsidRDefault="00BF77CE">
                  <w:pPr>
                    <w:pStyle w:val="ListParagraph"/>
                    <w:spacing w:line="360" w:lineRule="auto"/>
                    <w:ind w:left="70" w:firstLine="342"/>
                    <w:jc w:val="both"/>
                    <w:rPr>
                      <w:rFonts w:ascii="GHEA Grapalat" w:hAnsi="GHEA Grapalat" w:cs="GHEA Grapalat"/>
                      <w:sz w:val="24"/>
                      <w:szCs w:val="24"/>
                      <w:lang w:val="hy-AM"/>
                    </w:rPr>
                  </w:pPr>
                  <w:r>
                    <w:rPr>
                      <w:rFonts w:ascii="GHEA Grapalat" w:hAnsi="GHEA Grapalat" w:cs="GHEA Grapalat"/>
                      <w:sz w:val="24"/>
                      <w:szCs w:val="24"/>
                      <w:lang w:val="hy-AM"/>
                    </w:rPr>
                    <w:t>վիրաբույժ</w:t>
                  </w:r>
                </w:p>
              </w:tc>
              <w:tc>
                <w:tcPr>
                  <w:tcW w:w="1350" w:type="dxa"/>
                  <w:tcBorders>
                    <w:top w:val="single" w:sz="4" w:space="0" w:color="auto"/>
                    <w:left w:val="single" w:sz="4" w:space="0" w:color="auto"/>
                    <w:bottom w:val="single" w:sz="4" w:space="0" w:color="auto"/>
                    <w:right w:val="single" w:sz="4" w:space="0" w:color="auto"/>
                  </w:tcBorders>
                  <w:hideMark/>
                </w:tcPr>
                <w:p w14:paraId="261D53A4" w14:textId="77777777" w:rsidR="00BF77CE" w:rsidRDefault="00BF77CE">
                  <w:pPr>
                    <w:pStyle w:val="ListParagraph"/>
                    <w:spacing w:line="360" w:lineRule="auto"/>
                    <w:ind w:left="2" w:firstLine="90"/>
                    <w:jc w:val="both"/>
                    <w:rPr>
                      <w:rFonts w:ascii="GHEA Grapalat" w:hAnsi="GHEA Grapalat" w:cs="GHEA Grapalat"/>
                      <w:sz w:val="24"/>
                      <w:szCs w:val="24"/>
                      <w:lang w:val="hy-AM"/>
                    </w:rPr>
                  </w:pPr>
                  <w:r>
                    <w:rPr>
                      <w:rFonts w:ascii="GHEA Grapalat" w:hAnsi="GHEA Grapalat" w:cs="GHEA Grapalat"/>
                      <w:sz w:val="24"/>
                      <w:szCs w:val="24"/>
                      <w:lang w:val="hy-AM"/>
                    </w:rPr>
                    <w:t>16</w:t>
                  </w:r>
                </w:p>
              </w:tc>
              <w:tc>
                <w:tcPr>
                  <w:tcW w:w="3510" w:type="dxa"/>
                  <w:tcBorders>
                    <w:top w:val="single" w:sz="4" w:space="0" w:color="auto"/>
                    <w:left w:val="single" w:sz="4" w:space="0" w:color="auto"/>
                    <w:bottom w:val="single" w:sz="4" w:space="0" w:color="auto"/>
                    <w:right w:val="single" w:sz="4" w:space="0" w:color="auto"/>
                  </w:tcBorders>
                  <w:hideMark/>
                </w:tcPr>
                <w:p w14:paraId="4E1E8C79" w14:textId="77777777" w:rsidR="00BF77CE" w:rsidRDefault="00BF77CE">
                  <w:pPr>
                    <w:pStyle w:val="ListParagraph"/>
                    <w:spacing w:line="360" w:lineRule="auto"/>
                    <w:ind w:left="70" w:firstLine="540"/>
                    <w:jc w:val="both"/>
                    <w:rPr>
                      <w:rFonts w:ascii="GHEA Grapalat" w:hAnsi="GHEA Grapalat" w:cs="GHEA Grapalat"/>
                      <w:sz w:val="24"/>
                      <w:szCs w:val="24"/>
                      <w:lang w:val="hy-AM"/>
                    </w:rPr>
                  </w:pPr>
                  <w:r>
                    <w:rPr>
                      <w:rFonts w:ascii="GHEA Grapalat" w:hAnsi="GHEA Grapalat" w:cs="GHEA Grapalat"/>
                      <w:sz w:val="24"/>
                      <w:szCs w:val="24"/>
                      <w:lang w:val="hy-AM"/>
                    </w:rPr>
                    <w:t>50</w:t>
                  </w:r>
                </w:p>
              </w:tc>
            </w:tr>
            <w:tr w:rsidR="00BF77CE" w:rsidRPr="00BF77CE" w14:paraId="360C3BFB" w14:textId="77777777">
              <w:trPr>
                <w:trHeight w:val="694"/>
              </w:trPr>
              <w:tc>
                <w:tcPr>
                  <w:tcW w:w="3317" w:type="dxa"/>
                  <w:tcBorders>
                    <w:top w:val="single" w:sz="4" w:space="0" w:color="auto"/>
                    <w:left w:val="single" w:sz="4" w:space="0" w:color="auto"/>
                    <w:bottom w:val="single" w:sz="4" w:space="0" w:color="auto"/>
                    <w:right w:val="single" w:sz="4" w:space="0" w:color="auto"/>
                  </w:tcBorders>
                  <w:hideMark/>
                </w:tcPr>
                <w:p w14:paraId="69173B79" w14:textId="77777777" w:rsidR="00BF77CE" w:rsidRDefault="00BF77CE">
                  <w:pPr>
                    <w:pStyle w:val="ListParagraph"/>
                    <w:spacing w:line="360" w:lineRule="auto"/>
                    <w:ind w:left="70" w:firstLine="342"/>
                    <w:jc w:val="both"/>
                    <w:rPr>
                      <w:rFonts w:ascii="GHEA Grapalat" w:hAnsi="GHEA Grapalat" w:cs="GHEA Grapalat"/>
                      <w:sz w:val="24"/>
                      <w:szCs w:val="24"/>
                      <w:lang w:val="hy-AM"/>
                    </w:rPr>
                  </w:pPr>
                  <w:r>
                    <w:rPr>
                      <w:rFonts w:ascii="GHEA Grapalat" w:hAnsi="GHEA Grapalat" w:cs="GHEA Grapalat"/>
                      <w:sz w:val="24"/>
                      <w:szCs w:val="24"/>
                      <w:lang w:val="hy-AM"/>
                    </w:rPr>
                    <w:t>թերապևտ</w:t>
                  </w:r>
                </w:p>
              </w:tc>
              <w:tc>
                <w:tcPr>
                  <w:tcW w:w="1350" w:type="dxa"/>
                  <w:tcBorders>
                    <w:top w:val="single" w:sz="4" w:space="0" w:color="auto"/>
                    <w:left w:val="single" w:sz="4" w:space="0" w:color="auto"/>
                    <w:bottom w:val="single" w:sz="4" w:space="0" w:color="auto"/>
                    <w:right w:val="single" w:sz="4" w:space="0" w:color="auto"/>
                  </w:tcBorders>
                  <w:hideMark/>
                </w:tcPr>
                <w:p w14:paraId="3B518433" w14:textId="77777777" w:rsidR="00BF77CE" w:rsidRDefault="00BF77CE">
                  <w:pPr>
                    <w:pStyle w:val="ListParagraph"/>
                    <w:spacing w:line="360" w:lineRule="auto"/>
                    <w:ind w:left="2" w:firstLine="90"/>
                    <w:jc w:val="both"/>
                    <w:rPr>
                      <w:rFonts w:ascii="GHEA Grapalat" w:hAnsi="GHEA Grapalat" w:cs="GHEA Grapalat"/>
                      <w:sz w:val="24"/>
                      <w:szCs w:val="24"/>
                      <w:lang w:val="hy-AM"/>
                    </w:rPr>
                  </w:pPr>
                  <w:r>
                    <w:rPr>
                      <w:rFonts w:ascii="GHEA Grapalat" w:hAnsi="GHEA Grapalat" w:cs="GHEA Grapalat"/>
                      <w:sz w:val="24"/>
                      <w:szCs w:val="24"/>
                      <w:lang w:val="hy-AM"/>
                    </w:rPr>
                    <w:t>20</w:t>
                  </w:r>
                </w:p>
              </w:tc>
              <w:tc>
                <w:tcPr>
                  <w:tcW w:w="3510" w:type="dxa"/>
                  <w:tcBorders>
                    <w:top w:val="single" w:sz="4" w:space="0" w:color="auto"/>
                    <w:left w:val="single" w:sz="4" w:space="0" w:color="auto"/>
                    <w:bottom w:val="single" w:sz="4" w:space="0" w:color="auto"/>
                    <w:right w:val="single" w:sz="4" w:space="0" w:color="auto"/>
                  </w:tcBorders>
                  <w:hideMark/>
                </w:tcPr>
                <w:p w14:paraId="414959F1" w14:textId="77777777" w:rsidR="00BF77CE" w:rsidRDefault="00BF77CE">
                  <w:pPr>
                    <w:pStyle w:val="ListParagraph"/>
                    <w:spacing w:line="360" w:lineRule="auto"/>
                    <w:ind w:left="70" w:firstLine="540"/>
                    <w:jc w:val="both"/>
                    <w:rPr>
                      <w:rFonts w:ascii="GHEA Grapalat" w:hAnsi="GHEA Grapalat" w:cs="GHEA Grapalat"/>
                      <w:sz w:val="24"/>
                      <w:szCs w:val="24"/>
                      <w:lang w:val="hy-AM"/>
                    </w:rPr>
                  </w:pPr>
                  <w:r>
                    <w:rPr>
                      <w:rFonts w:ascii="GHEA Grapalat" w:hAnsi="GHEA Grapalat" w:cs="GHEA Grapalat"/>
                      <w:sz w:val="24"/>
                      <w:szCs w:val="24"/>
                      <w:lang w:val="hy-AM"/>
                    </w:rPr>
                    <w:t>60</w:t>
                  </w:r>
                </w:p>
              </w:tc>
            </w:tr>
            <w:tr w:rsidR="00BF77CE" w:rsidRPr="00BF77CE" w14:paraId="2602AA9B" w14:textId="77777777">
              <w:trPr>
                <w:trHeight w:val="694"/>
              </w:trPr>
              <w:tc>
                <w:tcPr>
                  <w:tcW w:w="3317" w:type="dxa"/>
                  <w:tcBorders>
                    <w:top w:val="single" w:sz="4" w:space="0" w:color="auto"/>
                    <w:left w:val="single" w:sz="4" w:space="0" w:color="auto"/>
                    <w:bottom w:val="single" w:sz="4" w:space="0" w:color="auto"/>
                    <w:right w:val="single" w:sz="4" w:space="0" w:color="auto"/>
                  </w:tcBorders>
                  <w:hideMark/>
                </w:tcPr>
                <w:p w14:paraId="0E65E653" w14:textId="77777777" w:rsidR="00BF77CE" w:rsidRDefault="00BF77CE">
                  <w:pPr>
                    <w:pStyle w:val="ListParagraph"/>
                    <w:spacing w:line="360" w:lineRule="auto"/>
                    <w:ind w:left="70" w:firstLine="342"/>
                    <w:jc w:val="both"/>
                    <w:rPr>
                      <w:rFonts w:ascii="GHEA Grapalat" w:hAnsi="GHEA Grapalat" w:cs="GHEA Grapalat"/>
                      <w:sz w:val="24"/>
                      <w:szCs w:val="24"/>
                      <w:lang w:val="hy-AM"/>
                    </w:rPr>
                  </w:pPr>
                  <w:r>
                    <w:rPr>
                      <w:rFonts w:ascii="GHEA Grapalat" w:hAnsi="GHEA Grapalat" w:cs="GHEA Grapalat"/>
                      <w:sz w:val="24"/>
                      <w:szCs w:val="24"/>
                      <w:lang w:val="hy-AM"/>
                    </w:rPr>
                    <w:t>նյարդաբան</w:t>
                  </w:r>
                </w:p>
              </w:tc>
              <w:tc>
                <w:tcPr>
                  <w:tcW w:w="1350" w:type="dxa"/>
                  <w:tcBorders>
                    <w:top w:val="single" w:sz="4" w:space="0" w:color="auto"/>
                    <w:left w:val="single" w:sz="4" w:space="0" w:color="auto"/>
                    <w:bottom w:val="single" w:sz="4" w:space="0" w:color="auto"/>
                    <w:right w:val="single" w:sz="4" w:space="0" w:color="auto"/>
                  </w:tcBorders>
                  <w:hideMark/>
                </w:tcPr>
                <w:p w14:paraId="7641C555" w14:textId="77777777" w:rsidR="00BF77CE" w:rsidRDefault="00BF77CE">
                  <w:pPr>
                    <w:pStyle w:val="ListParagraph"/>
                    <w:spacing w:line="360" w:lineRule="auto"/>
                    <w:ind w:left="2" w:firstLine="90"/>
                    <w:jc w:val="both"/>
                    <w:rPr>
                      <w:rFonts w:ascii="GHEA Grapalat" w:hAnsi="GHEA Grapalat" w:cs="GHEA Grapalat"/>
                      <w:sz w:val="24"/>
                      <w:szCs w:val="24"/>
                      <w:lang w:val="hy-AM"/>
                    </w:rPr>
                  </w:pPr>
                  <w:r>
                    <w:rPr>
                      <w:rFonts w:ascii="GHEA Grapalat" w:hAnsi="GHEA Grapalat" w:cs="GHEA Grapalat"/>
                      <w:sz w:val="24"/>
                      <w:szCs w:val="24"/>
                      <w:lang w:val="hy-AM"/>
                    </w:rPr>
                    <w:t>11</w:t>
                  </w:r>
                </w:p>
              </w:tc>
              <w:tc>
                <w:tcPr>
                  <w:tcW w:w="3510" w:type="dxa"/>
                  <w:tcBorders>
                    <w:top w:val="single" w:sz="4" w:space="0" w:color="auto"/>
                    <w:left w:val="single" w:sz="4" w:space="0" w:color="auto"/>
                    <w:bottom w:val="single" w:sz="4" w:space="0" w:color="auto"/>
                    <w:right w:val="single" w:sz="4" w:space="0" w:color="auto"/>
                  </w:tcBorders>
                  <w:hideMark/>
                </w:tcPr>
                <w:p w14:paraId="543C3D26" w14:textId="77777777" w:rsidR="00BF77CE" w:rsidRDefault="00BF77CE">
                  <w:pPr>
                    <w:pStyle w:val="ListParagraph"/>
                    <w:spacing w:line="360" w:lineRule="auto"/>
                    <w:ind w:left="70" w:firstLine="540"/>
                    <w:jc w:val="both"/>
                    <w:rPr>
                      <w:rFonts w:ascii="GHEA Grapalat" w:hAnsi="GHEA Grapalat" w:cs="GHEA Grapalat"/>
                      <w:sz w:val="24"/>
                      <w:szCs w:val="24"/>
                      <w:lang w:val="hy-AM"/>
                    </w:rPr>
                  </w:pPr>
                  <w:r>
                    <w:rPr>
                      <w:rFonts w:ascii="GHEA Grapalat" w:hAnsi="GHEA Grapalat" w:cs="GHEA Grapalat"/>
                      <w:sz w:val="24"/>
                      <w:szCs w:val="24"/>
                      <w:lang w:val="hy-AM"/>
                    </w:rPr>
                    <w:t>30</w:t>
                  </w:r>
                </w:p>
              </w:tc>
            </w:tr>
            <w:tr w:rsidR="00BF77CE" w:rsidRPr="00BF77CE" w14:paraId="2627711C" w14:textId="77777777">
              <w:trPr>
                <w:trHeight w:val="694"/>
              </w:trPr>
              <w:tc>
                <w:tcPr>
                  <w:tcW w:w="3317" w:type="dxa"/>
                  <w:tcBorders>
                    <w:top w:val="single" w:sz="4" w:space="0" w:color="auto"/>
                    <w:left w:val="single" w:sz="4" w:space="0" w:color="auto"/>
                    <w:bottom w:val="single" w:sz="4" w:space="0" w:color="auto"/>
                    <w:right w:val="single" w:sz="4" w:space="0" w:color="auto"/>
                  </w:tcBorders>
                  <w:hideMark/>
                </w:tcPr>
                <w:p w14:paraId="4F57C0F1" w14:textId="77777777" w:rsidR="00BF77CE" w:rsidRDefault="00BF77CE">
                  <w:pPr>
                    <w:pStyle w:val="ListParagraph"/>
                    <w:spacing w:line="360" w:lineRule="auto"/>
                    <w:ind w:left="70" w:firstLine="342"/>
                    <w:jc w:val="both"/>
                    <w:rPr>
                      <w:rFonts w:ascii="GHEA Grapalat" w:hAnsi="GHEA Grapalat" w:cs="GHEA Grapalat"/>
                      <w:sz w:val="24"/>
                      <w:szCs w:val="24"/>
                      <w:lang w:val="hy-AM"/>
                    </w:rPr>
                  </w:pPr>
                  <w:r>
                    <w:rPr>
                      <w:rFonts w:ascii="GHEA Grapalat" w:hAnsi="GHEA Grapalat" w:cs="GHEA Grapalat"/>
                      <w:sz w:val="24"/>
                      <w:szCs w:val="24"/>
                      <w:lang w:val="hy-AM"/>
                    </w:rPr>
                    <w:t>հոգեբույժ</w:t>
                  </w:r>
                </w:p>
              </w:tc>
              <w:tc>
                <w:tcPr>
                  <w:tcW w:w="1350" w:type="dxa"/>
                  <w:tcBorders>
                    <w:top w:val="single" w:sz="4" w:space="0" w:color="auto"/>
                    <w:left w:val="single" w:sz="4" w:space="0" w:color="auto"/>
                    <w:bottom w:val="single" w:sz="4" w:space="0" w:color="auto"/>
                    <w:right w:val="single" w:sz="4" w:space="0" w:color="auto"/>
                  </w:tcBorders>
                  <w:hideMark/>
                </w:tcPr>
                <w:p w14:paraId="7491C613" w14:textId="77777777" w:rsidR="00BF77CE" w:rsidRDefault="00BF77CE">
                  <w:pPr>
                    <w:pStyle w:val="ListParagraph"/>
                    <w:spacing w:line="360" w:lineRule="auto"/>
                    <w:ind w:left="2" w:firstLine="90"/>
                    <w:jc w:val="both"/>
                    <w:rPr>
                      <w:rFonts w:ascii="GHEA Grapalat" w:hAnsi="GHEA Grapalat" w:cs="GHEA Grapalat"/>
                      <w:sz w:val="24"/>
                      <w:szCs w:val="24"/>
                      <w:lang w:val="hy-AM"/>
                    </w:rPr>
                  </w:pPr>
                  <w:r>
                    <w:rPr>
                      <w:rFonts w:ascii="GHEA Grapalat" w:hAnsi="GHEA Grapalat" w:cs="GHEA Grapalat"/>
                      <w:sz w:val="24"/>
                      <w:szCs w:val="24"/>
                      <w:lang w:val="hy-AM"/>
                    </w:rPr>
                    <w:t>3</w:t>
                  </w:r>
                </w:p>
              </w:tc>
              <w:tc>
                <w:tcPr>
                  <w:tcW w:w="3510" w:type="dxa"/>
                  <w:tcBorders>
                    <w:top w:val="single" w:sz="4" w:space="0" w:color="auto"/>
                    <w:left w:val="single" w:sz="4" w:space="0" w:color="auto"/>
                    <w:bottom w:val="single" w:sz="4" w:space="0" w:color="auto"/>
                    <w:right w:val="single" w:sz="4" w:space="0" w:color="auto"/>
                  </w:tcBorders>
                  <w:hideMark/>
                </w:tcPr>
                <w:p w14:paraId="1768AFA8" w14:textId="77777777" w:rsidR="00BF77CE" w:rsidRDefault="00BF77CE">
                  <w:pPr>
                    <w:pStyle w:val="ListParagraph"/>
                    <w:spacing w:line="360" w:lineRule="auto"/>
                    <w:ind w:left="70" w:firstLine="540"/>
                    <w:jc w:val="both"/>
                    <w:rPr>
                      <w:rFonts w:ascii="GHEA Grapalat" w:hAnsi="GHEA Grapalat" w:cs="GHEA Grapalat"/>
                      <w:sz w:val="24"/>
                      <w:szCs w:val="24"/>
                      <w:lang w:val="hy-AM"/>
                    </w:rPr>
                  </w:pPr>
                  <w:r>
                    <w:rPr>
                      <w:rFonts w:ascii="GHEA Grapalat" w:hAnsi="GHEA Grapalat" w:cs="GHEA Grapalat"/>
                      <w:sz w:val="24"/>
                      <w:szCs w:val="24"/>
                      <w:lang w:val="hy-AM"/>
                    </w:rPr>
                    <w:t>10</w:t>
                  </w:r>
                </w:p>
              </w:tc>
            </w:tr>
            <w:tr w:rsidR="00BF77CE" w:rsidRPr="00BF77CE" w14:paraId="3327FE06" w14:textId="77777777">
              <w:trPr>
                <w:trHeight w:val="694"/>
              </w:trPr>
              <w:tc>
                <w:tcPr>
                  <w:tcW w:w="3317" w:type="dxa"/>
                  <w:tcBorders>
                    <w:top w:val="single" w:sz="4" w:space="0" w:color="auto"/>
                    <w:left w:val="single" w:sz="4" w:space="0" w:color="auto"/>
                    <w:bottom w:val="single" w:sz="4" w:space="0" w:color="auto"/>
                    <w:right w:val="single" w:sz="4" w:space="0" w:color="auto"/>
                  </w:tcBorders>
                  <w:hideMark/>
                </w:tcPr>
                <w:p w14:paraId="522B1809" w14:textId="77777777" w:rsidR="00BF77CE" w:rsidRDefault="00BF77CE">
                  <w:pPr>
                    <w:pStyle w:val="ListParagraph"/>
                    <w:spacing w:line="360" w:lineRule="auto"/>
                    <w:ind w:left="70" w:firstLine="342"/>
                    <w:jc w:val="both"/>
                    <w:rPr>
                      <w:rFonts w:ascii="GHEA Grapalat" w:hAnsi="GHEA Grapalat" w:cs="GHEA Grapalat"/>
                      <w:sz w:val="24"/>
                      <w:szCs w:val="24"/>
                      <w:lang w:val="hy-AM"/>
                    </w:rPr>
                  </w:pPr>
                  <w:r>
                    <w:rPr>
                      <w:rFonts w:ascii="GHEA Grapalat" w:hAnsi="GHEA Grapalat" w:cs="GHEA Grapalat"/>
                      <w:sz w:val="24"/>
                      <w:szCs w:val="24"/>
                      <w:lang w:val="hy-AM"/>
                    </w:rPr>
                    <w:t>էրգոթերպիստ</w:t>
                  </w:r>
                </w:p>
              </w:tc>
              <w:tc>
                <w:tcPr>
                  <w:tcW w:w="1350" w:type="dxa"/>
                  <w:tcBorders>
                    <w:top w:val="single" w:sz="4" w:space="0" w:color="auto"/>
                    <w:left w:val="single" w:sz="4" w:space="0" w:color="auto"/>
                    <w:bottom w:val="single" w:sz="4" w:space="0" w:color="auto"/>
                    <w:right w:val="single" w:sz="4" w:space="0" w:color="auto"/>
                  </w:tcBorders>
                  <w:hideMark/>
                </w:tcPr>
                <w:p w14:paraId="5A45FB71" w14:textId="77777777" w:rsidR="00BF77CE" w:rsidRDefault="00BF77CE">
                  <w:pPr>
                    <w:pStyle w:val="ListParagraph"/>
                    <w:spacing w:line="360" w:lineRule="auto"/>
                    <w:ind w:left="2" w:firstLine="90"/>
                    <w:jc w:val="both"/>
                    <w:rPr>
                      <w:rFonts w:ascii="GHEA Grapalat" w:hAnsi="GHEA Grapalat" w:cs="GHEA Grapalat"/>
                      <w:sz w:val="24"/>
                      <w:szCs w:val="24"/>
                      <w:lang w:val="hy-AM"/>
                    </w:rPr>
                  </w:pPr>
                  <w:r>
                    <w:rPr>
                      <w:rFonts w:ascii="GHEA Grapalat" w:hAnsi="GHEA Grapalat" w:cs="GHEA Grapalat"/>
                      <w:sz w:val="24"/>
                      <w:szCs w:val="24"/>
                      <w:lang w:val="hy-AM"/>
                    </w:rPr>
                    <w:t>9</w:t>
                  </w:r>
                </w:p>
              </w:tc>
              <w:tc>
                <w:tcPr>
                  <w:tcW w:w="3510" w:type="dxa"/>
                  <w:tcBorders>
                    <w:top w:val="single" w:sz="4" w:space="0" w:color="auto"/>
                    <w:left w:val="single" w:sz="4" w:space="0" w:color="auto"/>
                    <w:bottom w:val="single" w:sz="4" w:space="0" w:color="auto"/>
                    <w:right w:val="single" w:sz="4" w:space="0" w:color="auto"/>
                  </w:tcBorders>
                  <w:hideMark/>
                </w:tcPr>
                <w:p w14:paraId="49CC06A7" w14:textId="77777777" w:rsidR="00BF77CE" w:rsidRDefault="00BF77CE">
                  <w:pPr>
                    <w:pStyle w:val="ListParagraph"/>
                    <w:spacing w:line="360" w:lineRule="auto"/>
                    <w:ind w:left="70" w:firstLine="540"/>
                    <w:jc w:val="both"/>
                    <w:rPr>
                      <w:rFonts w:ascii="GHEA Grapalat" w:hAnsi="GHEA Grapalat" w:cs="GHEA Grapalat"/>
                      <w:sz w:val="24"/>
                      <w:szCs w:val="24"/>
                      <w:lang w:val="hy-AM"/>
                    </w:rPr>
                  </w:pPr>
                  <w:r>
                    <w:rPr>
                      <w:rFonts w:ascii="GHEA Grapalat" w:hAnsi="GHEA Grapalat" w:cs="GHEA Grapalat"/>
                      <w:sz w:val="24"/>
                      <w:szCs w:val="24"/>
                      <w:lang w:val="hy-AM"/>
                    </w:rPr>
                    <w:t>30</w:t>
                  </w:r>
                </w:p>
              </w:tc>
            </w:tr>
            <w:tr w:rsidR="00BF77CE" w:rsidRPr="00BF77CE" w14:paraId="10E55FA8" w14:textId="77777777">
              <w:trPr>
                <w:trHeight w:val="694"/>
              </w:trPr>
              <w:tc>
                <w:tcPr>
                  <w:tcW w:w="3317" w:type="dxa"/>
                  <w:tcBorders>
                    <w:top w:val="single" w:sz="4" w:space="0" w:color="auto"/>
                    <w:left w:val="single" w:sz="4" w:space="0" w:color="auto"/>
                    <w:bottom w:val="single" w:sz="4" w:space="0" w:color="auto"/>
                    <w:right w:val="single" w:sz="4" w:space="0" w:color="auto"/>
                  </w:tcBorders>
                  <w:hideMark/>
                </w:tcPr>
                <w:p w14:paraId="2048FF5A" w14:textId="77777777" w:rsidR="00BF77CE" w:rsidRDefault="00BF77CE">
                  <w:pPr>
                    <w:pStyle w:val="ListParagraph"/>
                    <w:spacing w:line="360" w:lineRule="auto"/>
                    <w:ind w:left="70" w:firstLine="342"/>
                    <w:jc w:val="both"/>
                    <w:rPr>
                      <w:rFonts w:ascii="GHEA Grapalat" w:hAnsi="GHEA Grapalat" w:cs="GHEA Grapalat"/>
                      <w:sz w:val="24"/>
                      <w:szCs w:val="24"/>
                      <w:lang w:val="hy-AM"/>
                    </w:rPr>
                  </w:pPr>
                  <w:r>
                    <w:rPr>
                      <w:rFonts w:ascii="GHEA Grapalat" w:hAnsi="GHEA Grapalat" w:cs="GHEA Grapalat"/>
                      <w:sz w:val="24"/>
                      <w:szCs w:val="24"/>
                      <w:lang w:val="hy-AM"/>
                    </w:rPr>
                    <w:t>կինեզիոլոգ</w:t>
                  </w:r>
                </w:p>
              </w:tc>
              <w:tc>
                <w:tcPr>
                  <w:tcW w:w="1350" w:type="dxa"/>
                  <w:tcBorders>
                    <w:top w:val="single" w:sz="4" w:space="0" w:color="auto"/>
                    <w:left w:val="single" w:sz="4" w:space="0" w:color="auto"/>
                    <w:bottom w:val="single" w:sz="4" w:space="0" w:color="auto"/>
                    <w:right w:val="single" w:sz="4" w:space="0" w:color="auto"/>
                  </w:tcBorders>
                  <w:hideMark/>
                </w:tcPr>
                <w:p w14:paraId="2B78EB00" w14:textId="77777777" w:rsidR="00BF77CE" w:rsidRDefault="00BF77CE">
                  <w:pPr>
                    <w:pStyle w:val="ListParagraph"/>
                    <w:spacing w:line="360" w:lineRule="auto"/>
                    <w:ind w:left="2" w:firstLine="90"/>
                    <w:jc w:val="both"/>
                    <w:rPr>
                      <w:rFonts w:ascii="GHEA Grapalat" w:hAnsi="GHEA Grapalat" w:cs="GHEA Grapalat"/>
                      <w:sz w:val="24"/>
                      <w:szCs w:val="24"/>
                      <w:lang w:val="hy-AM"/>
                    </w:rPr>
                  </w:pPr>
                  <w:r>
                    <w:rPr>
                      <w:rFonts w:ascii="GHEA Grapalat" w:hAnsi="GHEA Grapalat" w:cs="GHEA Grapalat"/>
                      <w:sz w:val="24"/>
                      <w:szCs w:val="24"/>
                      <w:lang w:val="hy-AM"/>
                    </w:rPr>
                    <w:t>6</w:t>
                  </w:r>
                </w:p>
              </w:tc>
              <w:tc>
                <w:tcPr>
                  <w:tcW w:w="3510" w:type="dxa"/>
                  <w:tcBorders>
                    <w:top w:val="single" w:sz="4" w:space="0" w:color="auto"/>
                    <w:left w:val="single" w:sz="4" w:space="0" w:color="auto"/>
                    <w:bottom w:val="single" w:sz="4" w:space="0" w:color="auto"/>
                    <w:right w:val="single" w:sz="4" w:space="0" w:color="auto"/>
                  </w:tcBorders>
                  <w:hideMark/>
                </w:tcPr>
                <w:p w14:paraId="58DC2788" w14:textId="77777777" w:rsidR="00BF77CE" w:rsidRDefault="00BF77CE">
                  <w:pPr>
                    <w:pStyle w:val="ListParagraph"/>
                    <w:spacing w:line="360" w:lineRule="auto"/>
                    <w:ind w:left="70" w:firstLine="540"/>
                    <w:jc w:val="both"/>
                    <w:rPr>
                      <w:rFonts w:ascii="GHEA Grapalat" w:hAnsi="GHEA Grapalat" w:cs="GHEA Grapalat"/>
                      <w:sz w:val="24"/>
                      <w:szCs w:val="24"/>
                      <w:lang w:val="hy-AM"/>
                    </w:rPr>
                  </w:pPr>
                  <w:r>
                    <w:rPr>
                      <w:rFonts w:ascii="GHEA Grapalat" w:hAnsi="GHEA Grapalat" w:cs="GHEA Grapalat"/>
                      <w:sz w:val="24"/>
                      <w:szCs w:val="24"/>
                      <w:lang w:val="hy-AM"/>
                    </w:rPr>
                    <w:t>30</w:t>
                  </w:r>
                </w:p>
              </w:tc>
            </w:tr>
            <w:tr w:rsidR="00BF77CE" w:rsidRPr="00BF77CE" w14:paraId="3FD618A9" w14:textId="77777777">
              <w:trPr>
                <w:trHeight w:val="694"/>
              </w:trPr>
              <w:tc>
                <w:tcPr>
                  <w:tcW w:w="3317" w:type="dxa"/>
                  <w:tcBorders>
                    <w:top w:val="single" w:sz="4" w:space="0" w:color="auto"/>
                    <w:left w:val="single" w:sz="4" w:space="0" w:color="auto"/>
                    <w:bottom w:val="single" w:sz="4" w:space="0" w:color="auto"/>
                    <w:right w:val="single" w:sz="4" w:space="0" w:color="auto"/>
                  </w:tcBorders>
                  <w:hideMark/>
                </w:tcPr>
                <w:p w14:paraId="4A935BF0" w14:textId="77777777" w:rsidR="00BF77CE" w:rsidRDefault="00BF77CE">
                  <w:pPr>
                    <w:pStyle w:val="ListParagraph"/>
                    <w:spacing w:line="360" w:lineRule="auto"/>
                    <w:ind w:left="70" w:firstLine="342"/>
                    <w:jc w:val="both"/>
                    <w:rPr>
                      <w:rFonts w:ascii="GHEA Grapalat" w:hAnsi="GHEA Grapalat" w:cs="GHEA Grapalat"/>
                      <w:sz w:val="24"/>
                      <w:szCs w:val="24"/>
                      <w:lang w:val="hy-AM"/>
                    </w:rPr>
                  </w:pPr>
                  <w:r>
                    <w:rPr>
                      <w:rFonts w:ascii="GHEA Grapalat" w:hAnsi="GHEA Grapalat" w:cs="GHEA Grapalat"/>
                      <w:sz w:val="24"/>
                      <w:szCs w:val="24"/>
                      <w:lang w:val="hy-AM"/>
                    </w:rPr>
                    <w:t>վերականգնողաբան</w:t>
                  </w:r>
                </w:p>
              </w:tc>
              <w:tc>
                <w:tcPr>
                  <w:tcW w:w="1350" w:type="dxa"/>
                  <w:tcBorders>
                    <w:top w:val="single" w:sz="4" w:space="0" w:color="auto"/>
                    <w:left w:val="single" w:sz="4" w:space="0" w:color="auto"/>
                    <w:bottom w:val="single" w:sz="4" w:space="0" w:color="auto"/>
                    <w:right w:val="single" w:sz="4" w:space="0" w:color="auto"/>
                  </w:tcBorders>
                  <w:hideMark/>
                </w:tcPr>
                <w:p w14:paraId="123AF0F7" w14:textId="77777777" w:rsidR="00BF77CE" w:rsidRDefault="00BF77CE">
                  <w:pPr>
                    <w:pStyle w:val="ListParagraph"/>
                    <w:spacing w:line="360" w:lineRule="auto"/>
                    <w:ind w:left="2" w:firstLine="90"/>
                    <w:jc w:val="both"/>
                    <w:rPr>
                      <w:rFonts w:ascii="GHEA Grapalat" w:hAnsi="GHEA Grapalat" w:cs="GHEA Grapalat"/>
                      <w:sz w:val="24"/>
                      <w:szCs w:val="24"/>
                      <w:lang w:val="hy-AM"/>
                    </w:rPr>
                  </w:pPr>
                  <w:r>
                    <w:rPr>
                      <w:rFonts w:ascii="GHEA Grapalat" w:hAnsi="GHEA Grapalat" w:cs="GHEA Grapalat"/>
                      <w:sz w:val="24"/>
                      <w:szCs w:val="24"/>
                      <w:lang w:val="hy-AM"/>
                    </w:rPr>
                    <w:t>3</w:t>
                  </w:r>
                </w:p>
              </w:tc>
              <w:tc>
                <w:tcPr>
                  <w:tcW w:w="3510" w:type="dxa"/>
                  <w:tcBorders>
                    <w:top w:val="single" w:sz="4" w:space="0" w:color="auto"/>
                    <w:left w:val="single" w:sz="4" w:space="0" w:color="auto"/>
                    <w:bottom w:val="single" w:sz="4" w:space="0" w:color="auto"/>
                    <w:right w:val="single" w:sz="4" w:space="0" w:color="auto"/>
                  </w:tcBorders>
                  <w:hideMark/>
                </w:tcPr>
                <w:p w14:paraId="7A3AE0FC" w14:textId="77777777" w:rsidR="00BF77CE" w:rsidRDefault="00BF77CE">
                  <w:pPr>
                    <w:pStyle w:val="ListParagraph"/>
                    <w:spacing w:line="360" w:lineRule="auto"/>
                    <w:ind w:left="70" w:firstLine="540"/>
                    <w:jc w:val="both"/>
                    <w:rPr>
                      <w:rFonts w:ascii="GHEA Grapalat" w:hAnsi="GHEA Grapalat" w:cs="GHEA Grapalat"/>
                      <w:sz w:val="24"/>
                      <w:szCs w:val="24"/>
                      <w:lang w:val="hy-AM"/>
                    </w:rPr>
                  </w:pPr>
                  <w:r>
                    <w:rPr>
                      <w:rFonts w:ascii="GHEA Grapalat" w:hAnsi="GHEA Grapalat" w:cs="GHEA Grapalat"/>
                      <w:sz w:val="24"/>
                      <w:szCs w:val="24"/>
                      <w:lang w:val="hy-AM"/>
                    </w:rPr>
                    <w:t>10</w:t>
                  </w:r>
                </w:p>
              </w:tc>
            </w:tr>
            <w:tr w:rsidR="00BF77CE" w:rsidRPr="00BF77CE" w14:paraId="6CD98C09" w14:textId="77777777">
              <w:trPr>
                <w:trHeight w:val="694"/>
              </w:trPr>
              <w:tc>
                <w:tcPr>
                  <w:tcW w:w="3317" w:type="dxa"/>
                  <w:tcBorders>
                    <w:top w:val="single" w:sz="4" w:space="0" w:color="auto"/>
                    <w:left w:val="single" w:sz="4" w:space="0" w:color="auto"/>
                    <w:bottom w:val="single" w:sz="4" w:space="0" w:color="auto"/>
                    <w:right w:val="single" w:sz="4" w:space="0" w:color="auto"/>
                  </w:tcBorders>
                  <w:hideMark/>
                </w:tcPr>
                <w:p w14:paraId="137CE1A4" w14:textId="77777777" w:rsidR="00BF77CE" w:rsidRDefault="00BF77CE">
                  <w:pPr>
                    <w:pStyle w:val="ListParagraph"/>
                    <w:spacing w:line="360" w:lineRule="auto"/>
                    <w:ind w:left="70" w:firstLine="342"/>
                    <w:jc w:val="both"/>
                    <w:rPr>
                      <w:rFonts w:ascii="GHEA Grapalat" w:hAnsi="GHEA Grapalat" w:cs="GHEA Grapalat"/>
                      <w:sz w:val="24"/>
                      <w:szCs w:val="24"/>
                      <w:lang w:val="hy-AM"/>
                    </w:rPr>
                  </w:pPr>
                  <w:r>
                    <w:rPr>
                      <w:rFonts w:ascii="GHEA Grapalat" w:hAnsi="GHEA Grapalat" w:cs="GHEA Grapalat"/>
                      <w:sz w:val="24"/>
                      <w:szCs w:val="24"/>
                      <w:lang w:val="hy-AM"/>
                    </w:rPr>
                    <w:t>այլ</w:t>
                  </w:r>
                </w:p>
              </w:tc>
              <w:tc>
                <w:tcPr>
                  <w:tcW w:w="1350" w:type="dxa"/>
                  <w:tcBorders>
                    <w:top w:val="single" w:sz="4" w:space="0" w:color="auto"/>
                    <w:left w:val="single" w:sz="4" w:space="0" w:color="auto"/>
                    <w:bottom w:val="single" w:sz="4" w:space="0" w:color="auto"/>
                    <w:right w:val="single" w:sz="4" w:space="0" w:color="auto"/>
                  </w:tcBorders>
                  <w:hideMark/>
                </w:tcPr>
                <w:p w14:paraId="38E906AD" w14:textId="77777777" w:rsidR="00BF77CE" w:rsidRDefault="00BF77CE">
                  <w:pPr>
                    <w:pStyle w:val="ListParagraph"/>
                    <w:spacing w:line="360" w:lineRule="auto"/>
                    <w:ind w:left="2" w:firstLine="90"/>
                    <w:jc w:val="both"/>
                    <w:rPr>
                      <w:rFonts w:ascii="GHEA Grapalat" w:hAnsi="GHEA Grapalat" w:cs="GHEA Grapalat"/>
                      <w:sz w:val="24"/>
                      <w:szCs w:val="24"/>
                      <w:lang w:val="hy-AM"/>
                    </w:rPr>
                  </w:pPr>
                  <w:r>
                    <w:rPr>
                      <w:rFonts w:ascii="GHEA Grapalat" w:hAnsi="GHEA Grapalat" w:cs="GHEA Grapalat"/>
                      <w:sz w:val="24"/>
                      <w:szCs w:val="24"/>
                      <w:lang w:val="hy-AM"/>
                    </w:rPr>
                    <w:t>42</w:t>
                  </w:r>
                </w:p>
              </w:tc>
              <w:tc>
                <w:tcPr>
                  <w:tcW w:w="3510" w:type="dxa"/>
                  <w:tcBorders>
                    <w:top w:val="single" w:sz="4" w:space="0" w:color="auto"/>
                    <w:left w:val="single" w:sz="4" w:space="0" w:color="auto"/>
                    <w:bottom w:val="single" w:sz="4" w:space="0" w:color="auto"/>
                    <w:right w:val="single" w:sz="4" w:space="0" w:color="auto"/>
                  </w:tcBorders>
                  <w:hideMark/>
                </w:tcPr>
                <w:p w14:paraId="5EB1FA3B" w14:textId="77777777" w:rsidR="00BF77CE" w:rsidRDefault="00BF77CE">
                  <w:pPr>
                    <w:pStyle w:val="ListParagraph"/>
                    <w:spacing w:line="360" w:lineRule="auto"/>
                    <w:ind w:left="70" w:firstLine="540"/>
                    <w:jc w:val="both"/>
                    <w:rPr>
                      <w:rFonts w:ascii="GHEA Grapalat" w:hAnsi="GHEA Grapalat" w:cs="GHEA Grapalat"/>
                      <w:sz w:val="24"/>
                      <w:szCs w:val="24"/>
                      <w:lang w:val="hy-AM"/>
                    </w:rPr>
                  </w:pPr>
                  <w:r>
                    <w:rPr>
                      <w:rFonts w:ascii="GHEA Grapalat" w:hAnsi="GHEA Grapalat" w:cs="GHEA Grapalat"/>
                      <w:sz w:val="24"/>
                      <w:szCs w:val="24"/>
                      <w:lang w:val="hy-AM"/>
                    </w:rPr>
                    <w:t>80</w:t>
                  </w:r>
                </w:p>
              </w:tc>
            </w:tr>
            <w:tr w:rsidR="00BF77CE" w:rsidRPr="00BF77CE" w14:paraId="13455CC8" w14:textId="77777777">
              <w:trPr>
                <w:trHeight w:val="694"/>
              </w:trPr>
              <w:tc>
                <w:tcPr>
                  <w:tcW w:w="3317" w:type="dxa"/>
                  <w:tcBorders>
                    <w:top w:val="single" w:sz="4" w:space="0" w:color="auto"/>
                    <w:left w:val="single" w:sz="4" w:space="0" w:color="auto"/>
                    <w:bottom w:val="single" w:sz="4" w:space="0" w:color="auto"/>
                    <w:right w:val="single" w:sz="4" w:space="0" w:color="auto"/>
                  </w:tcBorders>
                  <w:hideMark/>
                </w:tcPr>
                <w:p w14:paraId="70DE36F8" w14:textId="77777777" w:rsidR="00BF77CE" w:rsidRDefault="00BF77CE">
                  <w:pPr>
                    <w:pStyle w:val="ListParagraph"/>
                    <w:spacing w:line="360" w:lineRule="auto"/>
                    <w:ind w:left="70" w:firstLine="342"/>
                    <w:jc w:val="both"/>
                    <w:rPr>
                      <w:rFonts w:ascii="GHEA Grapalat" w:hAnsi="GHEA Grapalat" w:cs="GHEA Grapalat"/>
                      <w:b/>
                      <w:sz w:val="24"/>
                      <w:szCs w:val="24"/>
                      <w:lang w:val="hy-AM"/>
                    </w:rPr>
                  </w:pPr>
                  <w:r>
                    <w:rPr>
                      <w:rFonts w:ascii="GHEA Grapalat" w:hAnsi="GHEA Grapalat" w:cs="GHEA Grapalat"/>
                      <w:b/>
                      <w:sz w:val="24"/>
                      <w:szCs w:val="24"/>
                      <w:lang w:val="hy-AM"/>
                    </w:rPr>
                    <w:t>Ընդամենը</w:t>
                  </w:r>
                </w:p>
              </w:tc>
              <w:tc>
                <w:tcPr>
                  <w:tcW w:w="1350" w:type="dxa"/>
                  <w:tcBorders>
                    <w:top w:val="single" w:sz="4" w:space="0" w:color="auto"/>
                    <w:left w:val="single" w:sz="4" w:space="0" w:color="auto"/>
                    <w:bottom w:val="single" w:sz="4" w:space="0" w:color="auto"/>
                    <w:right w:val="single" w:sz="4" w:space="0" w:color="auto"/>
                  </w:tcBorders>
                  <w:hideMark/>
                </w:tcPr>
                <w:p w14:paraId="17EFB21F" w14:textId="77777777" w:rsidR="00BF77CE" w:rsidRDefault="00BF77CE">
                  <w:pPr>
                    <w:pStyle w:val="ListParagraph"/>
                    <w:spacing w:line="360" w:lineRule="auto"/>
                    <w:ind w:left="2" w:firstLine="90"/>
                    <w:jc w:val="both"/>
                    <w:rPr>
                      <w:rFonts w:ascii="GHEA Grapalat" w:hAnsi="GHEA Grapalat" w:cs="GHEA Grapalat"/>
                      <w:b/>
                      <w:sz w:val="24"/>
                      <w:szCs w:val="24"/>
                      <w:lang w:val="hy-AM"/>
                    </w:rPr>
                  </w:pPr>
                  <w:r>
                    <w:rPr>
                      <w:rFonts w:ascii="GHEA Grapalat" w:hAnsi="GHEA Grapalat" w:cs="GHEA Grapalat"/>
                      <w:b/>
                      <w:sz w:val="24"/>
                      <w:szCs w:val="24"/>
                      <w:lang w:val="hy-AM"/>
                    </w:rPr>
                    <w:t>109</w:t>
                  </w:r>
                </w:p>
              </w:tc>
              <w:tc>
                <w:tcPr>
                  <w:tcW w:w="3510" w:type="dxa"/>
                  <w:tcBorders>
                    <w:top w:val="single" w:sz="4" w:space="0" w:color="auto"/>
                    <w:left w:val="single" w:sz="4" w:space="0" w:color="auto"/>
                    <w:bottom w:val="single" w:sz="4" w:space="0" w:color="auto"/>
                    <w:right w:val="single" w:sz="4" w:space="0" w:color="auto"/>
                  </w:tcBorders>
                  <w:hideMark/>
                </w:tcPr>
                <w:p w14:paraId="619103A3" w14:textId="77777777" w:rsidR="00BF77CE" w:rsidRDefault="00BF77CE">
                  <w:pPr>
                    <w:pStyle w:val="ListParagraph"/>
                    <w:spacing w:line="360" w:lineRule="auto"/>
                    <w:ind w:left="70" w:firstLine="540"/>
                    <w:jc w:val="both"/>
                    <w:rPr>
                      <w:rFonts w:ascii="GHEA Grapalat" w:hAnsi="GHEA Grapalat" w:cs="GHEA Grapalat"/>
                      <w:b/>
                      <w:sz w:val="24"/>
                      <w:szCs w:val="24"/>
                      <w:lang w:val="hy-AM"/>
                    </w:rPr>
                  </w:pPr>
                  <w:r>
                    <w:rPr>
                      <w:rFonts w:ascii="GHEA Grapalat" w:hAnsi="GHEA Grapalat" w:cs="GHEA Grapalat"/>
                      <w:b/>
                      <w:sz w:val="24"/>
                      <w:szCs w:val="24"/>
                      <w:lang w:val="hy-AM"/>
                    </w:rPr>
                    <w:t>300</w:t>
                  </w:r>
                </w:p>
              </w:tc>
            </w:tr>
          </w:tbl>
          <w:p w14:paraId="670532F4" w14:textId="77777777" w:rsidR="00BF77CE" w:rsidRDefault="00BF77CE">
            <w:pPr>
              <w:tabs>
                <w:tab w:val="left" w:pos="851"/>
              </w:tabs>
              <w:spacing w:line="360" w:lineRule="auto"/>
              <w:ind w:left="70" w:firstLine="540"/>
              <w:jc w:val="both"/>
              <w:rPr>
                <w:rFonts w:ascii="GHEA Grapalat" w:hAnsi="GHEA Grapalat" w:cs="GHEA Grapalat"/>
                <w:lang w:val="hy-AM"/>
              </w:rPr>
            </w:pPr>
          </w:p>
          <w:p w14:paraId="4D80B3B9" w14:textId="77777777" w:rsidR="00BF77CE" w:rsidRDefault="00BF77CE">
            <w:pPr>
              <w:tabs>
                <w:tab w:val="left" w:pos="851"/>
              </w:tabs>
              <w:spacing w:line="360" w:lineRule="auto"/>
              <w:ind w:left="70" w:firstLine="540"/>
              <w:jc w:val="both"/>
              <w:rPr>
                <w:rFonts w:ascii="GHEA Grapalat" w:hAnsi="GHEA Grapalat" w:cs="GHEA Grapalat"/>
                <w:lang w:val="hy-AM"/>
              </w:rPr>
            </w:pPr>
            <w:r>
              <w:rPr>
                <w:rFonts w:ascii="GHEA Grapalat" w:hAnsi="GHEA Grapalat" w:cs="GHEA Grapalat"/>
                <w:lang w:val="hy-AM"/>
              </w:rPr>
              <w:tab/>
              <w:t xml:space="preserve">Մի կողմից, </w:t>
            </w:r>
            <w:r>
              <w:rPr>
                <w:rFonts w:ascii="GHEA Grapalat" w:hAnsi="GHEA Grapalat"/>
                <w:shd w:val="clear" w:color="auto" w:fill="FFFFFF"/>
                <w:lang w:val="hy-AM"/>
              </w:rPr>
              <w:t xml:space="preserve">ռեեստրը համալրված չէ բավարար քանակի մասնագետներով (յուրաքանչյուր տարածքի համար յուրաքանչյուր մասնագետից առնվազն երեք), հատկապես ցածր տոկոս են կազմում առավել անհրաժեշտ մասնագետները՝  հոգեբույժներ, վիրաբույժներ, նյարդաբաններ, էրգոթերապիստներ, կինեզիոլոգներ և վերականգնողաբաններ, ինչի արդյունքում հնարավոր չէ ամբողջ ծավալով ապահովել պատահականության սկզբունքի կիրառմամբ գնահատող հանձնաժողովների ձևավորման գործընթացը։ Հանրապետությունում նման մասնագետների թիվը խիստ սակավ է։ </w:t>
            </w:r>
          </w:p>
          <w:p w14:paraId="5D7BAE6D" w14:textId="77777777" w:rsidR="00BF77CE" w:rsidRDefault="00BF77CE">
            <w:pPr>
              <w:spacing w:line="360" w:lineRule="auto"/>
              <w:ind w:left="70" w:firstLine="540"/>
              <w:jc w:val="both"/>
              <w:rPr>
                <w:rFonts w:ascii="GHEA Grapalat" w:hAnsi="GHEA Grapalat" w:cs="GHEA Grapalat"/>
                <w:lang w:val="hy-AM"/>
              </w:rPr>
            </w:pPr>
            <w:r>
              <w:rPr>
                <w:rFonts w:ascii="GHEA Grapalat" w:hAnsi="GHEA Grapalat" w:cs="GHEA Grapalat"/>
                <w:lang w:val="hy-AM"/>
              </w:rPr>
              <w:t>Նեղ մասնագիտություններ ունեցող մասնագետները, որոնք հիմնականում աշխատում են 0.5 դրույքաչափով, ամսական կտրվածքով աշխատում են շաբաթական 2 կամ 3 ամբողջական օրեր, և գործուղվում են ամբողջ օրով, վարձատրվում են 0.5 դրույքաչափով, իսկ գործուղման ընթացքում քանի գնահատման մեջ էլ ներգրավված լինեն՝ միևնույն է աշխատում են 8 ժամ, իսկ գործավճարի պարագայում օր. 2-5 գնահատում ունենալու պարագայում ամսական 10 օր աշխատելու դեպքում կիրականացնեն  20-50 գնահատում (հանած նվազագույն 16 գնահատում )։</w:t>
            </w:r>
          </w:p>
          <w:p w14:paraId="6CDF6CDA" w14:textId="77777777" w:rsidR="00BF77CE" w:rsidRDefault="00BF77CE">
            <w:pPr>
              <w:pStyle w:val="ListParagraph"/>
              <w:spacing w:line="360" w:lineRule="auto"/>
              <w:ind w:left="70" w:firstLine="540"/>
              <w:jc w:val="both"/>
              <w:rPr>
                <w:rFonts w:ascii="GHEA Grapalat" w:hAnsi="GHEA Grapalat" w:cs="GHEA Grapalat"/>
                <w:sz w:val="24"/>
                <w:szCs w:val="24"/>
                <w:lang w:val="hy-AM"/>
              </w:rPr>
            </w:pPr>
            <w:r>
              <w:rPr>
                <w:rFonts w:ascii="GHEA Grapalat" w:hAnsi="GHEA Grapalat" w:cs="GHEA Grapalat"/>
                <w:sz w:val="24"/>
                <w:szCs w:val="24"/>
                <w:lang w:val="hy-AM"/>
              </w:rPr>
              <w:t>Արդյունքում, մասնագետների համար նման աշխատանքը գրավիչ չի լինի:</w:t>
            </w:r>
          </w:p>
          <w:p w14:paraId="525FDE8E" w14:textId="77777777" w:rsidR="00BF77CE" w:rsidRDefault="00BF77CE" w:rsidP="00BF77CE">
            <w:pPr>
              <w:pStyle w:val="ListParagraph"/>
              <w:numPr>
                <w:ilvl w:val="0"/>
                <w:numId w:val="5"/>
              </w:numPr>
              <w:tabs>
                <w:tab w:val="left" w:pos="851"/>
              </w:tabs>
              <w:spacing w:after="0" w:line="360" w:lineRule="auto"/>
              <w:ind w:left="70" w:firstLine="540"/>
              <w:jc w:val="both"/>
              <w:rPr>
                <w:rFonts w:ascii="GHEA Grapalat" w:hAnsi="GHEA Grapalat" w:cs="GHEA Grapalat"/>
                <w:sz w:val="24"/>
                <w:szCs w:val="24"/>
                <w:lang w:val="hy-AM"/>
              </w:rPr>
            </w:pPr>
            <w:r>
              <w:rPr>
                <w:rFonts w:ascii="GHEA Grapalat" w:hAnsi="GHEA Grapalat" w:cs="GHEA Grapalat"/>
                <w:sz w:val="24"/>
                <w:szCs w:val="24"/>
                <w:lang w:val="hy-AM"/>
              </w:rPr>
              <w:t xml:space="preserve">Գործավճարով վարձատրվելու պարագայում, այն մասնագետները ովքեր իրենց բնակության վայրից կամ աշխատավայրից բավականին հեռու գտնվող տարածքից կստանան 1-2 գնահատում իրականացնելու ծանուցում, մասնագետի կողմից խնդրո առարկա գնահատումը իրականացնելու համար ծախսվող ռեսուրսի և ակնկալվող ստանալիք գումարի համեմատության արդյունքում հնարավոր է մերժվի գնահատում իրականացնելու ծանուցումը, ինչը լրացուցիչ խոչընդոտ կառաջացնի անձի ֆունկցիոնալության գնահատում իրականացման համար, հաշվի առնելով նաև այն կարևոր փաստը, որ համակարգում գուցե այլ մասնագետներ ներգրավված չլինեն: </w:t>
            </w:r>
          </w:p>
          <w:p w14:paraId="42E9D510" w14:textId="77777777" w:rsidR="00BF77CE" w:rsidRDefault="00BF77CE" w:rsidP="00BF77CE">
            <w:pPr>
              <w:pStyle w:val="ListParagraph"/>
              <w:numPr>
                <w:ilvl w:val="0"/>
                <w:numId w:val="5"/>
              </w:numPr>
              <w:spacing w:after="0" w:line="360" w:lineRule="auto"/>
              <w:ind w:left="70" w:firstLine="540"/>
              <w:jc w:val="both"/>
              <w:rPr>
                <w:rFonts w:ascii="GHEA Grapalat" w:hAnsi="GHEA Grapalat" w:cstheme="minorBidi"/>
                <w:sz w:val="24"/>
                <w:szCs w:val="24"/>
                <w:lang w:val="hy-AM"/>
              </w:rPr>
            </w:pPr>
            <w:r>
              <w:rPr>
                <w:rFonts w:ascii="GHEA Grapalat" w:hAnsi="GHEA Grapalat"/>
                <w:sz w:val="24"/>
                <w:szCs w:val="24"/>
                <w:lang w:val="hy-AM"/>
              </w:rPr>
              <w:t>Քիչ չեն դեպքերը, երբ գնահատող մասնագետները ներկայանում են գնահատման վայր՝ ՄՍԾՏԿ, իսկ քաղաքացին չի  ներկայանում տարբեր պատճառներով։ Արդյունքում անարդյունավետ ծախս է կատարվում մասնագետի կողմից և բնականաբար չի վճարվում, քանի որ գնահատումը տեղի չի ունեցել, սակայն ծառայության կողմից կամ մասնագետի կողմից ռեսուրս է ծախսվել:</w:t>
            </w:r>
          </w:p>
          <w:p w14:paraId="1F9F9ABC" w14:textId="77777777" w:rsidR="00BF77CE" w:rsidRDefault="00BF77CE" w:rsidP="00BF77CE">
            <w:pPr>
              <w:pStyle w:val="ListParagraph"/>
              <w:numPr>
                <w:ilvl w:val="0"/>
                <w:numId w:val="5"/>
              </w:numPr>
              <w:tabs>
                <w:tab w:val="left" w:pos="851"/>
              </w:tabs>
              <w:spacing w:after="0" w:line="360" w:lineRule="auto"/>
              <w:ind w:left="70" w:firstLine="540"/>
              <w:jc w:val="both"/>
              <w:rPr>
                <w:rFonts w:ascii="GHEA Grapalat" w:hAnsi="GHEA Grapalat" w:cs="GHEA Grapalat"/>
                <w:sz w:val="24"/>
                <w:szCs w:val="24"/>
                <w:lang w:val="hy-AM"/>
              </w:rPr>
            </w:pPr>
            <w:r>
              <w:rPr>
                <w:rFonts w:ascii="GHEA Grapalat" w:hAnsi="GHEA Grapalat" w:cs="Sylfaen"/>
                <w:sz w:val="24"/>
                <w:szCs w:val="24"/>
                <w:shd w:val="clear" w:color="auto" w:fill="FFFFFF"/>
                <w:lang w:val="hy-AM"/>
              </w:rPr>
              <w:t>Գործավճարի</w:t>
            </w:r>
            <w:r>
              <w:rPr>
                <w:rFonts w:ascii="GHEA Grapalat" w:hAnsi="GHEA Grapalat"/>
                <w:sz w:val="24"/>
                <w:szCs w:val="24"/>
                <w:shd w:val="clear" w:color="auto" w:fill="FFFFFF"/>
                <w:lang w:val="hy-AM"/>
              </w:rPr>
              <w:t xml:space="preserve"> եղանակի կիրառմամբ անձի ֆունկցիոնալությունը գնահատող մասնագետների վարձատրությունը որոշելու հարցում անհրաժեշտ է հաշվի առնել </w:t>
            </w:r>
            <w:r>
              <w:rPr>
                <w:rFonts w:ascii="GHEA Grapalat" w:hAnsi="GHEA Grapalat"/>
                <w:color w:val="000000"/>
                <w:sz w:val="24"/>
                <w:szCs w:val="24"/>
                <w:lang w:val="hy-AM"/>
              </w:rPr>
              <w:t xml:space="preserve">նաև այն հանգամանքը, որ նշված </w:t>
            </w:r>
            <w:r>
              <w:rPr>
                <w:rFonts w:ascii="GHEA Grapalat" w:hAnsi="GHEA Grapalat" w:cs="GHEA Grapalat"/>
                <w:sz w:val="24"/>
                <w:szCs w:val="24"/>
                <w:lang w:val="hy-AM"/>
              </w:rPr>
              <w:t xml:space="preserve">մեխանիզմը չի կարող տարածվել ԱՖԳ և ԱՄԱ վարչության անձի ֆունկցիոնալության վերագնահատման բաժնի (այսուհետ՝ Բաժին) գնահատող մասնագետների վրա, քանի որ բողոքարկումները կազմում են գնահատումների 5.7%-ը, և քանակը նույնպես կանխատեսելի չէ: Բացի այդ, Բաժնի մասնագետները ևս գնահատող մասնագետներ են, չնայած իրավական ակտերով սահմանված այլ գործառույթներ (կուտակային կենսաթոշակի հետվերադարծի վերաբերյալ եզրակացության տրամադրում, մահվան պատճառական կապի որոշում, դատական նիստերի մասնակցություն, միջազգային պայմանագրերով նախատեսված այլ գործառույթներ) ևս ունեն, որոնք ֆունկցիոնալության գնահատում չեն ենթադրում։ Այս դեպքում տարբերակված մոտեցում է լինում նույն համակարգի գնահատող մասնագետների միջև։ </w:t>
            </w:r>
          </w:p>
        </w:tc>
      </w:tr>
      <w:tr w:rsidR="00BF77CE" w14:paraId="300731E3" w14:textId="77777777" w:rsidTr="00BF77CE">
        <w:trPr>
          <w:gridAfter w:val="1"/>
          <w:wAfter w:w="14" w:type="dxa"/>
        </w:trPr>
        <w:tc>
          <w:tcPr>
            <w:tcW w:w="697" w:type="dxa"/>
            <w:tcBorders>
              <w:top w:val="single" w:sz="4" w:space="0" w:color="000000"/>
              <w:left w:val="single" w:sz="4" w:space="0" w:color="000000"/>
              <w:bottom w:val="single" w:sz="4" w:space="0" w:color="000000"/>
              <w:right w:val="single" w:sz="4" w:space="0" w:color="000000"/>
            </w:tcBorders>
            <w:hideMark/>
          </w:tcPr>
          <w:p w14:paraId="1BA34DA3" w14:textId="77777777" w:rsidR="00BF77CE" w:rsidRDefault="00BF77CE">
            <w:pPr>
              <w:widowControl w:val="0"/>
              <w:spacing w:line="360" w:lineRule="auto"/>
              <w:jc w:val="both"/>
              <w:rPr>
                <w:rFonts w:ascii="GHEA Grapalat" w:hAnsi="GHEA Grapalat"/>
                <w:b/>
                <w:lang w:val="en-US" w:eastAsia="en-US"/>
              </w:rPr>
            </w:pPr>
            <w:r>
              <w:rPr>
                <w:rFonts w:ascii="GHEA Grapalat" w:hAnsi="GHEA Grapalat"/>
                <w:b/>
                <w:lang w:val="en-US" w:eastAsia="en-US"/>
              </w:rPr>
              <w:t>3.</w:t>
            </w:r>
          </w:p>
        </w:tc>
        <w:tc>
          <w:tcPr>
            <w:tcW w:w="10082" w:type="dxa"/>
            <w:tcBorders>
              <w:top w:val="single" w:sz="4" w:space="0" w:color="000000"/>
              <w:left w:val="single" w:sz="4" w:space="0" w:color="000000"/>
              <w:bottom w:val="single" w:sz="4" w:space="0" w:color="000000"/>
              <w:right w:val="single" w:sz="4" w:space="0" w:color="000000"/>
            </w:tcBorders>
            <w:hideMark/>
          </w:tcPr>
          <w:p w14:paraId="62E616D7" w14:textId="77777777" w:rsidR="00BF77CE" w:rsidRDefault="00BF77CE">
            <w:pPr>
              <w:widowControl w:val="0"/>
              <w:spacing w:line="360" w:lineRule="auto"/>
              <w:ind w:firstLine="256"/>
              <w:jc w:val="both"/>
              <w:rPr>
                <w:rFonts w:ascii="GHEA Grapalat" w:hAnsi="GHEA Grapalat" w:cs="IRTEK Courier"/>
                <w:b/>
                <w:lang w:val="af-ZA" w:eastAsia="en-US"/>
              </w:rPr>
            </w:pPr>
            <w:r>
              <w:rPr>
                <w:rFonts w:ascii="GHEA Grapalat" w:hAnsi="GHEA Grapalat" w:cs="IRTEK Courier"/>
                <w:b/>
                <w:lang w:val="af-ZA" w:eastAsia="en-US"/>
              </w:rPr>
              <w:t>Կարգավորման նպատակը և բնույթը</w:t>
            </w:r>
          </w:p>
        </w:tc>
      </w:tr>
      <w:tr w:rsidR="00BF77CE" w:rsidRPr="00BF77CE" w14:paraId="0F5FCB6D" w14:textId="77777777" w:rsidTr="00BF77CE">
        <w:trPr>
          <w:gridAfter w:val="1"/>
          <w:wAfter w:w="14" w:type="dxa"/>
          <w:trHeight w:val="710"/>
        </w:trPr>
        <w:tc>
          <w:tcPr>
            <w:tcW w:w="697" w:type="dxa"/>
            <w:tcBorders>
              <w:top w:val="single" w:sz="4" w:space="0" w:color="000000"/>
              <w:left w:val="single" w:sz="4" w:space="0" w:color="000000"/>
              <w:bottom w:val="single" w:sz="4" w:space="0" w:color="000000"/>
              <w:right w:val="single" w:sz="4" w:space="0" w:color="000000"/>
            </w:tcBorders>
          </w:tcPr>
          <w:p w14:paraId="1F11AE01" w14:textId="77777777" w:rsidR="00BF77CE" w:rsidRDefault="00BF77CE">
            <w:pPr>
              <w:widowControl w:val="0"/>
              <w:spacing w:line="360" w:lineRule="auto"/>
              <w:jc w:val="both"/>
              <w:rPr>
                <w:rFonts w:ascii="GHEA Grapalat" w:hAnsi="GHEA Grapalat"/>
                <w:lang w:val="hy-AM"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14:paraId="044D1C5B" w14:textId="77777777" w:rsidR="00BF77CE" w:rsidRDefault="00BF77CE">
            <w:pPr>
              <w:spacing w:line="360" w:lineRule="auto"/>
              <w:ind w:firstLine="720"/>
              <w:jc w:val="both"/>
              <w:rPr>
                <w:rFonts w:ascii="GHEA Grapalat" w:hAnsi="GHEA Grapalat"/>
                <w:lang w:val="hy-AM"/>
              </w:rPr>
            </w:pPr>
            <w:r>
              <w:rPr>
                <w:rFonts w:ascii="GHEA Grapalat" w:hAnsi="GHEA Grapalat"/>
                <w:lang w:val="hy-AM"/>
              </w:rPr>
              <w:t>Վերոնշյալից բացի գործնականում կարող են առաջ գալ նաև այլ, նախապես անկանխատեսելի խնդիրներ և ռիսկեր, որոնք կարող են խոչընդոտել անձի ֆունկցիոնալության գնահատման ամենօրյա գործընթացը, խոչընդոտելով խոցելի խմբի իրավունքների իրացմանը։</w:t>
            </w:r>
          </w:p>
          <w:p w14:paraId="1D45872F" w14:textId="77777777" w:rsidR="00BF77CE" w:rsidRDefault="00BF77CE">
            <w:pPr>
              <w:spacing w:line="360" w:lineRule="auto"/>
              <w:ind w:firstLine="720"/>
              <w:jc w:val="both"/>
              <w:rPr>
                <w:rFonts w:ascii="GHEA Grapalat" w:hAnsi="GHEA Grapalat"/>
                <w:lang w:val="hy-AM"/>
              </w:rPr>
            </w:pPr>
            <w:r>
              <w:rPr>
                <w:rFonts w:ascii="GHEA Grapalat" w:hAnsi="GHEA Grapalat"/>
                <w:lang w:val="hy-AM"/>
              </w:rPr>
              <w:t xml:space="preserve">Հաշվի առնելով վերոգրյալը, միաժամանակ, 21.11.2025 սոցիալական նախարարական կոմիտեի նիստի քննարկման արդյունքները՝ սույն նախագծով նախատեսվում է պահպանել անձի ֆունկցիոնալության գնահատման մասնագետների  վարձատրության գործող սկզբունքները մինչև 2027 թվականի հունվարի 1-ը։ </w:t>
            </w:r>
          </w:p>
        </w:tc>
      </w:tr>
      <w:tr w:rsidR="00BF77CE" w:rsidRPr="00BF77CE" w14:paraId="062D286D" w14:textId="77777777" w:rsidTr="00BF77CE">
        <w:trPr>
          <w:gridAfter w:val="1"/>
          <w:wAfter w:w="14" w:type="dxa"/>
        </w:trPr>
        <w:tc>
          <w:tcPr>
            <w:tcW w:w="697" w:type="dxa"/>
            <w:tcBorders>
              <w:top w:val="single" w:sz="4" w:space="0" w:color="000000"/>
              <w:left w:val="single" w:sz="4" w:space="0" w:color="000000"/>
              <w:bottom w:val="single" w:sz="4" w:space="0" w:color="000000"/>
              <w:right w:val="single" w:sz="4" w:space="0" w:color="000000"/>
            </w:tcBorders>
            <w:hideMark/>
          </w:tcPr>
          <w:p w14:paraId="690BD4A9" w14:textId="77777777" w:rsidR="00BF77CE" w:rsidRDefault="00BF77CE">
            <w:pPr>
              <w:widowControl w:val="0"/>
              <w:spacing w:line="360" w:lineRule="auto"/>
              <w:rPr>
                <w:rFonts w:ascii="GHEA Grapalat" w:hAnsi="GHEA Grapalat"/>
                <w:b/>
                <w:lang w:val="hy-AM" w:eastAsia="en-US"/>
              </w:rPr>
            </w:pPr>
            <w:r>
              <w:rPr>
                <w:rFonts w:ascii="GHEA Grapalat" w:hAnsi="GHEA Grapalat"/>
                <w:b/>
                <w:lang w:val="hy-AM" w:eastAsia="en-US"/>
              </w:rPr>
              <w:t>4</w:t>
            </w:r>
            <w:r>
              <w:rPr>
                <w:rFonts w:ascii="Cambria Math" w:eastAsia="MS Mincho" w:hAnsi="Cambria Math" w:cs="Cambria Math"/>
                <w:b/>
                <w:lang w:val="hy-AM" w:eastAsia="en-US"/>
              </w:rPr>
              <w:t>․</w:t>
            </w:r>
          </w:p>
        </w:tc>
        <w:tc>
          <w:tcPr>
            <w:tcW w:w="10082" w:type="dxa"/>
            <w:tcBorders>
              <w:top w:val="single" w:sz="4" w:space="0" w:color="000000"/>
              <w:left w:val="single" w:sz="4" w:space="0" w:color="000000"/>
              <w:bottom w:val="single" w:sz="4" w:space="0" w:color="000000"/>
              <w:right w:val="single" w:sz="4" w:space="0" w:color="000000"/>
            </w:tcBorders>
            <w:hideMark/>
          </w:tcPr>
          <w:p w14:paraId="05EA3CDA" w14:textId="77777777" w:rsidR="00BF77CE" w:rsidRDefault="00BF77CE">
            <w:pPr>
              <w:widowControl w:val="0"/>
              <w:spacing w:line="360" w:lineRule="auto"/>
              <w:jc w:val="both"/>
              <w:rPr>
                <w:rFonts w:ascii="GHEA Grapalat" w:hAnsi="GHEA Grapalat" w:cs="IRTEK Courier"/>
                <w:b/>
                <w:lang w:val="af-ZA" w:eastAsia="en-US"/>
              </w:rPr>
            </w:pPr>
            <w:r>
              <w:rPr>
                <w:rFonts w:ascii="GHEA Grapalat" w:hAnsi="GHEA Grapalat" w:cs="IRTEK Courier"/>
                <w:b/>
                <w:lang w:val="af-ZA" w:eastAsia="en-US"/>
              </w:rPr>
              <w:t>Նախագծի մշակման գործընթացում ներգրավված ինստիտուտները և անձինք</w:t>
            </w:r>
          </w:p>
        </w:tc>
      </w:tr>
      <w:tr w:rsidR="00BF77CE" w:rsidRPr="00BF77CE" w14:paraId="17380AE1" w14:textId="77777777" w:rsidTr="00BF77CE">
        <w:trPr>
          <w:gridAfter w:val="1"/>
          <w:wAfter w:w="14" w:type="dxa"/>
          <w:trHeight w:val="411"/>
        </w:trPr>
        <w:tc>
          <w:tcPr>
            <w:tcW w:w="697" w:type="dxa"/>
            <w:tcBorders>
              <w:top w:val="single" w:sz="4" w:space="0" w:color="000000"/>
              <w:left w:val="single" w:sz="4" w:space="0" w:color="000000"/>
              <w:bottom w:val="single" w:sz="4" w:space="0" w:color="000000"/>
              <w:right w:val="single" w:sz="4" w:space="0" w:color="000000"/>
            </w:tcBorders>
          </w:tcPr>
          <w:p w14:paraId="0D749E0A" w14:textId="77777777" w:rsidR="00BF77CE" w:rsidRDefault="00BF77CE">
            <w:pPr>
              <w:widowControl w:val="0"/>
              <w:spacing w:line="360" w:lineRule="auto"/>
              <w:jc w:val="both"/>
              <w:rPr>
                <w:rFonts w:ascii="GHEA Grapalat" w:hAnsi="GHEA Grapalat"/>
                <w:lang w:val="hy-AM"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14:paraId="4DDFA133" w14:textId="77777777" w:rsidR="00BF77CE" w:rsidRDefault="00BF77CE">
            <w:pPr>
              <w:widowControl w:val="0"/>
              <w:spacing w:line="360" w:lineRule="auto"/>
              <w:ind w:firstLine="356"/>
              <w:jc w:val="both"/>
              <w:rPr>
                <w:rFonts w:ascii="GHEA Grapalat" w:hAnsi="GHEA Grapalat" w:cs="IRTEK Courier"/>
                <w:lang w:val="hy-AM" w:eastAsia="en-US"/>
              </w:rPr>
            </w:pPr>
            <w:r>
              <w:rPr>
                <w:rFonts w:ascii="GHEA Grapalat" w:hAnsi="GHEA Grapalat" w:cs="IRTEK Courier"/>
                <w:lang w:val="af-ZA" w:eastAsia="en-US"/>
              </w:rPr>
              <w:t>Աշխատանքի և սոցիալական հարցերի նախարարությ</w:t>
            </w:r>
            <w:r>
              <w:rPr>
                <w:rFonts w:ascii="GHEA Grapalat" w:hAnsi="GHEA Grapalat" w:cs="IRTEK Courier"/>
                <w:lang w:val="hy-AM" w:eastAsia="en-US"/>
              </w:rPr>
              <w:t>ուն</w:t>
            </w:r>
          </w:p>
        </w:tc>
      </w:tr>
      <w:tr w:rsidR="00BF77CE" w14:paraId="47D56E69" w14:textId="77777777" w:rsidTr="00BF77CE">
        <w:trPr>
          <w:gridAfter w:val="1"/>
          <w:wAfter w:w="14" w:type="dxa"/>
          <w:trHeight w:val="431"/>
        </w:trPr>
        <w:tc>
          <w:tcPr>
            <w:tcW w:w="697" w:type="dxa"/>
            <w:tcBorders>
              <w:top w:val="single" w:sz="4" w:space="0" w:color="000000"/>
              <w:left w:val="single" w:sz="4" w:space="0" w:color="000000"/>
              <w:bottom w:val="single" w:sz="4" w:space="0" w:color="000000"/>
              <w:right w:val="single" w:sz="4" w:space="0" w:color="000000"/>
            </w:tcBorders>
            <w:hideMark/>
          </w:tcPr>
          <w:p w14:paraId="5C061C0C" w14:textId="77777777" w:rsidR="00BF77CE" w:rsidRDefault="00BF77CE">
            <w:pPr>
              <w:widowControl w:val="0"/>
              <w:spacing w:line="360" w:lineRule="auto"/>
              <w:jc w:val="both"/>
              <w:rPr>
                <w:rFonts w:ascii="GHEA Grapalat" w:hAnsi="GHEA Grapalat"/>
                <w:b/>
                <w:lang w:val="hy-AM" w:eastAsia="en-US"/>
              </w:rPr>
            </w:pPr>
            <w:r>
              <w:rPr>
                <w:rFonts w:ascii="GHEA Grapalat" w:hAnsi="GHEA Grapalat"/>
                <w:b/>
                <w:lang w:val="hy-AM" w:eastAsia="en-US"/>
              </w:rPr>
              <w:t>5.</w:t>
            </w:r>
          </w:p>
        </w:tc>
        <w:tc>
          <w:tcPr>
            <w:tcW w:w="10082" w:type="dxa"/>
            <w:tcBorders>
              <w:top w:val="single" w:sz="4" w:space="0" w:color="000000"/>
              <w:left w:val="single" w:sz="4" w:space="0" w:color="000000"/>
              <w:bottom w:val="single" w:sz="4" w:space="0" w:color="000000"/>
              <w:right w:val="single" w:sz="4" w:space="0" w:color="000000"/>
            </w:tcBorders>
            <w:hideMark/>
          </w:tcPr>
          <w:p w14:paraId="716EEF0B" w14:textId="77777777" w:rsidR="00BF77CE" w:rsidRDefault="00BF77CE">
            <w:pPr>
              <w:widowControl w:val="0"/>
              <w:spacing w:line="360" w:lineRule="auto"/>
              <w:jc w:val="both"/>
              <w:rPr>
                <w:rFonts w:ascii="GHEA Grapalat" w:hAnsi="GHEA Grapalat" w:cs="IRTEK Courier"/>
                <w:b/>
                <w:lang w:val="af-ZA" w:eastAsia="en-US"/>
              </w:rPr>
            </w:pPr>
            <w:r>
              <w:rPr>
                <w:rFonts w:ascii="GHEA Grapalat" w:hAnsi="GHEA Grapalat" w:cs="IRTEK Courier"/>
                <w:b/>
                <w:lang w:val="af-ZA" w:eastAsia="en-US"/>
              </w:rPr>
              <w:t>Ակնկալվող արդյունքը</w:t>
            </w:r>
          </w:p>
        </w:tc>
      </w:tr>
      <w:tr w:rsidR="00BF77CE" w14:paraId="606ABE49" w14:textId="77777777" w:rsidTr="00BF77CE">
        <w:trPr>
          <w:gridAfter w:val="1"/>
          <w:wAfter w:w="14" w:type="dxa"/>
        </w:trPr>
        <w:tc>
          <w:tcPr>
            <w:tcW w:w="697" w:type="dxa"/>
            <w:tcBorders>
              <w:top w:val="single" w:sz="4" w:space="0" w:color="000000"/>
              <w:left w:val="single" w:sz="4" w:space="0" w:color="000000"/>
              <w:bottom w:val="single" w:sz="4" w:space="0" w:color="000000"/>
              <w:right w:val="single" w:sz="4" w:space="0" w:color="000000"/>
            </w:tcBorders>
          </w:tcPr>
          <w:p w14:paraId="61F97DE5" w14:textId="77777777" w:rsidR="00BF77CE" w:rsidRDefault="00BF77CE">
            <w:pPr>
              <w:widowControl w:val="0"/>
              <w:spacing w:line="360" w:lineRule="auto"/>
              <w:jc w:val="both"/>
              <w:rPr>
                <w:rFonts w:ascii="GHEA Grapalat" w:hAnsi="GHEA Grapalat"/>
                <w:lang w:val="en-US"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14:paraId="3B5FAC88" w14:textId="77777777" w:rsidR="00BF77CE" w:rsidRDefault="00BF77CE">
            <w:pPr>
              <w:pStyle w:val="ListParagraph"/>
              <w:tabs>
                <w:tab w:val="left" w:pos="900"/>
              </w:tabs>
              <w:spacing w:line="360" w:lineRule="auto"/>
              <w:ind w:left="0" w:firstLine="630"/>
              <w:jc w:val="both"/>
              <w:rPr>
                <w:rFonts w:ascii="GHEA Grapalat" w:hAnsi="GHEA Grapalat" w:cs="Arial Armenian"/>
                <w:sz w:val="24"/>
                <w:szCs w:val="24"/>
                <w:lang w:val="hy-AM"/>
              </w:rPr>
            </w:pPr>
            <w:r>
              <w:rPr>
                <w:rFonts w:ascii="GHEA Grapalat" w:hAnsi="GHEA Grapalat" w:cs="Sylfaen"/>
                <w:sz w:val="24"/>
                <w:szCs w:val="24"/>
                <w:lang w:val="hy-AM"/>
              </w:rPr>
              <w:tab/>
            </w:r>
            <w:r>
              <w:rPr>
                <w:rFonts w:ascii="GHEA Grapalat" w:hAnsi="GHEA Grapalat" w:cs="Arial Armenian"/>
                <w:sz w:val="24"/>
                <w:szCs w:val="24"/>
                <w:lang w:val="hy-AM"/>
              </w:rPr>
              <w:t>Անձի ֆունկցիունկցիոնալության գնահատման համակարգի կայունություն։</w:t>
            </w:r>
          </w:p>
        </w:tc>
      </w:tr>
      <w:tr w:rsidR="00BF77CE" w:rsidRPr="00BF77CE" w14:paraId="4A5E7AF7" w14:textId="77777777" w:rsidTr="00BF77CE">
        <w:trPr>
          <w:gridAfter w:val="1"/>
          <w:wAfter w:w="14" w:type="dxa"/>
        </w:trPr>
        <w:tc>
          <w:tcPr>
            <w:tcW w:w="697" w:type="dxa"/>
            <w:tcBorders>
              <w:top w:val="single" w:sz="4" w:space="0" w:color="000000"/>
              <w:left w:val="single" w:sz="4" w:space="0" w:color="000000"/>
              <w:bottom w:val="single" w:sz="4" w:space="0" w:color="000000"/>
              <w:right w:val="single" w:sz="4" w:space="0" w:color="000000"/>
            </w:tcBorders>
            <w:hideMark/>
          </w:tcPr>
          <w:p w14:paraId="7A12F166" w14:textId="77777777" w:rsidR="00BF77CE" w:rsidRDefault="00BF77CE">
            <w:pPr>
              <w:widowControl w:val="0"/>
              <w:spacing w:line="360" w:lineRule="auto"/>
              <w:jc w:val="both"/>
              <w:rPr>
                <w:rFonts w:ascii="GHEA Grapalat" w:hAnsi="GHEA Grapalat"/>
                <w:b/>
                <w:lang w:val="hy-AM" w:eastAsia="en-US"/>
              </w:rPr>
            </w:pPr>
            <w:r>
              <w:rPr>
                <w:rFonts w:ascii="GHEA Grapalat" w:hAnsi="GHEA Grapalat"/>
                <w:b/>
                <w:lang w:val="hy-AM" w:eastAsia="en-US"/>
              </w:rPr>
              <w:t>6.</w:t>
            </w:r>
          </w:p>
        </w:tc>
        <w:tc>
          <w:tcPr>
            <w:tcW w:w="10082" w:type="dxa"/>
            <w:tcBorders>
              <w:top w:val="single" w:sz="4" w:space="0" w:color="000000"/>
              <w:left w:val="single" w:sz="4" w:space="0" w:color="000000"/>
              <w:bottom w:val="single" w:sz="4" w:space="0" w:color="000000"/>
              <w:right w:val="single" w:sz="4" w:space="0" w:color="000000"/>
            </w:tcBorders>
            <w:hideMark/>
          </w:tcPr>
          <w:p w14:paraId="43C3D210" w14:textId="77777777" w:rsidR="00BF77CE" w:rsidRDefault="00BF77CE">
            <w:pPr>
              <w:widowControl w:val="0"/>
              <w:tabs>
                <w:tab w:val="left" w:pos="10620"/>
              </w:tabs>
              <w:spacing w:line="360" w:lineRule="auto"/>
              <w:jc w:val="both"/>
              <w:rPr>
                <w:rFonts w:ascii="GHEA Grapalat" w:eastAsia="Calibri" w:hAnsi="GHEA Grapalat"/>
                <w:b/>
                <w:bCs/>
                <w:lang w:val="hy-AM" w:eastAsia="en-US"/>
              </w:rPr>
            </w:pPr>
            <w:r>
              <w:rPr>
                <w:rFonts w:ascii="GHEA Grapalat" w:eastAsia="Calibri" w:hAnsi="GHEA Grapalat"/>
                <w:b/>
                <w:bCs/>
                <w:lang w:val="hy-AM" w:eastAsia="en-US"/>
              </w:rPr>
              <w:t>Հայաստանի Հանրապետության պետական բյուջեի եկամուտների և ծախսերի փոփոխությունները</w:t>
            </w:r>
          </w:p>
        </w:tc>
      </w:tr>
      <w:tr w:rsidR="00BF77CE" w:rsidRPr="00BF77CE" w14:paraId="67C7FC1E" w14:textId="77777777" w:rsidTr="00BF77CE">
        <w:trPr>
          <w:gridAfter w:val="1"/>
          <w:wAfter w:w="14" w:type="dxa"/>
        </w:trPr>
        <w:tc>
          <w:tcPr>
            <w:tcW w:w="697" w:type="dxa"/>
            <w:tcBorders>
              <w:top w:val="single" w:sz="4" w:space="0" w:color="000000"/>
              <w:left w:val="single" w:sz="4" w:space="0" w:color="000000"/>
              <w:bottom w:val="single" w:sz="4" w:space="0" w:color="000000"/>
              <w:right w:val="single" w:sz="4" w:space="0" w:color="000000"/>
            </w:tcBorders>
          </w:tcPr>
          <w:p w14:paraId="25A036B1" w14:textId="77777777" w:rsidR="00BF77CE" w:rsidRDefault="00BF77CE">
            <w:pPr>
              <w:widowControl w:val="0"/>
              <w:spacing w:line="360" w:lineRule="auto"/>
              <w:jc w:val="both"/>
              <w:rPr>
                <w:rFonts w:ascii="GHEA Grapalat" w:hAnsi="GHEA Grapalat"/>
                <w:lang w:val="hy-AM"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14:paraId="0E5ED96E" w14:textId="77777777" w:rsidR="00BF77CE" w:rsidRDefault="00BF77CE">
            <w:pPr>
              <w:widowControl w:val="0"/>
              <w:tabs>
                <w:tab w:val="left" w:pos="10620"/>
              </w:tabs>
              <w:spacing w:line="360" w:lineRule="auto"/>
              <w:ind w:firstLine="356"/>
              <w:jc w:val="both"/>
              <w:rPr>
                <w:rFonts w:ascii="GHEA Grapalat" w:hAnsi="GHEA Grapalat"/>
                <w:lang w:val="hy-AM" w:eastAsia="en-US"/>
              </w:rPr>
            </w:pPr>
            <w:r>
              <w:rPr>
                <w:rFonts w:ascii="GHEA Grapalat" w:hAnsi="GHEA Grapalat" w:cs="Arial Unicode"/>
                <w:bCs/>
                <w:lang w:val="hy-AM"/>
              </w:rPr>
              <w:t xml:space="preserve">Նախագծի ընդունման դեպքում  </w:t>
            </w:r>
            <w:r>
              <w:rPr>
                <w:rFonts w:ascii="GHEA Grapalat" w:hAnsi="GHEA Grapalat"/>
                <w:bCs/>
                <w:lang w:val="hy-AM"/>
              </w:rPr>
              <w:t xml:space="preserve">Հայաստանի Հանրապետության պետական բյուջեի եկամուտներում և ծախսերում լրացուցիչ փոփոխությունների անհրաժեշտություն  չի առաջանա։ </w:t>
            </w:r>
          </w:p>
        </w:tc>
      </w:tr>
      <w:tr w:rsidR="00BF77CE" w14:paraId="1AC60B6F" w14:textId="77777777" w:rsidTr="00BF77CE">
        <w:trPr>
          <w:gridAfter w:val="1"/>
          <w:wAfter w:w="14" w:type="dxa"/>
        </w:trPr>
        <w:tc>
          <w:tcPr>
            <w:tcW w:w="697" w:type="dxa"/>
            <w:tcBorders>
              <w:top w:val="single" w:sz="4" w:space="0" w:color="000000"/>
              <w:left w:val="single" w:sz="4" w:space="0" w:color="000000"/>
              <w:bottom w:val="single" w:sz="4" w:space="0" w:color="000000"/>
              <w:right w:val="single" w:sz="4" w:space="0" w:color="000000"/>
            </w:tcBorders>
            <w:hideMark/>
          </w:tcPr>
          <w:p w14:paraId="7E1FFCB6" w14:textId="77777777" w:rsidR="00BF77CE" w:rsidRDefault="00BF77CE">
            <w:pPr>
              <w:widowControl w:val="0"/>
              <w:spacing w:line="360" w:lineRule="auto"/>
              <w:jc w:val="both"/>
              <w:rPr>
                <w:rFonts w:ascii="GHEA Grapalat" w:hAnsi="GHEA Grapalat"/>
                <w:b/>
                <w:lang w:val="en-US" w:eastAsia="en-US"/>
              </w:rPr>
            </w:pPr>
            <w:r>
              <w:rPr>
                <w:rFonts w:ascii="GHEA Grapalat" w:hAnsi="GHEA Grapalat"/>
                <w:b/>
                <w:lang w:val="en-US" w:eastAsia="en-US"/>
              </w:rPr>
              <w:t>7.</w:t>
            </w:r>
          </w:p>
        </w:tc>
        <w:tc>
          <w:tcPr>
            <w:tcW w:w="10082" w:type="dxa"/>
            <w:tcBorders>
              <w:top w:val="single" w:sz="4" w:space="0" w:color="000000"/>
              <w:left w:val="single" w:sz="4" w:space="0" w:color="000000"/>
              <w:bottom w:val="single" w:sz="4" w:space="0" w:color="000000"/>
              <w:right w:val="single" w:sz="4" w:space="0" w:color="000000"/>
            </w:tcBorders>
            <w:hideMark/>
          </w:tcPr>
          <w:p w14:paraId="2C2ECEF3" w14:textId="77777777" w:rsidR="00BF77CE" w:rsidRDefault="00BF77CE">
            <w:pPr>
              <w:widowControl w:val="0"/>
              <w:tabs>
                <w:tab w:val="left" w:pos="10620"/>
              </w:tabs>
              <w:spacing w:line="360" w:lineRule="auto"/>
              <w:jc w:val="both"/>
              <w:rPr>
                <w:rFonts w:ascii="GHEA Grapalat" w:hAnsi="GHEA Grapalat" w:cs="Arial Unicode"/>
                <w:b/>
                <w:bCs/>
                <w:lang w:val="hy-AM"/>
              </w:rPr>
            </w:pPr>
            <w:r>
              <w:rPr>
                <w:rFonts w:ascii="GHEA Grapalat" w:hAnsi="GHEA Grapalat" w:cs="Arial Unicode"/>
                <w:b/>
                <w:bCs/>
                <w:lang w:val="hy-AM"/>
              </w:rPr>
              <w:t>Կապը ռազմավարական փաստաթղթերի հետ. Հայաստանի վերափոխման ռազմավարություն 2050, Կառավարության 2021-2026 թթ. ծրագիր, ոլորտային և/կամ այլ ռազմավարություններ</w:t>
            </w:r>
          </w:p>
        </w:tc>
      </w:tr>
      <w:tr w:rsidR="00BF77CE" w14:paraId="08BFC673" w14:textId="77777777" w:rsidTr="00BF77CE">
        <w:trPr>
          <w:gridAfter w:val="1"/>
          <w:wAfter w:w="14" w:type="dxa"/>
        </w:trPr>
        <w:tc>
          <w:tcPr>
            <w:tcW w:w="697" w:type="dxa"/>
            <w:tcBorders>
              <w:top w:val="single" w:sz="4" w:space="0" w:color="000000"/>
              <w:left w:val="single" w:sz="4" w:space="0" w:color="000000"/>
              <w:bottom w:val="single" w:sz="4" w:space="0" w:color="000000"/>
              <w:right w:val="single" w:sz="4" w:space="0" w:color="000000"/>
            </w:tcBorders>
          </w:tcPr>
          <w:p w14:paraId="3AB15BEB" w14:textId="77777777" w:rsidR="00BF77CE" w:rsidRDefault="00BF77CE">
            <w:pPr>
              <w:widowControl w:val="0"/>
              <w:spacing w:line="360" w:lineRule="auto"/>
              <w:jc w:val="both"/>
              <w:rPr>
                <w:rFonts w:ascii="GHEA Grapalat" w:hAnsi="GHEA Grapalat"/>
                <w:lang w:val="en-US" w:eastAsia="en-US"/>
              </w:rPr>
            </w:pPr>
          </w:p>
        </w:tc>
        <w:tc>
          <w:tcPr>
            <w:tcW w:w="10082" w:type="dxa"/>
            <w:tcBorders>
              <w:top w:val="single" w:sz="4" w:space="0" w:color="000000"/>
              <w:left w:val="single" w:sz="4" w:space="0" w:color="000000"/>
              <w:bottom w:val="single" w:sz="4" w:space="0" w:color="000000"/>
              <w:right w:val="single" w:sz="4" w:space="0" w:color="000000"/>
            </w:tcBorders>
            <w:hideMark/>
          </w:tcPr>
          <w:p w14:paraId="412021DC" w14:textId="77777777" w:rsidR="00BF77CE" w:rsidRDefault="00BF77CE">
            <w:pPr>
              <w:spacing w:line="360" w:lineRule="auto"/>
              <w:ind w:firstLine="720"/>
              <w:jc w:val="both"/>
              <w:rPr>
                <w:rFonts w:ascii="GHEA Grapalat" w:eastAsia="GHEA Grapalat" w:hAnsi="GHEA Grapalat" w:cs="GHEA Grapalat"/>
                <w:lang w:val="hy-AM"/>
              </w:rPr>
            </w:pPr>
            <w:r>
              <w:rPr>
                <w:rFonts w:ascii="GHEA Grapalat" w:hAnsi="GHEA Grapalat" w:cs="Arial Unicode"/>
                <w:bCs/>
                <w:lang w:val="hy-AM"/>
              </w:rPr>
              <w:t>Նախագիծը փոխկապակցված է ՀՀ կառավարության 2021 թվականի օգստոսի 18-ի N 1363-Ա որոշմամբ հաստատված Հայաստանի Հանրապետության կառավարության 2021-2026 թվականների ծրագրի հետ և բխում է 4.6 կետի 24-րդ «Ներդրվելու է հաշմանդամության գնահատման նոր մոդել՝ հիմնված անձի կարիքների բազմակողմանի գնահատման վրա։» պարբերությունից։</w:t>
            </w:r>
          </w:p>
        </w:tc>
      </w:tr>
    </w:tbl>
    <w:p w14:paraId="402CCEDE" w14:textId="77777777" w:rsidR="00BF77CE" w:rsidRDefault="00BF77CE" w:rsidP="00BF77CE">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14:paraId="2AF6AA41" w14:textId="77777777" w:rsidR="00CF5A1F" w:rsidRPr="00BF77CE" w:rsidRDefault="00CF5A1F" w:rsidP="00BF77CE">
      <w:bookmarkStart w:id="0" w:name="_GoBack"/>
      <w:bookmarkEnd w:id="0"/>
    </w:p>
    <w:sectPr w:rsidR="00CF5A1F" w:rsidRPr="00BF77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w:altName w:val="Arial"/>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979709D"/>
    <w:multiLevelType w:val="hybridMultilevel"/>
    <w:tmpl w:val="2DB4BE26"/>
    <w:lvl w:ilvl="0" w:tplc="E0FA8B44">
      <w:start w:val="1"/>
      <w:numFmt w:val="decimal"/>
      <w:lvlText w:val="%1."/>
      <w:lvlJc w:val="left"/>
      <w:pPr>
        <w:ind w:left="1080" w:hanging="360"/>
      </w:pPr>
      <w:rPr>
        <w:rFonts w:cs="GHEA Grapala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5BC"/>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09B"/>
    <w:rsid w:val="000F43F0"/>
    <w:rsid w:val="000F4B6E"/>
    <w:rsid w:val="001002C0"/>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152F"/>
    <w:rsid w:val="00131955"/>
    <w:rsid w:val="00132DF6"/>
    <w:rsid w:val="001356B5"/>
    <w:rsid w:val="00136BBD"/>
    <w:rsid w:val="00137276"/>
    <w:rsid w:val="00140D0B"/>
    <w:rsid w:val="001436F0"/>
    <w:rsid w:val="00143A1F"/>
    <w:rsid w:val="00145DD6"/>
    <w:rsid w:val="00152410"/>
    <w:rsid w:val="001540FF"/>
    <w:rsid w:val="00155BDB"/>
    <w:rsid w:val="00155C9B"/>
    <w:rsid w:val="00156DFF"/>
    <w:rsid w:val="001575BE"/>
    <w:rsid w:val="00157B4F"/>
    <w:rsid w:val="00157D2D"/>
    <w:rsid w:val="00162B33"/>
    <w:rsid w:val="00163437"/>
    <w:rsid w:val="001649E8"/>
    <w:rsid w:val="00165025"/>
    <w:rsid w:val="00166003"/>
    <w:rsid w:val="00170996"/>
    <w:rsid w:val="001748B2"/>
    <w:rsid w:val="00177A3C"/>
    <w:rsid w:val="00180100"/>
    <w:rsid w:val="00180749"/>
    <w:rsid w:val="001810D4"/>
    <w:rsid w:val="0018168E"/>
    <w:rsid w:val="0018373A"/>
    <w:rsid w:val="001840E0"/>
    <w:rsid w:val="0019049D"/>
    <w:rsid w:val="00190DE8"/>
    <w:rsid w:val="0019216F"/>
    <w:rsid w:val="001959CF"/>
    <w:rsid w:val="001A1679"/>
    <w:rsid w:val="001A24FA"/>
    <w:rsid w:val="001A26C7"/>
    <w:rsid w:val="001A3128"/>
    <w:rsid w:val="001A6782"/>
    <w:rsid w:val="001A6D1F"/>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4D0A"/>
    <w:rsid w:val="001D781C"/>
    <w:rsid w:val="001E0216"/>
    <w:rsid w:val="001E3B2A"/>
    <w:rsid w:val="001E42C7"/>
    <w:rsid w:val="001F020C"/>
    <w:rsid w:val="001F15C9"/>
    <w:rsid w:val="001F1C8F"/>
    <w:rsid w:val="001F2530"/>
    <w:rsid w:val="001F3619"/>
    <w:rsid w:val="001F4CE7"/>
    <w:rsid w:val="001F52D6"/>
    <w:rsid w:val="001F543A"/>
    <w:rsid w:val="001F624F"/>
    <w:rsid w:val="001F7C62"/>
    <w:rsid w:val="00201CDE"/>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663A2"/>
    <w:rsid w:val="0027007C"/>
    <w:rsid w:val="002715A8"/>
    <w:rsid w:val="00273C76"/>
    <w:rsid w:val="002756E1"/>
    <w:rsid w:val="00275942"/>
    <w:rsid w:val="00275B52"/>
    <w:rsid w:val="00280758"/>
    <w:rsid w:val="00280A25"/>
    <w:rsid w:val="0028202E"/>
    <w:rsid w:val="002850BB"/>
    <w:rsid w:val="0028663D"/>
    <w:rsid w:val="00286E1E"/>
    <w:rsid w:val="00287B43"/>
    <w:rsid w:val="00292FC1"/>
    <w:rsid w:val="002949E5"/>
    <w:rsid w:val="00295360"/>
    <w:rsid w:val="00296267"/>
    <w:rsid w:val="00296F75"/>
    <w:rsid w:val="002976E9"/>
    <w:rsid w:val="002A1D6B"/>
    <w:rsid w:val="002A2219"/>
    <w:rsid w:val="002A3D80"/>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4AFB"/>
    <w:rsid w:val="002F6E16"/>
    <w:rsid w:val="002F6E9D"/>
    <w:rsid w:val="003007CB"/>
    <w:rsid w:val="003036B6"/>
    <w:rsid w:val="00303E0F"/>
    <w:rsid w:val="0030526B"/>
    <w:rsid w:val="00307022"/>
    <w:rsid w:val="00313275"/>
    <w:rsid w:val="003154BB"/>
    <w:rsid w:val="0031742B"/>
    <w:rsid w:val="00320138"/>
    <w:rsid w:val="003207B3"/>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9752C"/>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642B"/>
    <w:rsid w:val="003D7D81"/>
    <w:rsid w:val="003E0A96"/>
    <w:rsid w:val="003E2CC3"/>
    <w:rsid w:val="003E4D02"/>
    <w:rsid w:val="003E669B"/>
    <w:rsid w:val="003F4390"/>
    <w:rsid w:val="003F4C48"/>
    <w:rsid w:val="003F5099"/>
    <w:rsid w:val="003F5421"/>
    <w:rsid w:val="003F578F"/>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6F2E"/>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5CD0"/>
    <w:rsid w:val="004860CA"/>
    <w:rsid w:val="0048638E"/>
    <w:rsid w:val="00487FC1"/>
    <w:rsid w:val="00491064"/>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3E0"/>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596B"/>
    <w:rsid w:val="00550497"/>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608D"/>
    <w:rsid w:val="005B73D8"/>
    <w:rsid w:val="005C0DEA"/>
    <w:rsid w:val="005C4511"/>
    <w:rsid w:val="005C4EF4"/>
    <w:rsid w:val="005C722F"/>
    <w:rsid w:val="005D1339"/>
    <w:rsid w:val="005D15DF"/>
    <w:rsid w:val="005D65C9"/>
    <w:rsid w:val="005E3243"/>
    <w:rsid w:val="005E36D1"/>
    <w:rsid w:val="005E3FBC"/>
    <w:rsid w:val="005E4460"/>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1FE"/>
    <w:rsid w:val="006F223F"/>
    <w:rsid w:val="006F2653"/>
    <w:rsid w:val="006F2E8F"/>
    <w:rsid w:val="006F2FA9"/>
    <w:rsid w:val="006F35E0"/>
    <w:rsid w:val="006F4A5B"/>
    <w:rsid w:val="006F7F85"/>
    <w:rsid w:val="0070378A"/>
    <w:rsid w:val="00705972"/>
    <w:rsid w:val="007069D8"/>
    <w:rsid w:val="0071029B"/>
    <w:rsid w:val="0071038D"/>
    <w:rsid w:val="007122BD"/>
    <w:rsid w:val="00712E5A"/>
    <w:rsid w:val="00714B01"/>
    <w:rsid w:val="00717E9D"/>
    <w:rsid w:val="0072113A"/>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A33"/>
    <w:rsid w:val="00751EB4"/>
    <w:rsid w:val="00751FEF"/>
    <w:rsid w:val="0075463A"/>
    <w:rsid w:val="00754E19"/>
    <w:rsid w:val="0075578B"/>
    <w:rsid w:val="00756AAD"/>
    <w:rsid w:val="00760E5C"/>
    <w:rsid w:val="00761318"/>
    <w:rsid w:val="007639AE"/>
    <w:rsid w:val="0076713E"/>
    <w:rsid w:val="007677EB"/>
    <w:rsid w:val="0077096E"/>
    <w:rsid w:val="00770BC5"/>
    <w:rsid w:val="007721DF"/>
    <w:rsid w:val="00773762"/>
    <w:rsid w:val="00776DB2"/>
    <w:rsid w:val="0078144C"/>
    <w:rsid w:val="007819AB"/>
    <w:rsid w:val="00783AB7"/>
    <w:rsid w:val="00793A14"/>
    <w:rsid w:val="007971AD"/>
    <w:rsid w:val="007A29F5"/>
    <w:rsid w:val="007A42AB"/>
    <w:rsid w:val="007A684C"/>
    <w:rsid w:val="007A69C1"/>
    <w:rsid w:val="007B0866"/>
    <w:rsid w:val="007B0A60"/>
    <w:rsid w:val="007B11D7"/>
    <w:rsid w:val="007B30DE"/>
    <w:rsid w:val="007B424E"/>
    <w:rsid w:val="007B44F0"/>
    <w:rsid w:val="007C0D09"/>
    <w:rsid w:val="007C10E7"/>
    <w:rsid w:val="007C12C7"/>
    <w:rsid w:val="007D0B0C"/>
    <w:rsid w:val="007D271B"/>
    <w:rsid w:val="007D3D2C"/>
    <w:rsid w:val="007D4511"/>
    <w:rsid w:val="007D4912"/>
    <w:rsid w:val="007E09B5"/>
    <w:rsid w:val="007E1236"/>
    <w:rsid w:val="007E14BD"/>
    <w:rsid w:val="007E5933"/>
    <w:rsid w:val="007E73D9"/>
    <w:rsid w:val="007F216F"/>
    <w:rsid w:val="007F35E4"/>
    <w:rsid w:val="007F5F3F"/>
    <w:rsid w:val="0080590D"/>
    <w:rsid w:val="00810EF2"/>
    <w:rsid w:val="00811507"/>
    <w:rsid w:val="00811899"/>
    <w:rsid w:val="00812F55"/>
    <w:rsid w:val="00813759"/>
    <w:rsid w:val="0081444F"/>
    <w:rsid w:val="00815790"/>
    <w:rsid w:val="00815F77"/>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6965"/>
    <w:rsid w:val="00870680"/>
    <w:rsid w:val="00873B33"/>
    <w:rsid w:val="0087408D"/>
    <w:rsid w:val="00874C74"/>
    <w:rsid w:val="008812F2"/>
    <w:rsid w:val="00885E0B"/>
    <w:rsid w:val="00887365"/>
    <w:rsid w:val="00890368"/>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0517"/>
    <w:rsid w:val="00904FD5"/>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B16FB"/>
    <w:rsid w:val="009B254D"/>
    <w:rsid w:val="009B37B9"/>
    <w:rsid w:val="009B530E"/>
    <w:rsid w:val="009B60CB"/>
    <w:rsid w:val="009B6AF1"/>
    <w:rsid w:val="009C2117"/>
    <w:rsid w:val="009C3FAA"/>
    <w:rsid w:val="009C701A"/>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35045"/>
    <w:rsid w:val="00A40134"/>
    <w:rsid w:val="00A4021D"/>
    <w:rsid w:val="00A41715"/>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6C06"/>
    <w:rsid w:val="00AA70A6"/>
    <w:rsid w:val="00AA7EF9"/>
    <w:rsid w:val="00AB38BF"/>
    <w:rsid w:val="00AB77BC"/>
    <w:rsid w:val="00AC4337"/>
    <w:rsid w:val="00AD13DE"/>
    <w:rsid w:val="00AD55F7"/>
    <w:rsid w:val="00AD698E"/>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2C40"/>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113E"/>
    <w:rsid w:val="00B52CB7"/>
    <w:rsid w:val="00B534D8"/>
    <w:rsid w:val="00B54DAD"/>
    <w:rsid w:val="00B57390"/>
    <w:rsid w:val="00B62473"/>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0BE3"/>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CEB"/>
    <w:rsid w:val="00BE6EAD"/>
    <w:rsid w:val="00BF3FF5"/>
    <w:rsid w:val="00BF44B1"/>
    <w:rsid w:val="00BF4AB6"/>
    <w:rsid w:val="00BF69BF"/>
    <w:rsid w:val="00BF6A1F"/>
    <w:rsid w:val="00BF6F8C"/>
    <w:rsid w:val="00BF75CB"/>
    <w:rsid w:val="00BF77CE"/>
    <w:rsid w:val="00C02D5D"/>
    <w:rsid w:val="00C037F5"/>
    <w:rsid w:val="00C03EE8"/>
    <w:rsid w:val="00C04448"/>
    <w:rsid w:val="00C04D25"/>
    <w:rsid w:val="00C059B9"/>
    <w:rsid w:val="00C05BD8"/>
    <w:rsid w:val="00C11DDC"/>
    <w:rsid w:val="00C13A38"/>
    <w:rsid w:val="00C146D4"/>
    <w:rsid w:val="00C17CFA"/>
    <w:rsid w:val="00C203F5"/>
    <w:rsid w:val="00C214F8"/>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2D1C"/>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672"/>
    <w:rsid w:val="00CB1CFA"/>
    <w:rsid w:val="00CB3B9A"/>
    <w:rsid w:val="00CB5568"/>
    <w:rsid w:val="00CB5784"/>
    <w:rsid w:val="00CC48FB"/>
    <w:rsid w:val="00CC4C7F"/>
    <w:rsid w:val="00CC79C1"/>
    <w:rsid w:val="00CD339B"/>
    <w:rsid w:val="00CD3D6F"/>
    <w:rsid w:val="00CD7228"/>
    <w:rsid w:val="00CE13FD"/>
    <w:rsid w:val="00CE17B7"/>
    <w:rsid w:val="00CE27D4"/>
    <w:rsid w:val="00CE4FC3"/>
    <w:rsid w:val="00CE555A"/>
    <w:rsid w:val="00CE6FC2"/>
    <w:rsid w:val="00CF116C"/>
    <w:rsid w:val="00CF2F74"/>
    <w:rsid w:val="00CF4550"/>
    <w:rsid w:val="00CF5A1F"/>
    <w:rsid w:val="00CF5A29"/>
    <w:rsid w:val="00D0126D"/>
    <w:rsid w:val="00D02F7A"/>
    <w:rsid w:val="00D0425A"/>
    <w:rsid w:val="00D06268"/>
    <w:rsid w:val="00D0652B"/>
    <w:rsid w:val="00D111EC"/>
    <w:rsid w:val="00D15D1B"/>
    <w:rsid w:val="00D16B14"/>
    <w:rsid w:val="00D21928"/>
    <w:rsid w:val="00D21E92"/>
    <w:rsid w:val="00D22EED"/>
    <w:rsid w:val="00D24480"/>
    <w:rsid w:val="00D2651C"/>
    <w:rsid w:val="00D31830"/>
    <w:rsid w:val="00D41624"/>
    <w:rsid w:val="00D42E03"/>
    <w:rsid w:val="00D46E16"/>
    <w:rsid w:val="00D53638"/>
    <w:rsid w:val="00D539A1"/>
    <w:rsid w:val="00D61F80"/>
    <w:rsid w:val="00D62E49"/>
    <w:rsid w:val="00D6672E"/>
    <w:rsid w:val="00D67CCC"/>
    <w:rsid w:val="00D67DBE"/>
    <w:rsid w:val="00D70042"/>
    <w:rsid w:val="00D73F1B"/>
    <w:rsid w:val="00D74A0F"/>
    <w:rsid w:val="00D74E11"/>
    <w:rsid w:val="00D75FD2"/>
    <w:rsid w:val="00D763B1"/>
    <w:rsid w:val="00D8035F"/>
    <w:rsid w:val="00D83986"/>
    <w:rsid w:val="00D90444"/>
    <w:rsid w:val="00D9076A"/>
    <w:rsid w:val="00D938C9"/>
    <w:rsid w:val="00DA4CA6"/>
    <w:rsid w:val="00DA7294"/>
    <w:rsid w:val="00DB19D3"/>
    <w:rsid w:val="00DB1FE1"/>
    <w:rsid w:val="00DB32CD"/>
    <w:rsid w:val="00DB4428"/>
    <w:rsid w:val="00DB4A4D"/>
    <w:rsid w:val="00DB4E9C"/>
    <w:rsid w:val="00DB6E2F"/>
    <w:rsid w:val="00DC5FE0"/>
    <w:rsid w:val="00DC73DB"/>
    <w:rsid w:val="00DC7EFB"/>
    <w:rsid w:val="00DD1A89"/>
    <w:rsid w:val="00DD2273"/>
    <w:rsid w:val="00DD2DAE"/>
    <w:rsid w:val="00DD3881"/>
    <w:rsid w:val="00DD4A7C"/>
    <w:rsid w:val="00DD5194"/>
    <w:rsid w:val="00DD581D"/>
    <w:rsid w:val="00DE12F8"/>
    <w:rsid w:val="00DE75A7"/>
    <w:rsid w:val="00DF21BB"/>
    <w:rsid w:val="00DF478C"/>
    <w:rsid w:val="00DF4FFC"/>
    <w:rsid w:val="00DF7F80"/>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2DA5"/>
    <w:rsid w:val="00E331D0"/>
    <w:rsid w:val="00E3356F"/>
    <w:rsid w:val="00E37F5A"/>
    <w:rsid w:val="00E40207"/>
    <w:rsid w:val="00E42606"/>
    <w:rsid w:val="00E4670B"/>
    <w:rsid w:val="00E4710D"/>
    <w:rsid w:val="00E5193E"/>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3F1"/>
    <w:rsid w:val="00E92594"/>
    <w:rsid w:val="00E94935"/>
    <w:rsid w:val="00E95AD5"/>
    <w:rsid w:val="00EA2C1D"/>
    <w:rsid w:val="00EA3B1A"/>
    <w:rsid w:val="00EA4C17"/>
    <w:rsid w:val="00EA582D"/>
    <w:rsid w:val="00EA606A"/>
    <w:rsid w:val="00EA7CC0"/>
    <w:rsid w:val="00EB18C8"/>
    <w:rsid w:val="00EB1920"/>
    <w:rsid w:val="00EB5304"/>
    <w:rsid w:val="00EB588D"/>
    <w:rsid w:val="00EB6770"/>
    <w:rsid w:val="00EC0160"/>
    <w:rsid w:val="00EC07E9"/>
    <w:rsid w:val="00EC26B6"/>
    <w:rsid w:val="00EC2851"/>
    <w:rsid w:val="00EC2882"/>
    <w:rsid w:val="00EC3475"/>
    <w:rsid w:val="00EC36EE"/>
    <w:rsid w:val="00EC4866"/>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1A54"/>
    <w:rsid w:val="00F0377D"/>
    <w:rsid w:val="00F05802"/>
    <w:rsid w:val="00F059C4"/>
    <w:rsid w:val="00F059DE"/>
    <w:rsid w:val="00F06F7E"/>
    <w:rsid w:val="00F10AD6"/>
    <w:rsid w:val="00F1177C"/>
    <w:rsid w:val="00F1218D"/>
    <w:rsid w:val="00F125D8"/>
    <w:rsid w:val="00F13D9D"/>
    <w:rsid w:val="00F14596"/>
    <w:rsid w:val="00F149A6"/>
    <w:rsid w:val="00F14B19"/>
    <w:rsid w:val="00F162FA"/>
    <w:rsid w:val="00F16D0D"/>
    <w:rsid w:val="00F17CE5"/>
    <w:rsid w:val="00F2342C"/>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2F23"/>
    <w:rsid w:val="00F73A66"/>
    <w:rsid w:val="00F760F5"/>
    <w:rsid w:val="00F76D50"/>
    <w:rsid w:val="00F76F3D"/>
    <w:rsid w:val="00F778A1"/>
    <w:rsid w:val="00F77B57"/>
    <w:rsid w:val="00F84934"/>
    <w:rsid w:val="00F861C6"/>
    <w:rsid w:val="00F86FAD"/>
    <w:rsid w:val="00F90855"/>
    <w:rsid w:val="00F939EF"/>
    <w:rsid w:val="00F93DC7"/>
    <w:rsid w:val="00F94454"/>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1BA35"/>
  <w15:chartTrackingRefBased/>
  <w15:docId w15:val="{EC489B76-0A5A-4CAF-9C55-A9ED1C6A5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character" w:customStyle="1" w:styleId="mechtexChar">
    <w:name w:val="mechtex Char"/>
    <w:link w:val="mechtex"/>
    <w:locked/>
    <w:rsid w:val="00C13A38"/>
    <w:rPr>
      <w:rFonts w:ascii="Arial Armenian" w:eastAsia="Times New Roman" w:hAnsi="Arial Armenian" w:cs="Times New Roman"/>
      <w:szCs w:val="20"/>
      <w:lang w:eastAsia="ru-RU"/>
    </w:rPr>
  </w:style>
  <w:style w:type="paragraph" w:customStyle="1" w:styleId="mechtex">
    <w:name w:val="mechtex"/>
    <w:basedOn w:val="Normal"/>
    <w:link w:val="mechtexChar"/>
    <w:qFormat/>
    <w:rsid w:val="00C13A38"/>
    <w:pPr>
      <w:jc w:val="center"/>
    </w:pPr>
    <w:rPr>
      <w:rFonts w:ascii="Arial Armenian" w:hAnsi="Arial Armenian"/>
      <w:sz w:val="22"/>
      <w:szCs w:val="20"/>
      <w:lang w:val="en-US"/>
    </w:rPr>
  </w:style>
  <w:style w:type="table" w:styleId="TableGrid">
    <w:name w:val="Table Grid"/>
    <w:basedOn w:val="TableNormal"/>
    <w:uiPriority w:val="59"/>
    <w:rsid w:val="001D4D0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36006637">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600996000">
      <w:bodyDiv w:val="1"/>
      <w:marLeft w:val="0"/>
      <w:marRight w:val="0"/>
      <w:marTop w:val="0"/>
      <w:marBottom w:val="0"/>
      <w:divBdr>
        <w:top w:val="none" w:sz="0" w:space="0" w:color="auto"/>
        <w:left w:val="none" w:sz="0" w:space="0" w:color="auto"/>
        <w:bottom w:val="none" w:sz="0" w:space="0" w:color="auto"/>
        <w:right w:val="none" w:sz="0" w:space="0" w:color="auto"/>
      </w:divBdr>
    </w:div>
    <w:div w:id="697511478">
      <w:bodyDiv w:val="1"/>
      <w:marLeft w:val="0"/>
      <w:marRight w:val="0"/>
      <w:marTop w:val="0"/>
      <w:marBottom w:val="0"/>
      <w:divBdr>
        <w:top w:val="none" w:sz="0" w:space="0" w:color="auto"/>
        <w:left w:val="none" w:sz="0" w:space="0" w:color="auto"/>
        <w:bottom w:val="none" w:sz="0" w:space="0" w:color="auto"/>
        <w:right w:val="none" w:sz="0" w:space="0" w:color="auto"/>
      </w:divBdr>
    </w:div>
    <w:div w:id="783965502">
      <w:bodyDiv w:val="1"/>
      <w:marLeft w:val="0"/>
      <w:marRight w:val="0"/>
      <w:marTop w:val="0"/>
      <w:marBottom w:val="0"/>
      <w:divBdr>
        <w:top w:val="none" w:sz="0" w:space="0" w:color="auto"/>
        <w:left w:val="none" w:sz="0" w:space="0" w:color="auto"/>
        <w:bottom w:val="none" w:sz="0" w:space="0" w:color="auto"/>
        <w:right w:val="none" w:sz="0" w:space="0" w:color="auto"/>
      </w:divBdr>
    </w:div>
    <w:div w:id="1004818020">
      <w:bodyDiv w:val="1"/>
      <w:marLeft w:val="0"/>
      <w:marRight w:val="0"/>
      <w:marTop w:val="0"/>
      <w:marBottom w:val="0"/>
      <w:divBdr>
        <w:top w:val="none" w:sz="0" w:space="0" w:color="auto"/>
        <w:left w:val="none" w:sz="0" w:space="0" w:color="auto"/>
        <w:bottom w:val="none" w:sz="0" w:space="0" w:color="auto"/>
        <w:right w:val="none" w:sz="0" w:space="0" w:color="auto"/>
      </w:divBdr>
    </w:div>
    <w:div w:id="1017002581">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176067690">
      <w:bodyDiv w:val="1"/>
      <w:marLeft w:val="0"/>
      <w:marRight w:val="0"/>
      <w:marTop w:val="0"/>
      <w:marBottom w:val="0"/>
      <w:divBdr>
        <w:top w:val="none" w:sz="0" w:space="0" w:color="auto"/>
        <w:left w:val="none" w:sz="0" w:space="0" w:color="auto"/>
        <w:bottom w:val="none" w:sz="0" w:space="0" w:color="auto"/>
        <w:right w:val="none" w:sz="0" w:space="0" w:color="auto"/>
      </w:divBdr>
    </w:div>
    <w:div w:id="1301958253">
      <w:bodyDiv w:val="1"/>
      <w:marLeft w:val="0"/>
      <w:marRight w:val="0"/>
      <w:marTop w:val="0"/>
      <w:marBottom w:val="0"/>
      <w:divBdr>
        <w:top w:val="none" w:sz="0" w:space="0" w:color="auto"/>
        <w:left w:val="none" w:sz="0" w:space="0" w:color="auto"/>
        <w:bottom w:val="none" w:sz="0" w:space="0" w:color="auto"/>
        <w:right w:val="none" w:sz="0" w:space="0" w:color="auto"/>
      </w:divBdr>
    </w:div>
    <w:div w:id="1351680906">
      <w:bodyDiv w:val="1"/>
      <w:marLeft w:val="0"/>
      <w:marRight w:val="0"/>
      <w:marTop w:val="0"/>
      <w:marBottom w:val="0"/>
      <w:divBdr>
        <w:top w:val="none" w:sz="0" w:space="0" w:color="auto"/>
        <w:left w:val="none" w:sz="0" w:space="0" w:color="auto"/>
        <w:bottom w:val="none" w:sz="0" w:space="0" w:color="auto"/>
        <w:right w:val="none" w:sz="0" w:space="0" w:color="auto"/>
      </w:divBdr>
    </w:div>
    <w:div w:id="1469594133">
      <w:bodyDiv w:val="1"/>
      <w:marLeft w:val="0"/>
      <w:marRight w:val="0"/>
      <w:marTop w:val="0"/>
      <w:marBottom w:val="0"/>
      <w:divBdr>
        <w:top w:val="none" w:sz="0" w:space="0" w:color="auto"/>
        <w:left w:val="none" w:sz="0" w:space="0" w:color="auto"/>
        <w:bottom w:val="none" w:sz="0" w:space="0" w:color="auto"/>
        <w:right w:val="none" w:sz="0" w:space="0" w:color="auto"/>
      </w:divBdr>
    </w:div>
    <w:div w:id="1631863102">
      <w:bodyDiv w:val="1"/>
      <w:marLeft w:val="0"/>
      <w:marRight w:val="0"/>
      <w:marTop w:val="0"/>
      <w:marBottom w:val="0"/>
      <w:divBdr>
        <w:top w:val="none" w:sz="0" w:space="0" w:color="auto"/>
        <w:left w:val="none" w:sz="0" w:space="0" w:color="auto"/>
        <w:bottom w:val="none" w:sz="0" w:space="0" w:color="auto"/>
        <w:right w:val="none" w:sz="0" w:space="0" w:color="auto"/>
      </w:divBdr>
    </w:div>
    <w:div w:id="1643996437">
      <w:bodyDiv w:val="1"/>
      <w:marLeft w:val="0"/>
      <w:marRight w:val="0"/>
      <w:marTop w:val="0"/>
      <w:marBottom w:val="0"/>
      <w:divBdr>
        <w:top w:val="none" w:sz="0" w:space="0" w:color="auto"/>
        <w:left w:val="none" w:sz="0" w:space="0" w:color="auto"/>
        <w:bottom w:val="none" w:sz="0" w:space="0" w:color="auto"/>
        <w:right w:val="none" w:sz="0" w:space="0" w:color="auto"/>
      </w:divBdr>
    </w:div>
    <w:div w:id="2099329494">
      <w:bodyDiv w:val="1"/>
      <w:marLeft w:val="0"/>
      <w:marRight w:val="0"/>
      <w:marTop w:val="0"/>
      <w:marBottom w:val="0"/>
      <w:divBdr>
        <w:top w:val="none" w:sz="0" w:space="0" w:color="auto"/>
        <w:left w:val="none" w:sz="0" w:space="0" w:color="auto"/>
        <w:bottom w:val="none" w:sz="0" w:space="0" w:color="auto"/>
        <w:right w:val="none" w:sz="0" w:space="0" w:color="auto"/>
      </w:divBdr>
    </w:div>
    <w:div w:id="212310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375</TotalTime>
  <Pages>5</Pages>
  <Words>782</Words>
  <Characters>5735</Characters>
  <Application>Microsoft Office Word</Application>
  <DocSecurity>0</DocSecurity>
  <Lines>152</Lines>
  <Paragraphs>67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https://mul2.gov.am/tasks/1237933/oneclick?token=b4adf75fa3fa229965b34919a45f79ae</cp:keywords>
  <dc:description/>
  <cp:lastModifiedBy>Tatevik Stepanyan</cp:lastModifiedBy>
  <cp:revision>32</cp:revision>
  <dcterms:created xsi:type="dcterms:W3CDTF">2024-10-22T05:46:00Z</dcterms:created>
  <dcterms:modified xsi:type="dcterms:W3CDTF">2025-11-25T11:25:00Z</dcterms:modified>
</cp:coreProperties>
</file>