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4489B" w14:textId="32ECB793" w:rsidR="00C700BD" w:rsidRPr="005667CC" w:rsidRDefault="00C700BD" w:rsidP="005667CC">
      <w:pPr>
        <w:spacing w:line="240" w:lineRule="auto"/>
        <w:jc w:val="center"/>
        <w:rPr>
          <w:rFonts w:ascii="GHEA Grapalat" w:hAnsi="GHEA Grapalat"/>
          <w:b/>
          <w:bCs/>
          <w:lang w:val="hy-AM"/>
        </w:rPr>
      </w:pPr>
      <w:bookmarkStart w:id="0" w:name="_GoBack"/>
      <w:bookmarkEnd w:id="0"/>
      <w:r w:rsidRPr="005667CC">
        <w:rPr>
          <w:rFonts w:ascii="GHEA Grapalat" w:hAnsi="GHEA Grapalat"/>
          <w:b/>
          <w:bCs/>
          <w:lang w:val="hy-AM"/>
        </w:rPr>
        <w:t>ԱՄՓՈՓԱԹԵՐԹ</w:t>
      </w:r>
    </w:p>
    <w:p w14:paraId="1464475C" w14:textId="77777777" w:rsidR="00A52AE7" w:rsidRPr="005667CC" w:rsidRDefault="00A52AE7" w:rsidP="005667CC">
      <w:pPr>
        <w:spacing w:after="0" w:line="240" w:lineRule="auto"/>
        <w:jc w:val="center"/>
        <w:rPr>
          <w:rFonts w:ascii="GHEA Grapalat" w:hAnsi="GHEA Grapalat"/>
          <w:b/>
          <w:bCs/>
          <w:lang w:val="hy-AM"/>
        </w:rPr>
      </w:pPr>
      <w:r w:rsidRPr="005667CC">
        <w:rPr>
          <w:rFonts w:ascii="GHEA Grapalat" w:hAnsi="GHEA Grapalat"/>
          <w:b/>
          <w:bCs/>
          <w:lang w:val="hy-AM"/>
        </w:rPr>
        <w:t>««</w:t>
      </w:r>
      <w:r w:rsidRPr="005667CC">
        <w:rPr>
          <w:rFonts w:ascii="GHEA Grapalat" w:hAnsi="GHEA Grapalat" w:cs="Calibri"/>
          <w:b/>
          <w:bCs/>
          <w:lang w:val="hy-AM"/>
        </w:rPr>
        <w:t xml:space="preserve">ԽԱՂԱՅԻՆ ԳՈՐԾՈՒՆԵՈՒԹՅԱՆ ԿԱՐԳԱՎՈՐՄԱՆ ՄԱՍԻՆ» ՀԱՅԱՍՏԱՆԻ ՀԱՆՐԱՊԵՏՈՒԹՅԱՆ ՕՐԵՆՔՈՒՄ </w:t>
      </w:r>
      <w:r w:rsidRPr="005667CC">
        <w:rPr>
          <w:rFonts w:ascii="GHEA Grapalat" w:hAnsi="GHEA Grapalat" w:cs="Arial"/>
          <w:b/>
          <w:bCs/>
          <w:lang w:val="hy-AM"/>
        </w:rPr>
        <w:t>ԼՐԱՑՈՒՄ</w:t>
      </w:r>
      <w:r w:rsidRPr="005667CC">
        <w:rPr>
          <w:rFonts w:ascii="Calibri" w:hAnsi="Calibri" w:cs="Calibri"/>
          <w:b/>
          <w:bCs/>
          <w:lang w:val="hy-AM"/>
        </w:rPr>
        <w:t> </w:t>
      </w:r>
      <w:r w:rsidRPr="005667CC">
        <w:rPr>
          <w:rFonts w:ascii="GHEA Grapalat" w:hAnsi="GHEA Grapalat" w:cs="Arial"/>
          <w:b/>
          <w:bCs/>
          <w:lang w:val="hy-AM"/>
        </w:rPr>
        <w:t>ԿԱՏԱՐԵԼՈՒ</w:t>
      </w:r>
      <w:r w:rsidRPr="005667CC">
        <w:rPr>
          <w:rFonts w:ascii="Calibri" w:hAnsi="Calibri" w:cs="Calibri"/>
          <w:b/>
          <w:bCs/>
          <w:lang w:val="hy-AM"/>
        </w:rPr>
        <w:t> </w:t>
      </w:r>
      <w:r w:rsidRPr="005667CC">
        <w:rPr>
          <w:rFonts w:ascii="GHEA Grapalat" w:hAnsi="GHEA Grapalat" w:cs="Arial"/>
          <w:b/>
          <w:bCs/>
          <w:lang w:val="hy-AM"/>
        </w:rPr>
        <w:t>ՄԱՍԻՆ</w:t>
      </w:r>
      <w:r w:rsidRPr="005667CC">
        <w:rPr>
          <w:rFonts w:ascii="GHEA Grapalat" w:hAnsi="GHEA Grapalat"/>
          <w:b/>
          <w:bCs/>
          <w:lang w:val="hy-AM"/>
        </w:rPr>
        <w:t>» ՕՐԵՆՔԻ ՆԱԽԱԳԾԻ ՎԵՐԱԲԵՐՅԱԼ ՆԵՐԿԱՅԱՑՎԱԾ ԱՌԱՋԱՐԿՆԵՐԻ</w:t>
      </w:r>
    </w:p>
    <w:p w14:paraId="50641947" w14:textId="77777777" w:rsidR="00C700BD" w:rsidRPr="005667CC" w:rsidRDefault="00C700BD" w:rsidP="005667CC">
      <w:pPr>
        <w:spacing w:line="240" w:lineRule="auto"/>
        <w:rPr>
          <w:rFonts w:ascii="GHEA Grapalat" w:hAnsi="GHEA Grapalat"/>
          <w:lang w:val="hy-AM"/>
        </w:rPr>
      </w:pPr>
    </w:p>
    <w:p w14:paraId="6D5F3696" w14:textId="77777777" w:rsidR="00CE2870" w:rsidRPr="005667CC" w:rsidRDefault="00CE2870" w:rsidP="005667CC">
      <w:pPr>
        <w:shd w:val="clear" w:color="auto" w:fill="FFFFFF"/>
        <w:spacing w:after="0" w:line="240" w:lineRule="auto"/>
        <w:ind w:firstLine="375"/>
        <w:jc w:val="center"/>
        <w:rPr>
          <w:rFonts w:ascii="GHEA Grapalat" w:eastAsia="Times New Roman" w:hAnsi="GHEA Grapalat" w:cs="Arial"/>
          <w:color w:val="333333"/>
          <w:kern w:val="0"/>
          <w14:ligatures w14:val="none"/>
        </w:rPr>
      </w:pPr>
      <w:r w:rsidRPr="005667CC">
        <w:rPr>
          <w:rFonts w:ascii="Calibri" w:eastAsia="Times New Roman" w:hAnsi="Calibri" w:cs="Calibri"/>
          <w:color w:val="333333"/>
          <w:kern w:val="0"/>
          <w14:ligatures w14:val="none"/>
        </w:rPr>
        <w:t>     </w:t>
      </w:r>
      <w:r w:rsidRPr="005667CC">
        <w:rPr>
          <w:rFonts w:ascii="GHEA Grapalat" w:eastAsia="Times New Roman" w:hAnsi="GHEA Grapalat" w:cs="Arial"/>
          <w:color w:val="333333"/>
          <w:kern w:val="0"/>
          <w14:ligatures w14:val="none"/>
        </w:rPr>
        <w:t xml:space="preserve"> </w:t>
      </w:r>
      <w:r w:rsidRPr="005667CC">
        <w:rPr>
          <w:rFonts w:ascii="Calibri" w:eastAsia="Times New Roman" w:hAnsi="Calibri" w:cs="Calibri"/>
          <w:color w:val="333333"/>
          <w:kern w:val="0"/>
          <w14:ligatures w14:val="none"/>
        </w:rPr>
        <w:t> </w:t>
      </w:r>
    </w:p>
    <w:tbl>
      <w:tblPr>
        <w:tblW w:w="102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48"/>
        <w:gridCol w:w="3637"/>
        <w:gridCol w:w="3468"/>
      </w:tblGrid>
      <w:tr w:rsidR="00CE2870" w:rsidRPr="005667CC" w14:paraId="1D61006C" w14:textId="77777777" w:rsidTr="001B5475">
        <w:trPr>
          <w:tblCellSpacing w:w="0" w:type="dxa"/>
          <w:jc w:val="center"/>
        </w:trPr>
        <w:tc>
          <w:tcPr>
            <w:tcW w:w="69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BE11F3" w14:textId="4DCC7F81" w:rsidR="00CE2870" w:rsidRPr="005667CC" w:rsidRDefault="00CE2870" w:rsidP="005667CC">
            <w:pPr>
              <w:spacing w:before="100" w:beforeAutospacing="1" w:after="100" w:afterAutospacing="1" w:line="240" w:lineRule="auto"/>
              <w:jc w:val="center"/>
              <w:rPr>
                <w:rFonts w:ascii="GHEA Grapalat" w:eastAsia="Times New Roman" w:hAnsi="GHEA Grapalat" w:cs="Arial"/>
                <w:b/>
                <w:color w:val="333333"/>
                <w:kern w:val="0"/>
                <w14:ligatures w14:val="none"/>
              </w:rPr>
            </w:pPr>
            <w:r w:rsidRPr="005667CC">
              <w:rPr>
                <w:rFonts w:ascii="GHEA Grapalat" w:eastAsia="Times New Roman" w:hAnsi="GHEA Grapalat" w:cs="Arial"/>
                <w:b/>
                <w:color w:val="333333"/>
                <w:kern w:val="0"/>
                <w14:ligatures w14:val="none"/>
              </w:rPr>
              <w:t xml:space="preserve">1. </w:t>
            </w:r>
            <w:r w:rsidR="00404F4E" w:rsidRPr="005667CC">
              <w:rPr>
                <w:rFonts w:ascii="GHEA Grapalat" w:eastAsia="Aptos" w:hAnsi="GHEA Grapalat" w:cs="Times New Roman"/>
                <w:b/>
                <w:lang w:val="hy-AM"/>
              </w:rPr>
              <w:t>ՀՀ Էկոնոմիկայի նախարարություն</w:t>
            </w:r>
          </w:p>
        </w:tc>
        <w:tc>
          <w:tcPr>
            <w:tcW w:w="3312" w:type="dxa"/>
            <w:tcBorders>
              <w:top w:val="outset" w:sz="6" w:space="0" w:color="auto"/>
              <w:left w:val="outset" w:sz="6" w:space="0" w:color="auto"/>
              <w:bottom w:val="outset" w:sz="6" w:space="0" w:color="auto"/>
              <w:right w:val="outset" w:sz="6" w:space="0" w:color="auto"/>
            </w:tcBorders>
            <w:shd w:val="clear" w:color="auto" w:fill="D0D0D0"/>
            <w:hideMark/>
          </w:tcPr>
          <w:p w14:paraId="2EC3820D" w14:textId="7AB62B78" w:rsidR="00CE2870" w:rsidRPr="005667CC" w:rsidRDefault="00404F4E" w:rsidP="005667CC">
            <w:pPr>
              <w:spacing w:after="0" w:line="240" w:lineRule="auto"/>
              <w:rPr>
                <w:rFonts w:ascii="GHEA Grapalat" w:eastAsia="Times New Roman" w:hAnsi="GHEA Grapalat" w:cs="Arial"/>
                <w:b/>
                <w:color w:val="333333"/>
                <w:kern w:val="0"/>
                <w14:ligatures w14:val="none"/>
              </w:rPr>
            </w:pPr>
            <w:r w:rsidRPr="005667CC">
              <w:rPr>
                <w:rFonts w:ascii="GHEA Grapalat" w:hAnsi="GHEA Grapalat"/>
                <w:b/>
                <w:lang w:val="hy-AM"/>
              </w:rPr>
              <w:t>21.07</w:t>
            </w:r>
            <w:r w:rsidR="0002616B" w:rsidRPr="005667CC">
              <w:rPr>
                <w:rFonts w:ascii="GHEA Grapalat" w:hAnsi="GHEA Grapalat"/>
                <w:b/>
                <w:lang w:val="hy-AM"/>
              </w:rPr>
              <w:t>.2025թ.</w:t>
            </w:r>
          </w:p>
        </w:tc>
      </w:tr>
      <w:tr w:rsidR="00CE2870" w:rsidRPr="005667CC" w14:paraId="50712BC9" w14:textId="77777777" w:rsidTr="001B5475">
        <w:trPr>
          <w:tblCellSpacing w:w="0" w:type="dxa"/>
          <w:jc w:val="center"/>
        </w:trPr>
        <w:tc>
          <w:tcPr>
            <w:tcW w:w="69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59DE97" w14:textId="77777777" w:rsidR="00CE2870" w:rsidRPr="005667CC" w:rsidRDefault="00CE2870" w:rsidP="005667CC">
            <w:pPr>
              <w:spacing w:after="0" w:line="240" w:lineRule="auto"/>
              <w:rPr>
                <w:rFonts w:ascii="GHEA Grapalat" w:eastAsia="Times New Roman" w:hAnsi="GHEA Grapalat" w:cs="Arial"/>
                <w:b/>
                <w:color w:val="333333"/>
                <w:kern w:val="0"/>
                <w14:ligatures w14:val="none"/>
              </w:rPr>
            </w:pPr>
          </w:p>
        </w:tc>
        <w:tc>
          <w:tcPr>
            <w:tcW w:w="3312" w:type="dxa"/>
            <w:tcBorders>
              <w:top w:val="outset" w:sz="6" w:space="0" w:color="auto"/>
              <w:left w:val="outset" w:sz="6" w:space="0" w:color="auto"/>
              <w:bottom w:val="outset" w:sz="6" w:space="0" w:color="auto"/>
              <w:right w:val="outset" w:sz="6" w:space="0" w:color="auto"/>
            </w:tcBorders>
            <w:shd w:val="clear" w:color="auto" w:fill="D0D0D0"/>
            <w:hideMark/>
          </w:tcPr>
          <w:p w14:paraId="6BBD18E6" w14:textId="35DF85E3" w:rsidR="00CE2870" w:rsidRPr="005667CC" w:rsidRDefault="00CE2870" w:rsidP="005667CC">
            <w:pPr>
              <w:spacing w:after="0" w:line="240" w:lineRule="auto"/>
              <w:ind w:right="-315"/>
              <w:rPr>
                <w:rFonts w:ascii="GHEA Grapalat" w:eastAsia="Times New Roman" w:hAnsi="GHEA Grapalat" w:cs="Arial"/>
                <w:b/>
                <w:color w:val="333333"/>
                <w:kern w:val="0"/>
                <w:lang w:val="hy-AM"/>
                <w14:ligatures w14:val="none"/>
              </w:rPr>
            </w:pPr>
            <w:r w:rsidRPr="005667CC">
              <w:rPr>
                <w:rFonts w:ascii="GHEA Grapalat" w:hAnsi="GHEA Grapalat"/>
                <w:b/>
                <w:lang w:val="hy-AM"/>
              </w:rPr>
              <w:t xml:space="preserve">N </w:t>
            </w:r>
            <w:r w:rsidR="00D76C57" w:rsidRPr="005667CC">
              <w:rPr>
                <w:rFonts w:ascii="GHEA Grapalat" w:hAnsi="GHEA Grapalat"/>
                <w:b/>
                <w:lang w:val="hy-AM"/>
              </w:rPr>
              <w:t>01/16055-2025</w:t>
            </w:r>
          </w:p>
        </w:tc>
      </w:tr>
      <w:tr w:rsidR="00F0290F" w:rsidRPr="000E7AB1" w14:paraId="077F63EF" w14:textId="77777777" w:rsidTr="001B5475">
        <w:trPr>
          <w:tblCellSpacing w:w="0" w:type="dxa"/>
          <w:jc w:val="center"/>
        </w:trPr>
        <w:tc>
          <w:tcPr>
            <w:tcW w:w="3272" w:type="dxa"/>
            <w:tcBorders>
              <w:top w:val="outset" w:sz="6" w:space="0" w:color="auto"/>
              <w:left w:val="outset" w:sz="6" w:space="0" w:color="auto"/>
              <w:bottom w:val="outset" w:sz="6" w:space="0" w:color="auto"/>
              <w:right w:val="outset" w:sz="6" w:space="0" w:color="auto"/>
            </w:tcBorders>
            <w:shd w:val="clear" w:color="auto" w:fill="FFFFFF"/>
            <w:hideMark/>
          </w:tcPr>
          <w:p w14:paraId="20A99E28" w14:textId="51E2B935" w:rsidR="00F0290F" w:rsidRPr="005667CC" w:rsidRDefault="00C907F7" w:rsidP="005667CC">
            <w:pPr>
              <w:spacing w:after="0" w:line="240" w:lineRule="auto"/>
              <w:ind w:left="360"/>
              <w:rPr>
                <w:rFonts w:ascii="GHEA Grapalat" w:eastAsia="Times New Roman" w:hAnsi="GHEA Grapalat" w:cs="Arial"/>
                <w:color w:val="333333"/>
                <w:kern w:val="0"/>
                <w:lang w:val="hy-AM"/>
                <w14:ligatures w14:val="none"/>
              </w:rPr>
            </w:pPr>
            <w:r w:rsidRPr="005667CC">
              <w:rPr>
                <w:rFonts w:ascii="GHEA Grapalat" w:hAnsi="GHEA Grapalat" w:cs="Times New Roman"/>
              </w:rPr>
              <w:t>1.</w:t>
            </w:r>
            <w:r w:rsidR="00FF2587" w:rsidRPr="005667CC">
              <w:rPr>
                <w:rFonts w:ascii="GHEA Grapalat" w:hAnsi="GHEA Grapalat" w:cs="Times New Roman"/>
              </w:rPr>
              <w:t xml:space="preserve"> </w:t>
            </w:r>
            <w:r w:rsidR="00F0290F" w:rsidRPr="005667CC">
              <w:rPr>
                <w:rFonts w:ascii="GHEA Grapalat" w:hAnsi="GHEA Grapalat" w:cs="Times New Roman"/>
                <w:lang w:val="hy-AM"/>
              </w:rPr>
              <w:t xml:space="preserve">Անհրաժեշտ է լրացուցիչ պարզաբանել, թե ինչպես են խաղային գործունեության կարգավորման օպերատորի ընտրության ընթացակարգի, այդ թվում՝ բողոքի քննարկման հետ կապված հարաբերությունները կարգավորվելու քաղաքացիաիրավական հարաբերությունները կարգավորող օրենսդրությամբ այն պայմաններում, երբ օպերատորը ընտրվում է միջգերատեսչական մրցութային հանձնաժողովի կողմից՝ մրցութային </w:t>
            </w:r>
            <w:r w:rsidR="00F0290F" w:rsidRPr="005667CC">
              <w:rPr>
                <w:rFonts w:ascii="GHEA Grapalat" w:hAnsi="GHEA Grapalat" w:cs="Times New Roman"/>
                <w:lang w:val="hy-AM"/>
              </w:rPr>
              <w:lastRenderedPageBreak/>
              <w:t>կարգով։ Այլ կերպ ասած, միջգերատեսչական մրցութային հանձնաժողովը բաղկացած է պետական մարմինների ներկայացուցիչներից, հետևապես մեր գնահատմամբ վերջիններիս գործողությունները ունեն հանրային նշանակություն և իրենց բնույթով ամբողջությամբ ներառվում են վարչական իրավահարաբերությունների շրջանակում։ Ելնելով վերոգրյալից՝ գտնում ենք, որ նախատեսվող կարգավորումները ներկայացվածի հաշվառմամբ ունեն հավելյալ պարզաբանման կարիք։</w:t>
            </w:r>
          </w:p>
        </w:tc>
        <w:tc>
          <w:tcPr>
            <w:tcW w:w="3637" w:type="dxa"/>
            <w:tcBorders>
              <w:top w:val="outset" w:sz="6" w:space="0" w:color="auto"/>
              <w:left w:val="outset" w:sz="6" w:space="0" w:color="auto"/>
              <w:bottom w:val="outset" w:sz="6" w:space="0" w:color="auto"/>
              <w:right w:val="nil"/>
            </w:tcBorders>
            <w:shd w:val="clear" w:color="auto" w:fill="FFFFFF"/>
            <w:hideMark/>
          </w:tcPr>
          <w:p w14:paraId="14AA541F" w14:textId="77777777" w:rsidR="00BB4EA8" w:rsidRPr="005667CC" w:rsidRDefault="00BB4EA8" w:rsidP="005667CC">
            <w:pPr>
              <w:spacing w:after="0" w:line="240" w:lineRule="auto"/>
              <w:ind w:left="258"/>
              <w:rPr>
                <w:rFonts w:ascii="GHEA Grapalat" w:hAnsi="GHEA Grapalat"/>
                <w:lang w:val="hy-AM"/>
              </w:rPr>
            </w:pPr>
            <w:r w:rsidRPr="005667CC">
              <w:rPr>
                <w:rFonts w:ascii="GHEA Grapalat" w:hAnsi="GHEA Grapalat"/>
                <w:lang w:val="hy-AM"/>
              </w:rPr>
              <w:lastRenderedPageBreak/>
              <w:t>Չի ընդունվել։</w:t>
            </w:r>
          </w:p>
          <w:p w14:paraId="262519BB" w14:textId="549C4265" w:rsidR="00F0290F" w:rsidRPr="005667CC" w:rsidRDefault="00F0290F" w:rsidP="005667CC">
            <w:pPr>
              <w:spacing w:after="0" w:line="240" w:lineRule="auto"/>
              <w:ind w:left="258"/>
              <w:rPr>
                <w:rFonts w:ascii="GHEA Grapalat" w:eastAsia="Times New Roman" w:hAnsi="GHEA Grapalat" w:cs="Arial"/>
                <w:color w:val="333333"/>
                <w:kern w:val="0"/>
                <w:lang w:val="hy-AM"/>
                <w14:ligatures w14:val="none"/>
              </w:rPr>
            </w:pPr>
            <w:r w:rsidRPr="005667CC">
              <w:rPr>
                <w:rFonts w:ascii="GHEA Grapalat" w:hAnsi="GHEA Grapalat"/>
                <w:lang w:val="hy-AM"/>
              </w:rPr>
              <w:t xml:space="preserve">Օպերատորի ընտրության կապակցությամբ Հանձնաժողովի և հայտատուների միջև առաջացող հարաբերությունները հանրային հարաբերություններ չեն: Ըստ վճռաբեկ դատարանի՝ հանրային իրավունքի բնագավառը նշանակում է անձի հարաբերություններ պետության հետ, որը հանդես է գալիս որպես հանրային իշխանության կրող: Վճռաբեկ դատարանը գտել է, որ հանրային իրավահարաբերություններն այն հարաբերություններն են, </w:t>
            </w:r>
            <w:r w:rsidRPr="005667CC">
              <w:rPr>
                <w:rFonts w:ascii="GHEA Grapalat" w:hAnsi="GHEA Grapalat"/>
                <w:lang w:val="hy-AM"/>
              </w:rPr>
              <w:lastRenderedPageBreak/>
              <w:t xml:space="preserve">որոնք ծագում են պետական կառավարման մարմինների գործադիր-կարգադրիչ գործունեության ընթացքում վարչական մարմինների և ֆիզիկական կամ իրավաբանական անձանց միջև ծագած հարաբերություններում </w:t>
            </w:r>
            <w:r w:rsidRPr="005667CC">
              <w:rPr>
                <w:rFonts w:ascii="GHEA Grapalat" w:hAnsi="GHEA Grapalat"/>
                <w:i/>
                <w:iCs/>
                <w:lang w:val="hy-AM"/>
              </w:rPr>
              <w:t>(թիվ ԵԱՔԴ/1369/02/09 գործով ՀՀ վճռաբեկ դատարանի 03.12.2010թ. որոշում):</w:t>
            </w:r>
            <w:r w:rsidRPr="005667CC">
              <w:rPr>
                <w:rFonts w:ascii="GHEA Grapalat" w:hAnsi="GHEA Grapalat"/>
                <w:b/>
                <w:bCs/>
                <w:lang w:val="hy-AM"/>
              </w:rPr>
              <w:t xml:space="preserve"> </w:t>
            </w:r>
            <w:r w:rsidRPr="005667CC">
              <w:rPr>
                <w:rFonts w:ascii="GHEA Grapalat" w:hAnsi="GHEA Grapalat"/>
                <w:lang w:val="hy-AM"/>
              </w:rPr>
              <w:t>Այս</w:t>
            </w:r>
            <w:r w:rsidRPr="005667CC">
              <w:rPr>
                <w:rFonts w:ascii="GHEA Grapalat" w:hAnsi="GHEA Grapalat"/>
                <w:b/>
                <w:bCs/>
                <w:lang w:val="hy-AM"/>
              </w:rPr>
              <w:t xml:space="preserve"> </w:t>
            </w:r>
            <w:r w:rsidRPr="005667CC">
              <w:rPr>
                <w:rFonts w:ascii="GHEA Grapalat" w:hAnsi="GHEA Grapalat"/>
                <w:lang w:val="hy-AM"/>
              </w:rPr>
              <w:t xml:space="preserve">համատեքստում ակնհայտ է, որ Հանձնաժողովը պետական կամ տեղական ինքնակառավարման մարմին չէ, այս իրավահարաբերություններում հանդես չի գալիս որպես հանրային իշխանություն կրող և, ըստ այդմ, չունի նաև գործադիր-կարգադրիչ գործունեություն իրականացնելու լիազորություն, որոնց առկայությունը, սակայն, պարտադիր էր հարաբերությունը հանրային </w:t>
            </w:r>
            <w:r w:rsidRPr="005667CC">
              <w:rPr>
                <w:rFonts w:ascii="GHEA Grapalat" w:hAnsi="GHEA Grapalat"/>
                <w:lang w:val="hy-AM"/>
              </w:rPr>
              <w:lastRenderedPageBreak/>
              <w:t>որակելու համար: Հարկ է հաշվի առնել նաև, որ մրցույթի հաղթողի և Վերահսկող մարմնի միջև կնքվելու է պայմանագիր և վերջիններիս հարաբերությունները կարգավորվելու են պայմանագրով: Այսինքն՝ սույն պարագայում Վերահսկող մարմինը (Պետական եկամուտների կոմիտեն) հա</w:t>
            </w:r>
            <w:r w:rsidR="00975F76" w:rsidRPr="005667CC">
              <w:rPr>
                <w:rFonts w:ascii="GHEA Grapalat" w:hAnsi="GHEA Grapalat"/>
                <w:lang w:val="hy-AM"/>
              </w:rPr>
              <w:t>ն</w:t>
            </w:r>
            <w:r w:rsidRPr="005667CC">
              <w:rPr>
                <w:rFonts w:ascii="GHEA Grapalat" w:hAnsi="GHEA Grapalat"/>
                <w:lang w:val="hy-AM"/>
              </w:rPr>
              <w:t xml:space="preserve">դես է գալու որպես մասնավոր իրավահարաբերության սուբյեկտ: Միաժամանակ, նմանատիպ (մրցույթի հայտարարման և արդյունքների բողոքարկման հետ կապված) հարաբերություններ են կարգավորվում նաև թե՛ «Գնումների մասին» ՀՀ օրենքով, թե՛ «Պետություն-մասնավոր գործընկերության մասին» ՀՀ օրենքով և երկու դեպքում էլ համապատասխան վեճերը </w:t>
            </w:r>
            <w:r w:rsidRPr="005667CC">
              <w:rPr>
                <w:rFonts w:ascii="GHEA Grapalat" w:hAnsi="GHEA Grapalat"/>
                <w:lang w:val="hy-AM"/>
              </w:rPr>
              <w:lastRenderedPageBreak/>
              <w:t>քննվում են քաղաքացիական դատավարության կարգով: Մասնավորապես, ՀՀ քաղաքացիական դատավարության օրենսգրքի 129-րդ հոդվածի 4-րդ մասից հետևում է, որ  «Պետություն-մասնավոր գործընկերության մասին» ՀՀ օրենքով սահմանված մասնավոր գործընկերոջ ընտրության ընթացակարգի հետ կապված վեճերը քննում է քաղաքացիական գործեր քննող դատարանը, իսկ նույն օրենսգրքի 27.2 գլուխը բովանդակում է գնումների հետ կապված գործերով վեճերի վարույթին վերաբերող կարգավորումներ: Նույնպիսի տրամաբանությունը կիրառվել է նաև «</w:t>
            </w:r>
            <w:r w:rsidR="003C623B" w:rsidRPr="005667CC">
              <w:rPr>
                <w:rFonts w:ascii="GHEA Grapalat" w:hAnsi="GHEA Grapalat"/>
                <w:lang w:val="hy-AM"/>
              </w:rPr>
              <w:t>Խաղ</w:t>
            </w:r>
            <w:r w:rsidRPr="005667CC">
              <w:rPr>
                <w:rFonts w:ascii="GHEA Grapalat" w:hAnsi="GHEA Grapalat"/>
                <w:lang w:val="hy-AM"/>
              </w:rPr>
              <w:t xml:space="preserve">ային գործունեության կարգավորման մասին» ՀՀ օրենքով սահմանված՝ Օպերատորի ընտրության </w:t>
            </w:r>
            <w:r w:rsidRPr="005667CC">
              <w:rPr>
                <w:rFonts w:ascii="GHEA Grapalat" w:hAnsi="GHEA Grapalat"/>
                <w:lang w:val="hy-AM"/>
              </w:rPr>
              <w:lastRenderedPageBreak/>
              <w:t>ընթացակարգի հետ կապված վեճերի պարագայում:</w:t>
            </w:r>
          </w:p>
        </w:tc>
        <w:tc>
          <w:tcPr>
            <w:tcW w:w="3312" w:type="dxa"/>
            <w:tcBorders>
              <w:top w:val="outset" w:sz="6" w:space="0" w:color="auto"/>
              <w:left w:val="nil"/>
              <w:bottom w:val="outset" w:sz="6" w:space="0" w:color="auto"/>
              <w:right w:val="outset" w:sz="6" w:space="0" w:color="auto"/>
            </w:tcBorders>
            <w:shd w:val="clear" w:color="auto" w:fill="FFFFFF"/>
            <w:hideMark/>
          </w:tcPr>
          <w:p w14:paraId="7858F36C" w14:textId="77777777" w:rsidR="00F0290F" w:rsidRPr="005667CC" w:rsidRDefault="00F0290F" w:rsidP="005667CC">
            <w:pPr>
              <w:spacing w:after="0" w:line="240" w:lineRule="auto"/>
              <w:rPr>
                <w:rFonts w:ascii="GHEA Grapalat" w:eastAsia="Times New Roman" w:hAnsi="GHEA Grapalat" w:cs="Arial"/>
                <w:color w:val="333333"/>
                <w:kern w:val="0"/>
                <w:lang w:val="hy-AM"/>
                <w14:ligatures w14:val="none"/>
              </w:rPr>
            </w:pPr>
            <w:r w:rsidRPr="005667CC">
              <w:rPr>
                <w:rFonts w:ascii="Calibri" w:eastAsia="Times New Roman" w:hAnsi="Calibri" w:cs="Calibri"/>
                <w:color w:val="333333"/>
                <w:kern w:val="0"/>
                <w:lang w:val="hy-AM"/>
                <w14:ligatures w14:val="none"/>
              </w:rPr>
              <w:lastRenderedPageBreak/>
              <w:t> </w:t>
            </w:r>
          </w:p>
        </w:tc>
      </w:tr>
      <w:tr w:rsidR="007D10D6" w:rsidRPr="005667CC" w14:paraId="58485ECD" w14:textId="77777777" w:rsidTr="001B5475">
        <w:trPr>
          <w:trHeight w:val="243"/>
          <w:tblCellSpacing w:w="0" w:type="dxa"/>
          <w:jc w:val="center"/>
        </w:trPr>
        <w:tc>
          <w:tcPr>
            <w:tcW w:w="69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6E498C0" w14:textId="7FA29ADA" w:rsidR="007D10D6" w:rsidRPr="005667CC" w:rsidRDefault="00C71DAF" w:rsidP="005667CC">
            <w:pPr>
              <w:tabs>
                <w:tab w:val="left" w:pos="1650"/>
              </w:tabs>
              <w:spacing w:line="240" w:lineRule="auto"/>
              <w:jc w:val="center"/>
              <w:rPr>
                <w:rFonts w:ascii="GHEA Grapalat" w:eastAsia="Aptos" w:hAnsi="GHEA Grapalat" w:cs="Times New Roman"/>
                <w:lang w:val="hy-AM"/>
              </w:rPr>
            </w:pPr>
            <w:r w:rsidRPr="005667CC">
              <w:rPr>
                <w:rFonts w:ascii="GHEA Grapalat" w:eastAsia="Aptos" w:hAnsi="GHEA Grapalat" w:cs="Times New Roman"/>
                <w:lang w:val="hy-AM"/>
              </w:rPr>
              <w:lastRenderedPageBreak/>
              <w:t>2.</w:t>
            </w:r>
            <w:r w:rsidR="003C3DB9" w:rsidRPr="005667CC">
              <w:rPr>
                <w:rFonts w:ascii="GHEA Grapalat" w:eastAsia="Aptos" w:hAnsi="GHEA Grapalat" w:cs="Times New Roman"/>
                <w:b/>
                <w:lang w:val="hy-AM"/>
              </w:rPr>
              <w:t xml:space="preserve">ՀՀ Ֆինանսների </w:t>
            </w:r>
            <w:r w:rsidRPr="005667CC">
              <w:rPr>
                <w:rFonts w:ascii="GHEA Grapalat" w:eastAsia="Aptos" w:hAnsi="GHEA Grapalat" w:cs="Times New Roman"/>
                <w:b/>
                <w:lang w:val="hy-AM"/>
              </w:rPr>
              <w:t>նախարարություն</w:t>
            </w:r>
          </w:p>
        </w:tc>
        <w:tc>
          <w:tcPr>
            <w:tcW w:w="3312" w:type="dxa"/>
            <w:tcBorders>
              <w:top w:val="outset" w:sz="6" w:space="0" w:color="auto"/>
              <w:left w:val="outset" w:sz="6" w:space="0" w:color="auto"/>
              <w:bottom w:val="outset" w:sz="6" w:space="0" w:color="auto"/>
              <w:right w:val="outset" w:sz="6" w:space="0" w:color="auto"/>
            </w:tcBorders>
            <w:shd w:val="clear" w:color="auto" w:fill="D0D0D0"/>
            <w:hideMark/>
          </w:tcPr>
          <w:p w14:paraId="07B32A59" w14:textId="51EFEFF1" w:rsidR="00F43196" w:rsidRPr="005667CC" w:rsidRDefault="00C71DAF" w:rsidP="005667CC">
            <w:pPr>
              <w:spacing w:after="0" w:line="240" w:lineRule="auto"/>
              <w:rPr>
                <w:rFonts w:ascii="GHEA Grapalat" w:eastAsia="Aptos" w:hAnsi="GHEA Grapalat" w:cs="Times New Roman"/>
                <w:b/>
                <w:lang w:val="hy-AM"/>
              </w:rPr>
            </w:pPr>
            <w:r w:rsidRPr="005667CC">
              <w:rPr>
                <w:rFonts w:ascii="GHEA Grapalat" w:eastAsia="Aptos" w:hAnsi="GHEA Grapalat" w:cs="Times New Roman"/>
                <w:b/>
                <w:lang w:val="ru-RU"/>
              </w:rPr>
              <w:t xml:space="preserve">            </w:t>
            </w:r>
            <w:r w:rsidR="00681F54" w:rsidRPr="005667CC">
              <w:rPr>
                <w:rFonts w:ascii="GHEA Grapalat" w:eastAsia="Aptos" w:hAnsi="GHEA Grapalat" w:cs="Times New Roman"/>
                <w:b/>
                <w:lang w:val="hy-AM"/>
              </w:rPr>
              <w:t>04.08</w:t>
            </w:r>
            <w:r w:rsidR="00F43196" w:rsidRPr="005667CC">
              <w:rPr>
                <w:rFonts w:ascii="GHEA Grapalat" w:eastAsia="Aptos" w:hAnsi="GHEA Grapalat" w:cs="Times New Roman"/>
                <w:b/>
                <w:lang w:val="hy-AM"/>
              </w:rPr>
              <w:t>.2025թ.</w:t>
            </w:r>
          </w:p>
          <w:p w14:paraId="2AC4BB0B" w14:textId="7CE90177" w:rsidR="007D10D6" w:rsidRPr="005667CC" w:rsidRDefault="007D10D6" w:rsidP="005667CC">
            <w:pPr>
              <w:spacing w:after="0" w:line="240" w:lineRule="auto"/>
              <w:jc w:val="center"/>
              <w:rPr>
                <w:rFonts w:ascii="GHEA Grapalat" w:eastAsia="Aptos" w:hAnsi="GHEA Grapalat" w:cs="Times New Roman"/>
                <w:b/>
                <w:lang w:val="hy-AM"/>
              </w:rPr>
            </w:pPr>
          </w:p>
        </w:tc>
      </w:tr>
      <w:tr w:rsidR="007D10D6" w:rsidRPr="005667CC" w14:paraId="46C58A76" w14:textId="77777777" w:rsidTr="001B5475">
        <w:trPr>
          <w:trHeight w:val="161"/>
          <w:tblCellSpacing w:w="0" w:type="dxa"/>
          <w:jc w:val="center"/>
        </w:trPr>
        <w:tc>
          <w:tcPr>
            <w:tcW w:w="69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69B516" w14:textId="77777777" w:rsidR="007D10D6" w:rsidRPr="005667CC" w:rsidRDefault="007D10D6" w:rsidP="005667CC">
            <w:pPr>
              <w:spacing w:after="0" w:line="240" w:lineRule="auto"/>
              <w:jc w:val="center"/>
              <w:rPr>
                <w:rFonts w:ascii="GHEA Grapalat" w:eastAsia="Times New Roman" w:hAnsi="GHEA Grapalat" w:cs="Arial"/>
                <w:color w:val="333333"/>
                <w:kern w:val="0"/>
                <w:lang w:val="hy-AM"/>
                <w14:ligatures w14:val="none"/>
              </w:rPr>
            </w:pPr>
          </w:p>
        </w:tc>
        <w:tc>
          <w:tcPr>
            <w:tcW w:w="3312" w:type="dxa"/>
            <w:tcBorders>
              <w:top w:val="outset" w:sz="6" w:space="0" w:color="auto"/>
              <w:left w:val="outset" w:sz="6" w:space="0" w:color="auto"/>
              <w:bottom w:val="outset" w:sz="6" w:space="0" w:color="auto"/>
              <w:right w:val="outset" w:sz="6" w:space="0" w:color="auto"/>
            </w:tcBorders>
            <w:shd w:val="clear" w:color="auto" w:fill="D0D0D0"/>
            <w:hideMark/>
          </w:tcPr>
          <w:p w14:paraId="1DE9D59E" w14:textId="60F0DE8F" w:rsidR="007D10D6" w:rsidRPr="005667CC" w:rsidRDefault="007D10D6" w:rsidP="005667CC">
            <w:pPr>
              <w:spacing w:after="0" w:line="240" w:lineRule="auto"/>
              <w:jc w:val="center"/>
              <w:rPr>
                <w:rFonts w:ascii="GHEA Grapalat" w:eastAsia="Aptos" w:hAnsi="GHEA Grapalat" w:cs="Times New Roman"/>
                <w:b/>
                <w:lang w:val="hy-AM"/>
              </w:rPr>
            </w:pPr>
            <w:r w:rsidRPr="005667CC">
              <w:rPr>
                <w:rFonts w:ascii="GHEA Grapalat" w:eastAsia="Aptos" w:hAnsi="GHEA Grapalat" w:cs="Times New Roman"/>
                <w:b/>
                <w:lang w:val="hy-AM"/>
              </w:rPr>
              <w:t xml:space="preserve">N </w:t>
            </w:r>
            <w:r w:rsidR="00681F54" w:rsidRPr="005667CC">
              <w:rPr>
                <w:rFonts w:ascii="GHEA Grapalat" w:eastAsia="Aptos" w:hAnsi="GHEA Grapalat" w:cs="Times New Roman"/>
                <w:b/>
                <w:lang w:val="hy-AM"/>
              </w:rPr>
              <w:t>01/23-2/17188-2025</w:t>
            </w:r>
          </w:p>
          <w:p w14:paraId="51550C4B" w14:textId="6F6557E5" w:rsidR="00B34E31" w:rsidRPr="005667CC" w:rsidRDefault="00B34E31" w:rsidP="005667CC">
            <w:pPr>
              <w:spacing w:after="0" w:line="240" w:lineRule="auto"/>
              <w:jc w:val="center"/>
              <w:rPr>
                <w:rFonts w:ascii="GHEA Grapalat" w:eastAsia="Aptos" w:hAnsi="GHEA Grapalat" w:cs="Times New Roman"/>
                <w:b/>
                <w:lang w:val="hy-AM"/>
              </w:rPr>
            </w:pPr>
          </w:p>
        </w:tc>
      </w:tr>
      <w:tr w:rsidR="00124333" w:rsidRPr="005667CC" w14:paraId="385A18E9" w14:textId="77777777" w:rsidTr="001B5475">
        <w:trPr>
          <w:tblCellSpacing w:w="0" w:type="dxa"/>
          <w:jc w:val="center"/>
        </w:trPr>
        <w:tc>
          <w:tcPr>
            <w:tcW w:w="6909" w:type="dxa"/>
            <w:gridSpan w:val="2"/>
            <w:tcBorders>
              <w:top w:val="outset" w:sz="6" w:space="0" w:color="auto"/>
              <w:left w:val="outset" w:sz="6" w:space="0" w:color="auto"/>
              <w:bottom w:val="outset" w:sz="6" w:space="0" w:color="auto"/>
              <w:right w:val="outset" w:sz="6" w:space="0" w:color="auto"/>
            </w:tcBorders>
            <w:shd w:val="clear" w:color="auto" w:fill="FFFFFF"/>
          </w:tcPr>
          <w:p w14:paraId="4FA80FEA" w14:textId="6C249C28" w:rsidR="00124333" w:rsidRPr="005667CC" w:rsidRDefault="002079FC" w:rsidP="005667CC">
            <w:pPr>
              <w:pStyle w:val="ListParagraph"/>
              <w:numPr>
                <w:ilvl w:val="0"/>
                <w:numId w:val="2"/>
              </w:numPr>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t>Առաջարկություններ և դիտողություններ չկան:</w:t>
            </w:r>
          </w:p>
        </w:tc>
        <w:tc>
          <w:tcPr>
            <w:tcW w:w="3312" w:type="dxa"/>
            <w:tcBorders>
              <w:top w:val="outset" w:sz="6" w:space="0" w:color="auto"/>
              <w:left w:val="outset" w:sz="6" w:space="0" w:color="auto"/>
              <w:bottom w:val="outset" w:sz="6" w:space="0" w:color="auto"/>
              <w:right w:val="nil"/>
            </w:tcBorders>
            <w:shd w:val="clear" w:color="auto" w:fill="FFFFFF"/>
          </w:tcPr>
          <w:p w14:paraId="7D776EA1" w14:textId="77777777" w:rsidR="00124333" w:rsidRPr="005667CC" w:rsidRDefault="00124333" w:rsidP="005667CC">
            <w:pPr>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t>Ընդունվել է ի գիտություն։</w:t>
            </w:r>
          </w:p>
          <w:p w14:paraId="69DC0288" w14:textId="60960F39" w:rsidR="00124333" w:rsidRPr="005667CC" w:rsidRDefault="00124333" w:rsidP="005667CC">
            <w:pPr>
              <w:spacing w:after="0" w:line="240" w:lineRule="auto"/>
              <w:rPr>
                <w:rFonts w:ascii="GHEA Grapalat" w:eastAsia="Aptos" w:hAnsi="GHEA Grapalat" w:cs="Times New Roman"/>
                <w:lang w:val="hy-AM"/>
              </w:rPr>
            </w:pPr>
          </w:p>
        </w:tc>
      </w:tr>
      <w:tr w:rsidR="0079494E" w:rsidRPr="005667CC" w14:paraId="261FC2D4" w14:textId="77777777" w:rsidTr="001B5475">
        <w:trPr>
          <w:trHeight w:val="243"/>
          <w:tblCellSpacing w:w="0" w:type="dxa"/>
          <w:jc w:val="center"/>
        </w:trPr>
        <w:tc>
          <w:tcPr>
            <w:tcW w:w="69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D58FF97" w14:textId="3DB382CB" w:rsidR="0079494E" w:rsidRPr="005667CC" w:rsidRDefault="00677911" w:rsidP="005667CC">
            <w:pPr>
              <w:tabs>
                <w:tab w:val="left" w:pos="1650"/>
              </w:tabs>
              <w:spacing w:line="240" w:lineRule="auto"/>
              <w:jc w:val="center"/>
              <w:rPr>
                <w:rFonts w:ascii="GHEA Grapalat" w:eastAsia="Aptos" w:hAnsi="GHEA Grapalat" w:cs="Times New Roman"/>
                <w:lang w:val="hy-AM"/>
              </w:rPr>
            </w:pPr>
            <w:r w:rsidRPr="005667CC">
              <w:rPr>
                <w:rFonts w:ascii="GHEA Grapalat" w:eastAsia="Aptos" w:hAnsi="GHEA Grapalat" w:cs="Times New Roman"/>
                <w:lang w:val="hy-AM"/>
              </w:rPr>
              <w:t>3</w:t>
            </w:r>
            <w:r w:rsidR="0079494E" w:rsidRPr="005667CC">
              <w:rPr>
                <w:rFonts w:ascii="GHEA Grapalat" w:eastAsia="Aptos" w:hAnsi="GHEA Grapalat" w:cs="Times New Roman"/>
                <w:lang w:val="hy-AM"/>
              </w:rPr>
              <w:t xml:space="preserve">. </w:t>
            </w:r>
            <w:r w:rsidR="0079494E" w:rsidRPr="005667CC">
              <w:rPr>
                <w:rFonts w:ascii="GHEA Grapalat" w:eastAsia="Aptos" w:hAnsi="GHEA Grapalat" w:cs="Times New Roman"/>
                <w:b/>
                <w:lang w:val="hy-AM"/>
              </w:rPr>
              <w:t>ՀՀ Արդարադատության նախարարություն</w:t>
            </w:r>
          </w:p>
        </w:tc>
        <w:tc>
          <w:tcPr>
            <w:tcW w:w="3312" w:type="dxa"/>
            <w:tcBorders>
              <w:top w:val="outset" w:sz="6" w:space="0" w:color="auto"/>
              <w:left w:val="outset" w:sz="6" w:space="0" w:color="auto"/>
              <w:bottom w:val="outset" w:sz="6" w:space="0" w:color="auto"/>
              <w:right w:val="outset" w:sz="6" w:space="0" w:color="auto"/>
            </w:tcBorders>
            <w:shd w:val="clear" w:color="auto" w:fill="D0D0D0"/>
            <w:hideMark/>
          </w:tcPr>
          <w:p w14:paraId="2A51FB3B" w14:textId="4377C2F8" w:rsidR="0079494E" w:rsidRPr="005667CC" w:rsidRDefault="0079494E" w:rsidP="005667CC">
            <w:pPr>
              <w:spacing w:after="0" w:line="240" w:lineRule="auto"/>
              <w:jc w:val="center"/>
              <w:rPr>
                <w:rFonts w:ascii="GHEA Grapalat" w:eastAsia="Times New Roman" w:hAnsi="GHEA Grapalat" w:cs="Arial"/>
                <w:b/>
                <w:kern w:val="0"/>
                <w:lang w:val="hy-AM"/>
                <w14:ligatures w14:val="none"/>
              </w:rPr>
            </w:pPr>
            <w:r w:rsidRPr="005667CC">
              <w:rPr>
                <w:rFonts w:ascii="GHEA Grapalat" w:eastAsia="Times New Roman" w:hAnsi="GHEA Grapalat" w:cs="Arial"/>
                <w:b/>
                <w:kern w:val="0"/>
                <w:lang w:val="hy-AM"/>
                <w14:ligatures w14:val="none"/>
              </w:rPr>
              <w:t>22.09.2025թ.</w:t>
            </w:r>
          </w:p>
        </w:tc>
      </w:tr>
      <w:tr w:rsidR="0079494E" w:rsidRPr="005667CC" w14:paraId="0D8E2D49" w14:textId="77777777" w:rsidTr="001B5475">
        <w:trPr>
          <w:trHeight w:val="256"/>
          <w:tblCellSpacing w:w="0" w:type="dxa"/>
          <w:jc w:val="center"/>
        </w:trPr>
        <w:tc>
          <w:tcPr>
            <w:tcW w:w="69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8201EE" w14:textId="77777777" w:rsidR="0079494E" w:rsidRPr="005667CC" w:rsidRDefault="0079494E" w:rsidP="005667CC">
            <w:pPr>
              <w:spacing w:after="0" w:line="240" w:lineRule="auto"/>
              <w:rPr>
                <w:rFonts w:ascii="GHEA Grapalat" w:eastAsia="Times New Roman" w:hAnsi="GHEA Grapalat" w:cs="Arial"/>
                <w:color w:val="333333"/>
                <w:kern w:val="0"/>
                <w:lang w:val="hy-AM"/>
                <w14:ligatures w14:val="none"/>
              </w:rPr>
            </w:pPr>
          </w:p>
        </w:tc>
        <w:tc>
          <w:tcPr>
            <w:tcW w:w="3312" w:type="dxa"/>
            <w:tcBorders>
              <w:top w:val="outset" w:sz="6" w:space="0" w:color="auto"/>
              <w:left w:val="outset" w:sz="6" w:space="0" w:color="auto"/>
              <w:bottom w:val="outset" w:sz="6" w:space="0" w:color="auto"/>
              <w:right w:val="outset" w:sz="6" w:space="0" w:color="auto"/>
            </w:tcBorders>
            <w:shd w:val="clear" w:color="auto" w:fill="D0D0D0"/>
            <w:hideMark/>
          </w:tcPr>
          <w:p w14:paraId="3590C2CE" w14:textId="647F6C8C" w:rsidR="0079494E" w:rsidRPr="005667CC" w:rsidRDefault="0079494E" w:rsidP="005667CC">
            <w:pPr>
              <w:spacing w:after="0" w:line="240" w:lineRule="auto"/>
              <w:jc w:val="center"/>
              <w:rPr>
                <w:rFonts w:ascii="GHEA Grapalat" w:eastAsia="Times New Roman" w:hAnsi="GHEA Grapalat" w:cs="Arial"/>
                <w:b/>
                <w:kern w:val="0"/>
                <w:lang w:val="hy-AM"/>
                <w14:ligatures w14:val="none"/>
              </w:rPr>
            </w:pPr>
            <w:r w:rsidRPr="005667CC">
              <w:rPr>
                <w:rFonts w:ascii="GHEA Grapalat" w:eastAsia="Times New Roman" w:hAnsi="GHEA Grapalat" w:cs="Arial"/>
                <w:b/>
                <w:kern w:val="0"/>
                <w:lang w:val="hy-AM"/>
                <w14:ligatures w14:val="none"/>
              </w:rPr>
              <w:t>N /27.3/41622-2025</w:t>
            </w:r>
          </w:p>
        </w:tc>
      </w:tr>
      <w:tr w:rsidR="0079494E" w:rsidRPr="000E7AB1" w14:paraId="4D97BC1D" w14:textId="77777777" w:rsidTr="001B5475">
        <w:trPr>
          <w:tblCellSpacing w:w="0" w:type="dxa"/>
          <w:jc w:val="center"/>
        </w:trPr>
        <w:tc>
          <w:tcPr>
            <w:tcW w:w="6909" w:type="dxa"/>
            <w:gridSpan w:val="2"/>
            <w:tcBorders>
              <w:top w:val="outset" w:sz="6" w:space="0" w:color="auto"/>
              <w:left w:val="outset" w:sz="6" w:space="0" w:color="auto"/>
              <w:bottom w:val="outset" w:sz="6" w:space="0" w:color="auto"/>
              <w:right w:val="outset" w:sz="6" w:space="0" w:color="auto"/>
            </w:tcBorders>
            <w:shd w:val="clear" w:color="auto" w:fill="FFFFFF"/>
          </w:tcPr>
          <w:p w14:paraId="24DB9BBD" w14:textId="0E64A5D4" w:rsidR="0079494E" w:rsidRPr="005667CC" w:rsidRDefault="0079494E" w:rsidP="005667CC">
            <w:pPr>
              <w:pStyle w:val="ListParagraph"/>
              <w:spacing w:line="240" w:lineRule="auto"/>
              <w:ind w:hanging="360"/>
              <w:rPr>
                <w:rFonts w:ascii="GHEA Grapalat" w:eastAsia="Aptos" w:hAnsi="GHEA Grapalat" w:cs="Times New Roman"/>
                <w:lang w:val="hy-AM"/>
              </w:rPr>
            </w:pPr>
            <w:r w:rsidRPr="005667CC">
              <w:rPr>
                <w:rFonts w:ascii="GHEA Grapalat" w:eastAsia="Aptos" w:hAnsi="GHEA Grapalat" w:cs="Times New Roman"/>
                <w:b/>
                <w:lang w:val="hy-AM"/>
              </w:rPr>
              <w:t xml:space="preserve"> 1.  </w:t>
            </w:r>
            <w:r w:rsidRPr="005667CC">
              <w:rPr>
                <w:rFonts w:ascii="GHEA Grapalat" w:eastAsia="Aptos" w:hAnsi="GHEA Grapalat" w:cs="Times New Roman"/>
                <w:lang w:val="hy-AM"/>
              </w:rPr>
              <w:t>Օրենքի 7-րդ գլխի ուսումնասիրությունից հետևում է, որ բողոքների առկայության դեպքում, դա կլինի խաղացողների՝ կազմակերպիչների դեմ, թե օպերատորի և կազմակերպչի միջև ծագած՝ լուծվում են վերահսկող մարմնի միջոցով, և միայն վերջինիս կողմից որոշում կայացվելու դեպքում այն կարող է բողոքարկվել դատարան: Այստեղ կարևոր է նշել, որ Օրենքն ընդգծում է խաղային գործունեության հետ կապված հարաբերությունների նկատմամբ պետական վերահսկողության առկայությունը (2-րդ հոդված, 1-ին մաս), որն իրականացնում է Վերահսկող մարմինը: Նման պայմաններում հասկանալի չէ, թե օպերատորի ընտրության շրջանակներում առաջացող վեճերն ինչու նախ չպետք է լուծվեն Վերահսկող մարմնի՝ որպես խաղային գործունեության նկատմամբ պետական վերահսկողություն իրականացնող մարմնի կողմից՝ մյուս դեպքերին համահունչ:</w:t>
            </w:r>
          </w:p>
          <w:p w14:paraId="55D450E5" w14:textId="1DA45DE2" w:rsidR="0079494E" w:rsidRPr="005667CC" w:rsidRDefault="0079494E" w:rsidP="005667CC">
            <w:pPr>
              <w:pStyle w:val="ListParagraph"/>
              <w:spacing w:line="240" w:lineRule="auto"/>
              <w:ind w:hanging="360"/>
              <w:rPr>
                <w:rFonts w:ascii="GHEA Grapalat" w:eastAsia="Aptos" w:hAnsi="GHEA Grapalat" w:cs="Times New Roman"/>
                <w:b/>
                <w:highlight w:val="lightGray"/>
                <w:lang w:val="hy-AM"/>
              </w:rPr>
            </w:pPr>
            <w:r w:rsidRPr="005667CC">
              <w:rPr>
                <w:rFonts w:ascii="GHEA Grapalat" w:eastAsia="Aptos" w:hAnsi="GHEA Grapalat" w:cs="Times New Roman"/>
                <w:lang w:val="hy-AM"/>
              </w:rPr>
              <w:lastRenderedPageBreak/>
              <w:t xml:space="preserve">     Սա նաև ուղղված կլինի այլընտրանքային եղանակով վեճերի արագ և արդյունավետ լուծմանը՝ կանխելով դատական երկարաժամկետ վեճերի մեջ ներքաշվելու հավանականությունը:</w:t>
            </w:r>
          </w:p>
        </w:tc>
        <w:tc>
          <w:tcPr>
            <w:tcW w:w="3312" w:type="dxa"/>
          </w:tcPr>
          <w:p w14:paraId="3B6369BB" w14:textId="1F59DC77" w:rsidR="0079494E" w:rsidRPr="005667CC" w:rsidRDefault="001B5475" w:rsidP="001B5475">
            <w:pPr>
              <w:spacing w:line="240" w:lineRule="auto"/>
              <w:ind w:left="31"/>
              <w:rPr>
                <w:rFonts w:ascii="GHEA Grapalat" w:hAnsi="GHEA Grapalat"/>
                <w:lang w:val="hy-AM"/>
              </w:rPr>
            </w:pPr>
            <w:r>
              <w:rPr>
                <w:rFonts w:ascii="GHEA Grapalat" w:hAnsi="GHEA Grapalat"/>
                <w:lang w:val="hy-AM"/>
              </w:rPr>
              <w:lastRenderedPageBreak/>
              <w:t xml:space="preserve">  </w:t>
            </w:r>
            <w:r w:rsidR="0079494E" w:rsidRPr="005667CC">
              <w:rPr>
                <w:rFonts w:ascii="GHEA Grapalat" w:hAnsi="GHEA Grapalat"/>
                <w:lang w:val="hy-AM"/>
              </w:rPr>
              <w:t xml:space="preserve">Չի ընդունվել: </w:t>
            </w:r>
          </w:p>
          <w:p w14:paraId="4D303616" w14:textId="12B6A4DC" w:rsidR="0079494E" w:rsidRPr="005667CC" w:rsidRDefault="001B5475" w:rsidP="001B5475">
            <w:pPr>
              <w:spacing w:after="0" w:line="240" w:lineRule="auto"/>
              <w:ind w:left="172" w:hanging="172"/>
              <w:rPr>
                <w:rFonts w:ascii="GHEA Grapalat" w:eastAsia="Aptos" w:hAnsi="GHEA Grapalat" w:cs="Times New Roman"/>
                <w:b/>
                <w:highlight w:val="lightGray"/>
                <w:lang w:val="hy-AM"/>
              </w:rPr>
            </w:pPr>
            <w:r>
              <w:rPr>
                <w:rFonts w:ascii="GHEA Grapalat" w:hAnsi="GHEA Grapalat"/>
                <w:lang w:val="hy-AM"/>
              </w:rPr>
              <w:t xml:space="preserve">  </w:t>
            </w:r>
            <w:r w:rsidR="0079494E" w:rsidRPr="005667CC">
              <w:rPr>
                <w:rFonts w:ascii="GHEA Grapalat" w:hAnsi="GHEA Grapalat"/>
                <w:lang w:val="hy-AM"/>
              </w:rPr>
              <w:t xml:space="preserve">Օրենքի նախագծով կարգավորվող հասարակական հարաբերությունները վերաբերում են խաղային գործունեության կարգավորման օպերատորի ընտրության ընթացակարգի՝ դատական կարգով բողոքարկմանը, մինչդեռ Օրենքի 7-րդ գլխով կարգավորվող հասարակական հարաբերությունները այլ են: Մասնավորապես, Օրենքի 7-րդ գլուխը և դրանում </w:t>
            </w:r>
            <w:r w:rsidR="0079494E" w:rsidRPr="005667CC">
              <w:rPr>
                <w:rFonts w:ascii="GHEA Grapalat" w:hAnsi="GHEA Grapalat"/>
                <w:lang w:val="hy-AM"/>
              </w:rPr>
              <w:lastRenderedPageBreak/>
              <w:t xml:space="preserve">նախատեսված՝ Վերահսկող մարմնին բողոք ներկայացնելու մասին իրավանորմերը կարգավորում են խաղացողների կողմից կազմակերպիչների դեմ ներկայացված բողոքների քննության հետ կապված հարաբերություններ: Օրենքի 7-րդ գլխով սահմանված՝  խաղացողների կողմից կազմակերպիչների դեմ ներկայացղված բողոքաների քննությունը Վերահսկող մարմնի կողմից (կամ բողոքների քննության արտադատական կարգը) ինքնին չի նշանակում, որ  օպերատորի ընտրության ընթացակարգի բողոքարկումը ևս պետք է իրականացվի արտադատական կարոգով՝ Վերահսկող մարմնի կողմից, քանի որ, դրանք սկզբունքնորեն տարբեր իրավահարաբերություններ </w:t>
            </w:r>
            <w:r w:rsidR="0079494E" w:rsidRPr="005667CC">
              <w:rPr>
                <w:rFonts w:ascii="GHEA Grapalat" w:hAnsi="GHEA Grapalat"/>
                <w:lang w:val="hy-AM"/>
              </w:rPr>
              <w:lastRenderedPageBreak/>
              <w:t xml:space="preserve">են: Խաղային գործունեության ոլորտի նկատմամբ վերահսկողությունը Պետական եկամուտների կոմիտեի իրավասության տիրույթում է, ուստի տրամաբանական է, որ Խաղացողների կողմից կազմակերպիչների դեմ ներկայացված բողոքաները քննի հենց Վերահսկող մարմինը և ամենևին նպատակահարմար չէ Վերահսկող մարմնի քննությանը հանձնել օպերատորի ընտրության ընթացակարգի (Հանձնաժողովի որոշումների) բողոքարկումը այն դեպքում, երբ Հանձնաժողովի կազմում ներառված են տարբեր պետական գերատեսչությունների, այդ թվում՝ Վերահսկող մարմնի ներկայացուցիչներ, և Հանձնաժողովի </w:t>
            </w:r>
            <w:r w:rsidR="0079494E" w:rsidRPr="005667CC">
              <w:rPr>
                <w:rFonts w:ascii="GHEA Grapalat" w:hAnsi="GHEA Grapalat"/>
                <w:lang w:val="hy-AM"/>
              </w:rPr>
              <w:lastRenderedPageBreak/>
              <w:t>գործունեությունը ուղղված է օպերատորի մրցույթի բնականոն ընթացքի ապահովմանը: Այլ կերպ ասած՝ խաղային գործունեության ոլորտի նկատմամբ վերահսկողություն իրականացնելու և դրանով պայմանավորված՝ խաղացողների ու կազմակերպիչների միջև առկա վեճերը լուծելը Վերահսկող մարմնի իրավասության տիրույթում է, իսկ Հանձնաժողովի գործունեության օրինականությունը ստուգելը դուրս է ՊԵԿ-ի լիազորությունների շրջանակից, հատկապես, որ Վերահսկող մարմինը ևս ընդգրկված է Հանձնաժողովի կազմում:</w:t>
            </w:r>
          </w:p>
        </w:tc>
      </w:tr>
      <w:tr w:rsidR="00177D41" w:rsidRPr="000E7AB1" w14:paraId="0334CBB2" w14:textId="77777777" w:rsidTr="001B5475">
        <w:trPr>
          <w:tblCellSpacing w:w="0" w:type="dxa"/>
          <w:jc w:val="center"/>
        </w:trPr>
        <w:tc>
          <w:tcPr>
            <w:tcW w:w="6909" w:type="dxa"/>
            <w:gridSpan w:val="2"/>
            <w:tcBorders>
              <w:top w:val="outset" w:sz="6" w:space="0" w:color="auto"/>
              <w:left w:val="outset" w:sz="6" w:space="0" w:color="auto"/>
              <w:bottom w:val="outset" w:sz="6" w:space="0" w:color="auto"/>
              <w:right w:val="outset" w:sz="6" w:space="0" w:color="auto"/>
            </w:tcBorders>
            <w:shd w:val="clear" w:color="auto" w:fill="FFFFFF"/>
          </w:tcPr>
          <w:p w14:paraId="5D84270F" w14:textId="58902C05" w:rsidR="00177D41" w:rsidRPr="005667CC" w:rsidRDefault="00177D41" w:rsidP="005667CC">
            <w:pPr>
              <w:pStyle w:val="ListParagraph"/>
              <w:numPr>
                <w:ilvl w:val="0"/>
                <w:numId w:val="4"/>
              </w:numPr>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lastRenderedPageBreak/>
              <w:t xml:space="preserve">Հարկ ենք համարում անդրադառնալ այն հարցին, թե  արդյո՞ք ցանկացած գործողություն կամ անգործություն ենթակա է բողոքարկման: Օրինակ՝ ՀՀ կառավարության 2025 թվականի օգոստոսի 14-ի </w:t>
            </w:r>
            <w:r w:rsidRPr="005667CC">
              <w:rPr>
                <w:rFonts w:ascii="GHEA Grapalat" w:eastAsia="Aptos" w:hAnsi="GHEA Grapalat" w:cs="Times New Roman"/>
                <w:lang w:val="hy-AM"/>
              </w:rPr>
              <w:lastRenderedPageBreak/>
              <w:t>«Խաղային գործունեության կարգավորման օպերատորի ընտրության մրցույթի անցկացման ընթացակարգը, օպերատորի ընտրության ընթացակարգին կոնսորցիումով մասնակցության կարգը, օպերատորի հետ պայմանագրի կնքման կարգը և մրցույթը չկայացած համարվելու հիմքերը սահմանելու մասին» N 1149-Ն որոշմամբ հաստատած ընթացակարգում Հանձնաժողովին վերապահված է նաև պարզաբանում տալու իրավունք: Արդյո՞ք պարզաբանումները ենթակա են լինելու բողոքարկման՝ հաշվի առնելով, որ դրանք պարզաբանման կարիք ունեցող հարցադրումների վերաբերյալ Հանձնաժողովի եզրահանգումներն են: Ավելին՝ ստացվում է դրանք ևս ենթակա են լինելու բողոքարկման երկամսյա ժամկետում, այն դեպքում, երբ կարող են ներկայացվել որակավորման հայտերի ներկայացման համար սահմանված վերջնաժամկետից 20 օրացուցային օր առաջ։ Բացի այդ, Կառավարության հաստատած ընթացակարգից հետևում է, որ մի շարք դեպքերում հանձնաժողովը կայացնում է որոշումներ, ապա համապատասխան օրերի ընթացքում դրանք հրապարակում համապատասխան կայքերում։</w:t>
            </w:r>
          </w:p>
          <w:p w14:paraId="31DB573F" w14:textId="77777777" w:rsidR="00177D41" w:rsidRPr="005667CC" w:rsidRDefault="00177D41" w:rsidP="005667CC">
            <w:pPr>
              <w:spacing w:after="0" w:line="240" w:lineRule="auto"/>
              <w:ind w:left="1104"/>
              <w:rPr>
                <w:rFonts w:ascii="GHEA Grapalat" w:eastAsia="Aptos" w:hAnsi="GHEA Grapalat" w:cs="Times New Roman"/>
                <w:lang w:val="hy-AM"/>
              </w:rPr>
            </w:pPr>
            <w:r w:rsidRPr="005667CC">
              <w:rPr>
                <w:rFonts w:ascii="GHEA Grapalat" w:eastAsia="Aptos" w:hAnsi="GHEA Grapalat" w:cs="Times New Roman"/>
                <w:lang w:val="hy-AM"/>
              </w:rPr>
              <w:t xml:space="preserve">Այս դեպքում ժամկետի հաշվարկը սկսվելու է կայացման պահից, թե՞ հրապարակման օրվանից՝ հաշվի առնելով, որ շահագրգիռ անձինք դրանց բովանդակությանը կարող են ծանոթանալ </w:t>
            </w:r>
            <w:r w:rsidRPr="005667CC">
              <w:rPr>
                <w:rFonts w:ascii="GHEA Grapalat" w:eastAsia="Aptos" w:hAnsi="GHEA Grapalat" w:cs="Times New Roman"/>
                <w:lang w:val="hy-AM"/>
              </w:rPr>
              <w:lastRenderedPageBreak/>
              <w:t>հրապարակման պահից, ուստի այդ պահից դիմել իրենց իրավունքների պաշտպանության:</w:t>
            </w:r>
          </w:p>
          <w:p w14:paraId="46AEDBD6" w14:textId="77777777" w:rsidR="00177D41" w:rsidRPr="005667CC" w:rsidRDefault="00177D41" w:rsidP="005667CC">
            <w:pPr>
              <w:spacing w:after="0" w:line="240" w:lineRule="auto"/>
              <w:ind w:left="1104"/>
              <w:rPr>
                <w:rFonts w:ascii="GHEA Grapalat" w:eastAsia="Aptos" w:hAnsi="GHEA Grapalat" w:cs="Times New Roman"/>
                <w:lang w:val="hy-AM"/>
              </w:rPr>
            </w:pPr>
            <w:r w:rsidRPr="005667CC">
              <w:rPr>
                <w:rFonts w:ascii="GHEA Grapalat" w:eastAsia="Aptos" w:hAnsi="GHEA Grapalat" w:cs="Times New Roman"/>
                <w:lang w:val="hy-AM"/>
              </w:rPr>
              <w:t>Անդրադառնալով կարգավորմամբ սահմանված ժամկետին հայտնում ենք, որ բոլոր տեսակի գործողությունների/անգործության և որոշումների դեպքում վաղեմության նույն ժամկետը սահմանելը նպատակահարմար չէ, քանի որ մրցույթի անցկացման ընթացակարգը տրամաբանական, հաջորդական գործողությունների շղթա է: (...):</w:t>
            </w:r>
          </w:p>
          <w:p w14:paraId="18751DDA" w14:textId="3176833E" w:rsidR="00177D41" w:rsidRPr="005667CC" w:rsidRDefault="00177D41" w:rsidP="005667CC">
            <w:pPr>
              <w:spacing w:after="0" w:line="240" w:lineRule="auto"/>
              <w:rPr>
                <w:rFonts w:ascii="GHEA Grapalat" w:eastAsia="Aptos" w:hAnsi="GHEA Grapalat" w:cs="Times New Roman"/>
                <w:lang w:val="hy-AM"/>
              </w:rPr>
            </w:pPr>
          </w:p>
        </w:tc>
        <w:tc>
          <w:tcPr>
            <w:tcW w:w="3312" w:type="dxa"/>
            <w:tcBorders>
              <w:top w:val="outset" w:sz="6" w:space="0" w:color="auto"/>
              <w:left w:val="outset" w:sz="6" w:space="0" w:color="auto"/>
              <w:bottom w:val="outset" w:sz="6" w:space="0" w:color="auto"/>
              <w:right w:val="nil"/>
            </w:tcBorders>
            <w:shd w:val="clear" w:color="auto" w:fill="FFFFFF"/>
          </w:tcPr>
          <w:p w14:paraId="6C29F8C2" w14:textId="77777777" w:rsidR="00177D41" w:rsidRPr="005667CC" w:rsidRDefault="00177D41" w:rsidP="003F096A">
            <w:pPr>
              <w:spacing w:after="0" w:line="240" w:lineRule="auto"/>
              <w:ind w:left="298" w:hanging="142"/>
              <w:rPr>
                <w:rFonts w:ascii="GHEA Grapalat" w:eastAsia="Aptos" w:hAnsi="GHEA Grapalat" w:cs="Times New Roman"/>
                <w:lang w:val="hy-AM"/>
              </w:rPr>
            </w:pPr>
            <w:r w:rsidRPr="005667CC">
              <w:rPr>
                <w:rFonts w:ascii="GHEA Grapalat" w:eastAsia="Aptos" w:hAnsi="GHEA Grapalat" w:cs="Times New Roman"/>
                <w:lang w:val="hy-AM"/>
              </w:rPr>
              <w:lastRenderedPageBreak/>
              <w:t>Ընդունվել է մասնակի:</w:t>
            </w:r>
          </w:p>
          <w:p w14:paraId="6006E2B9" w14:textId="213914BA" w:rsidR="00177D41" w:rsidRPr="005667CC" w:rsidRDefault="00177D41" w:rsidP="003F096A">
            <w:pPr>
              <w:spacing w:after="0" w:line="240" w:lineRule="auto"/>
              <w:ind w:left="156"/>
              <w:rPr>
                <w:rFonts w:ascii="GHEA Grapalat" w:eastAsia="Aptos" w:hAnsi="GHEA Grapalat" w:cs="Times New Roman"/>
                <w:lang w:val="hy-AM"/>
              </w:rPr>
            </w:pPr>
            <w:r w:rsidRPr="005667CC">
              <w:rPr>
                <w:rFonts w:ascii="GHEA Grapalat" w:eastAsia="Aptos" w:hAnsi="GHEA Grapalat" w:cs="Times New Roman"/>
                <w:lang w:val="hy-AM"/>
              </w:rPr>
              <w:t xml:space="preserve">Հստակեցվել են բողոքարկման ենթակա որոշումները, դրանց </w:t>
            </w:r>
            <w:r w:rsidRPr="005667CC">
              <w:rPr>
                <w:rFonts w:ascii="GHEA Grapalat" w:eastAsia="Aptos" w:hAnsi="GHEA Grapalat" w:cs="Times New Roman"/>
                <w:lang w:val="hy-AM"/>
              </w:rPr>
              <w:lastRenderedPageBreak/>
              <w:t>բողոքարկման ժամկետի մեկնարկը սահմանվել է հրապարակման պահից: Ինչ վերաբերում է այն դիտարկմանը, որ բոլոր որոշումների բողոքարկման համար նույն ժամկետը սահմանելը նպատակահարմար չէ, ապա հարկ է նշել, որ կատարված փոփոխություններով պայմանավորված (մասնավորապես այն, որ որպես բողոքարկման ենթակա որոշումներ սահմանվել են միայն որոկավորման հայտի մերժման և հաղթող հայտատուի հայտարարման վերաբերյալ որոշումները)՝ վերացել է այլ որոշումների բողոքարկման ժամկետների վերաբերյալ հարցին անդրադառնալու անհրաժեշտությունը:</w:t>
            </w:r>
          </w:p>
        </w:tc>
      </w:tr>
      <w:tr w:rsidR="00177D41" w:rsidRPr="000E7AB1" w14:paraId="5CF804D9" w14:textId="77777777" w:rsidTr="001B5475">
        <w:trPr>
          <w:tblCellSpacing w:w="0" w:type="dxa"/>
          <w:jc w:val="center"/>
        </w:trPr>
        <w:tc>
          <w:tcPr>
            <w:tcW w:w="6909" w:type="dxa"/>
            <w:gridSpan w:val="2"/>
            <w:tcBorders>
              <w:top w:val="outset" w:sz="6" w:space="0" w:color="auto"/>
              <w:left w:val="outset" w:sz="6" w:space="0" w:color="auto"/>
              <w:bottom w:val="outset" w:sz="6" w:space="0" w:color="auto"/>
              <w:right w:val="outset" w:sz="6" w:space="0" w:color="auto"/>
            </w:tcBorders>
            <w:shd w:val="clear" w:color="auto" w:fill="FFFFFF"/>
          </w:tcPr>
          <w:p w14:paraId="7367E324" w14:textId="294DF4BF" w:rsidR="00177D41" w:rsidRPr="005667CC" w:rsidRDefault="00177D41" w:rsidP="005667CC">
            <w:pPr>
              <w:pStyle w:val="ListParagraph"/>
              <w:numPr>
                <w:ilvl w:val="0"/>
                <w:numId w:val="4"/>
              </w:numPr>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lastRenderedPageBreak/>
              <w:t>(...) «Գնումների մասին» օրենքի և «Պետություն-մասնավոր գործընկերության մասին» օրենքի շրջանակներում առաջացող իրավահարաբերությունները քաղաքացիաիրավական են, քանի որ ուղղված են օրենքով սահմանված պահանջների պահպանմամբ ընտրված մասնակցի և/կամ մասնավոր գործընկերոջ հետ պայմանագրային հարաբերությունների մեջ մտնելուն, մինչդեռ տվյալ դեպքում խոսքը գնում է պետական վերահսկողության ներքո գտնվող՝ խաղային գործունեությանը, որի իրականացման նպատակով օրենքով ձևավորված մարմինն իրականացնում է համապատասխան սուբյեկտի ընտրության մրցույթ:</w:t>
            </w:r>
          </w:p>
          <w:p w14:paraId="7381C49A" w14:textId="2AAD7D1D" w:rsidR="00177D41" w:rsidRPr="005667CC" w:rsidRDefault="00177D41" w:rsidP="005667CC">
            <w:pPr>
              <w:spacing w:after="0" w:line="240" w:lineRule="auto"/>
              <w:ind w:left="1104"/>
              <w:rPr>
                <w:rFonts w:ascii="GHEA Grapalat" w:eastAsia="Aptos" w:hAnsi="GHEA Grapalat" w:cs="Times New Roman"/>
                <w:lang w:val="hy-AM"/>
              </w:rPr>
            </w:pPr>
            <w:r w:rsidRPr="005667CC">
              <w:rPr>
                <w:rFonts w:ascii="GHEA Grapalat" w:eastAsia="Aptos" w:hAnsi="GHEA Grapalat" w:cs="Times New Roman"/>
                <w:lang w:val="hy-AM"/>
              </w:rPr>
              <w:t xml:space="preserve">Ավելին՝ խաղացողի և կազմակերպչի, ինչպես նաև           օպերատորի և կազմակերպչի միջև ծագող հարաբերությունները, ներառյալ՝ բողոքարկման հետ կապված, վարչական են, քանի որ տարաձայնությունների առկայության դեպքում </w:t>
            </w:r>
            <w:r w:rsidRPr="005667CC">
              <w:rPr>
                <w:rFonts w:ascii="GHEA Grapalat" w:eastAsia="Aptos" w:hAnsi="GHEA Grapalat" w:cs="Times New Roman"/>
                <w:lang w:val="hy-AM"/>
              </w:rPr>
              <w:lastRenderedPageBreak/>
              <w:t>վերահսկող մարմինն է կայացնում որոշում, որը, լինելով վարչական ակտ, ուժի մեջ է մտնում «Վարչարարության հիմունքների և վարչական վարույթի մասին» օրենքի 59-րդ հոդվածով սահմանված կարգով, և ենթակա է լինելու բողոքարկման վարչական դատավարության օրենսգրքով սահմանված կարգով (հիմք է ընդունվել «Խաղացողների՝ կազմակերպիչների դեմ բերվող բողոքների քննության կարգը և բողոքին ներկայացվող պահանջները, ինչպես նաև օպերատորի և կազմակերպչի միջև ծագած տարաձայնությունների, վեճերի քննարկման կարգը սահմանելու մասին» Կառավարության որոշման նախագիծը՝ https://www.e-draft.am/projects/8728/about): Նման պայմաններում ընթացակարգային կարգավորման առարկայի մի մասը չի կարող լինել քաղաքացիական, իսկ մյուս մասը՝ վարչական: (...):</w:t>
            </w:r>
          </w:p>
          <w:p w14:paraId="546030C5" w14:textId="77777777" w:rsidR="00177D41" w:rsidRPr="005667CC" w:rsidRDefault="00177D41" w:rsidP="005667CC">
            <w:pPr>
              <w:spacing w:after="0" w:line="240" w:lineRule="auto"/>
              <w:ind w:left="1104"/>
              <w:rPr>
                <w:rFonts w:ascii="GHEA Grapalat" w:eastAsia="Aptos" w:hAnsi="GHEA Grapalat" w:cs="Times New Roman"/>
                <w:lang w:val="hy-AM"/>
              </w:rPr>
            </w:pPr>
            <w:r w:rsidRPr="005667CC">
              <w:rPr>
                <w:rFonts w:ascii="GHEA Grapalat" w:eastAsia="Aptos" w:hAnsi="GHEA Grapalat" w:cs="Times New Roman"/>
                <w:lang w:val="hy-AM"/>
              </w:rPr>
              <w:t>Շարադրվածի լույսի ներքո՝ գտնում ենք, առաջարկվող կարգավորումն ունի վերանայման կարիք՝ վարչական և քաղաքացիաիրավական հարաբերությունների միջև առկա բովանդակային տարբերության, ինչպես նաև իրավունքի տարբեր ճյուղերով կարգավորելու հանգամանքի համատեքստում։</w:t>
            </w:r>
          </w:p>
          <w:p w14:paraId="093BD3E8" w14:textId="77777777" w:rsidR="00177D41" w:rsidRPr="005667CC" w:rsidRDefault="00177D41" w:rsidP="005667CC">
            <w:pPr>
              <w:spacing w:after="0" w:line="240" w:lineRule="auto"/>
              <w:rPr>
                <w:rFonts w:ascii="GHEA Grapalat" w:eastAsia="Aptos" w:hAnsi="GHEA Grapalat" w:cs="Times New Roman"/>
                <w:lang w:val="hy-AM"/>
              </w:rPr>
            </w:pPr>
          </w:p>
          <w:p w14:paraId="79BE332A" w14:textId="77777777" w:rsidR="00177D41" w:rsidRPr="005667CC" w:rsidRDefault="00177D41" w:rsidP="005667CC">
            <w:pPr>
              <w:spacing w:after="0" w:line="240" w:lineRule="auto"/>
              <w:rPr>
                <w:rFonts w:ascii="GHEA Grapalat" w:eastAsia="Aptos" w:hAnsi="GHEA Grapalat" w:cs="Times New Roman"/>
                <w:lang w:val="hy-AM"/>
              </w:rPr>
            </w:pPr>
          </w:p>
        </w:tc>
        <w:tc>
          <w:tcPr>
            <w:tcW w:w="3312" w:type="dxa"/>
            <w:tcBorders>
              <w:top w:val="outset" w:sz="6" w:space="0" w:color="auto"/>
              <w:left w:val="outset" w:sz="6" w:space="0" w:color="auto"/>
              <w:bottom w:val="outset" w:sz="6" w:space="0" w:color="auto"/>
              <w:right w:val="nil"/>
            </w:tcBorders>
            <w:shd w:val="clear" w:color="auto" w:fill="FFFFFF"/>
          </w:tcPr>
          <w:p w14:paraId="3D7E5450" w14:textId="77777777" w:rsidR="00177D41" w:rsidRPr="005667CC" w:rsidRDefault="00177D41" w:rsidP="003F096A">
            <w:pPr>
              <w:spacing w:after="0" w:line="240" w:lineRule="auto"/>
              <w:ind w:left="156"/>
              <w:rPr>
                <w:rFonts w:ascii="GHEA Grapalat" w:eastAsia="Aptos" w:hAnsi="GHEA Grapalat" w:cs="Times New Roman"/>
                <w:lang w:val="hy-AM"/>
              </w:rPr>
            </w:pPr>
            <w:r w:rsidRPr="005667CC">
              <w:rPr>
                <w:rFonts w:ascii="GHEA Grapalat" w:eastAsia="Aptos" w:hAnsi="GHEA Grapalat" w:cs="Times New Roman"/>
                <w:lang w:val="hy-AM"/>
              </w:rPr>
              <w:lastRenderedPageBreak/>
              <w:t>Ընդունվել է մասնակի: Հանձնաժողովի որոշումները քաղաքացիական դատավարության կարգով բողոքարկելու կապակցությամբ սահմանված կարգավորումը մնացել է անփոփոխ, իսկ օրենքի ընդունման հիմնավորմամբ ավելացվել են այդ հարաբերությունները քաղաքացիական համարելու մասին հիմնավորումներ:</w:t>
            </w:r>
          </w:p>
          <w:p w14:paraId="3275634B" w14:textId="77777777" w:rsidR="00177D41" w:rsidRPr="005667CC" w:rsidRDefault="00177D41" w:rsidP="003F096A">
            <w:pPr>
              <w:spacing w:after="0" w:line="240" w:lineRule="auto"/>
              <w:ind w:left="156"/>
              <w:rPr>
                <w:rFonts w:ascii="GHEA Grapalat" w:eastAsia="Aptos" w:hAnsi="GHEA Grapalat" w:cs="Times New Roman"/>
                <w:lang w:val="hy-AM"/>
              </w:rPr>
            </w:pPr>
            <w:r w:rsidRPr="005667CC">
              <w:rPr>
                <w:rFonts w:ascii="GHEA Grapalat" w:eastAsia="Aptos" w:hAnsi="GHEA Grapalat" w:cs="Times New Roman"/>
                <w:lang w:val="hy-AM"/>
              </w:rPr>
              <w:t xml:space="preserve">Խաղային գործունեության կարգավորման օպերատորի ընտրության կապակցությամբ հայտատուների և </w:t>
            </w:r>
            <w:r w:rsidRPr="005667CC">
              <w:rPr>
                <w:rFonts w:ascii="GHEA Grapalat" w:eastAsia="Aptos" w:hAnsi="GHEA Grapalat" w:cs="Times New Roman"/>
                <w:lang w:val="hy-AM"/>
              </w:rPr>
              <w:lastRenderedPageBreak/>
              <w:t xml:space="preserve">Գնահատող հանձնաժողովի միջև առաջացող հարաբերությունը վարչական հարաբերություններ չեն, այլ քաղաքացիաիրավական են, ուստի սահմանվել է, որ օպերատորի ընտրության ընթացակարգը ենթակա է բողոքարկման քաղաքացիական դատավարության կարգով: Հանձնաժողովի և հայտատուի միջև առաջացող հարաբերությունները ծագում են մրցույթի հայտարարման արդյունքում հայտատուի՝ մրցույթին մասնակցելու ազատ կամահայտնությամբ, իսկ հաղթողի հետ կնքվում է պայմանագիր: Այսինքն՝ արդյունքում օպերատորի և Վերահսկող մարմնի միջև առաջանում են պայմանագրային իրավահարաբերություններ: </w:t>
            </w:r>
          </w:p>
          <w:p w14:paraId="5C6F131B" w14:textId="77777777" w:rsidR="00177D41" w:rsidRPr="005667CC" w:rsidRDefault="00177D41" w:rsidP="003F096A">
            <w:pPr>
              <w:spacing w:after="0" w:line="240" w:lineRule="auto"/>
              <w:ind w:left="156"/>
              <w:rPr>
                <w:rFonts w:ascii="GHEA Grapalat" w:eastAsia="Aptos" w:hAnsi="GHEA Grapalat" w:cs="Times New Roman"/>
                <w:lang w:val="hy-AM"/>
              </w:rPr>
            </w:pPr>
            <w:r w:rsidRPr="005667CC">
              <w:rPr>
                <w:rFonts w:ascii="GHEA Grapalat" w:eastAsia="Aptos" w:hAnsi="GHEA Grapalat" w:cs="Times New Roman"/>
                <w:lang w:val="hy-AM"/>
              </w:rPr>
              <w:t xml:space="preserve">Հանրային են այն հարաբերությունները, որոնք ծագում են պետական </w:t>
            </w:r>
            <w:r w:rsidRPr="005667CC">
              <w:rPr>
                <w:rFonts w:ascii="GHEA Grapalat" w:eastAsia="Aptos" w:hAnsi="GHEA Grapalat" w:cs="Times New Roman"/>
                <w:lang w:val="hy-AM"/>
              </w:rPr>
              <w:lastRenderedPageBreak/>
              <w:t>կառավարման մարմինների գործադիր-կարգադրիչ գործունեության ընթացքում վարչական մարմինների և ֆիզիկական կամ իրավաբանական անձանց միջև ծագած հարաբերություններում: Այդ հարաբերության կողմ հանդիսացող հանրային իշխանության սուբյեկտն ունի օրենքով սահմանված իր իշխանական լիազորություններն իրականացնելու պարտականություն, ինչն էլ ֆիզիկական և իրավաբանական անձանց հանրային սուբյեկտիվ իրավունքների իրացման անհրաժեշտ և բավարար պայմանն է (տե՛ս թիվ ՎԴ/7029/05/11 գործով Վճռաբեկ դատարանի 26.12.2016 թվականի որոշումը):</w:t>
            </w:r>
          </w:p>
          <w:p w14:paraId="10BDD098" w14:textId="2C3CCB00" w:rsidR="00177D41" w:rsidRPr="005667CC" w:rsidRDefault="00177D41" w:rsidP="005667CC">
            <w:pPr>
              <w:spacing w:after="0" w:line="240" w:lineRule="auto"/>
              <w:ind w:left="156"/>
              <w:rPr>
                <w:rFonts w:ascii="GHEA Grapalat" w:eastAsia="Aptos" w:hAnsi="GHEA Grapalat" w:cs="Times New Roman"/>
                <w:lang w:val="hy-AM"/>
              </w:rPr>
            </w:pPr>
            <w:r w:rsidRPr="005667CC">
              <w:rPr>
                <w:rFonts w:ascii="GHEA Grapalat" w:eastAsia="Aptos" w:hAnsi="GHEA Grapalat" w:cs="Times New Roman"/>
                <w:lang w:val="hy-AM"/>
              </w:rPr>
              <w:t xml:space="preserve">Սույն դեպքում առկա չէ վարչական </w:t>
            </w:r>
            <w:r w:rsidRPr="005667CC">
              <w:rPr>
                <w:rFonts w:ascii="GHEA Grapalat" w:eastAsia="Aptos" w:hAnsi="GHEA Grapalat" w:cs="Times New Roman"/>
                <w:lang w:val="hy-AM"/>
              </w:rPr>
              <w:lastRenderedPageBreak/>
              <w:t xml:space="preserve">իրավահարաբերություններին բնորոշ՝ մեկ կողմի իշխանական, գործադիր-կարգադրիչ գործառույթ իրականացնելու հանգամանքը, քանի որ Հանձնաժողովը, ըստ էության, ոչ թե իրականացնում է գործադիր-կարգադրիչ գործառույթ, այլ կազմակերպում է մրցույթ՝ որոշակի կանոնների համապատասխան: Այն չի կարող մեկնաբանվել իբրև գործադիր-կարգադրիչ գործառույթի իրականացում, քանի որ Հանձնաժողովը չունի որևէ իշխանական լիազորություն, այն ներառված չէ իշխանության որևէ ճյուղում, Հանձնաժողովը վարչական մարմին չէ, իսկ մրցույթի կազմակերպումը, անցկացումը և գնահատումը ամենևին չի նշանակում գործադիր-կարգադրիչ գործառույթի իրականացում: </w:t>
            </w:r>
            <w:r w:rsidRPr="005667CC">
              <w:rPr>
                <w:rFonts w:ascii="GHEA Grapalat" w:eastAsia="Aptos" w:hAnsi="GHEA Grapalat" w:cs="Times New Roman"/>
                <w:lang w:val="hy-AM"/>
              </w:rPr>
              <w:lastRenderedPageBreak/>
              <w:t xml:space="preserve">Բացի այդ, հարկ է նշել, որ ի թիվս այլնի, վարչական ակտին բնորոշ հատկանիշներից մեկն այն է, որ այն ընդունվում է կոնկրետ գործի կարգավորման նպատակով (տե՛ս թիվ ՎԴ/3310/05/15 գործով Վճռաբեկ դատարանի 30.11.2018 թվականի որոշումը), մինչդեռ սույն դեպքում Հանձնաժողովի գործունեության նպատակը ոչ թե իրավունքի սուբյեկտի կոնկրետ գործի կարգավորումն է, այլ մրցույթի կազմակերպումը և անցկացումը: Ընդ որում, «Պետություն-մասնավոր գործընկերության մասին» ՀՀ օրենքով ևս սահմանված է, որ մասնավոր գործընկերոջ ընտրության ընթացակարգի, այդ թվում՝ բողոքի քննարկման հետ կապված հարաբերությունները վարչական հարաբերություններ չեն և </w:t>
            </w:r>
            <w:r w:rsidRPr="005667CC">
              <w:rPr>
                <w:rFonts w:ascii="GHEA Grapalat" w:eastAsia="Aptos" w:hAnsi="GHEA Grapalat" w:cs="Times New Roman"/>
                <w:lang w:val="hy-AM"/>
              </w:rPr>
              <w:lastRenderedPageBreak/>
              <w:t>կարգավորվում են ՀՀ քաղաքացիաիրավական հարաբերությունները կարգավորող օրենսդրությամբ: Խաղային գործունեության կարգավորման օպերատորի ընտրության մրցույթը ևս իր էությամբ պետություն-մասնավո գործընկերության տարատեսակ է՝ որոշակի առանձնահատկություններով, հետևաբար, այս առումով ևս, լիովին իրավաչափ է օպերատորի ընտրության ընթացակարգի՝ քաղաքացիական դատավարության կարգով բողոքարկումը:</w:t>
            </w:r>
          </w:p>
        </w:tc>
      </w:tr>
    </w:tbl>
    <w:p w14:paraId="034CDAAA" w14:textId="422C95C5" w:rsidR="00CF5F3C" w:rsidRPr="005667CC" w:rsidRDefault="00CF5F3C" w:rsidP="005667CC">
      <w:pPr>
        <w:tabs>
          <w:tab w:val="left" w:pos="1590"/>
          <w:tab w:val="left" w:pos="1755"/>
        </w:tabs>
        <w:spacing w:line="240" w:lineRule="auto"/>
        <w:rPr>
          <w:rFonts w:ascii="GHEA Grapalat" w:eastAsia="Aptos" w:hAnsi="GHEA Grapalat" w:cs="Times New Roman"/>
          <w:lang w:val="hy-AM"/>
        </w:rPr>
      </w:pPr>
    </w:p>
    <w:p w14:paraId="555E7E82" w14:textId="77777777" w:rsidR="00177D41" w:rsidRPr="005667CC" w:rsidRDefault="00CF5F3C" w:rsidP="005667CC">
      <w:pPr>
        <w:tabs>
          <w:tab w:val="left" w:pos="1590"/>
          <w:tab w:val="left" w:pos="1755"/>
        </w:tabs>
        <w:spacing w:line="240" w:lineRule="auto"/>
        <w:rPr>
          <w:rFonts w:ascii="GHEA Grapalat" w:eastAsia="Aptos" w:hAnsi="GHEA Grapalat" w:cs="Times New Roman"/>
          <w:lang w:val="hy-AM"/>
        </w:rPr>
      </w:pPr>
      <w:r w:rsidRPr="005667CC">
        <w:rPr>
          <w:rFonts w:ascii="GHEA Grapalat" w:eastAsia="Aptos" w:hAnsi="GHEA Grapalat" w:cs="Times New Roman"/>
          <w:lang w:val="hy-AM"/>
        </w:rPr>
        <w:tab/>
      </w:r>
    </w:p>
    <w:tbl>
      <w:tblPr>
        <w:tblW w:w="102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3"/>
        <w:gridCol w:w="3316"/>
      </w:tblGrid>
      <w:tr w:rsidR="00177D41" w:rsidRPr="000E7AB1" w14:paraId="0556F622" w14:textId="77777777" w:rsidTr="001F210E">
        <w:trPr>
          <w:tblCellSpacing w:w="0" w:type="dxa"/>
          <w:jc w:val="center"/>
        </w:trPr>
        <w:tc>
          <w:tcPr>
            <w:tcW w:w="6927" w:type="dxa"/>
            <w:tcBorders>
              <w:top w:val="outset" w:sz="6" w:space="0" w:color="auto"/>
              <w:left w:val="outset" w:sz="6" w:space="0" w:color="auto"/>
              <w:bottom w:val="outset" w:sz="6" w:space="0" w:color="auto"/>
              <w:right w:val="outset" w:sz="6" w:space="0" w:color="auto"/>
            </w:tcBorders>
            <w:shd w:val="clear" w:color="auto" w:fill="FFFFFF"/>
          </w:tcPr>
          <w:p w14:paraId="2528209D" w14:textId="6D8B9081" w:rsidR="00177D41" w:rsidRPr="005667CC" w:rsidRDefault="00177D41" w:rsidP="005667CC">
            <w:pPr>
              <w:pStyle w:val="ListParagraph"/>
              <w:numPr>
                <w:ilvl w:val="0"/>
                <w:numId w:val="4"/>
              </w:numPr>
              <w:tabs>
                <w:tab w:val="left" w:pos="1590"/>
                <w:tab w:val="left" w:pos="1755"/>
              </w:tabs>
              <w:spacing w:line="240" w:lineRule="auto"/>
              <w:rPr>
                <w:rFonts w:ascii="GHEA Grapalat" w:eastAsia="Aptos" w:hAnsi="GHEA Grapalat" w:cs="Times New Roman"/>
                <w:lang w:val="hy-AM"/>
              </w:rPr>
            </w:pPr>
            <w:r w:rsidRPr="005667CC">
              <w:rPr>
                <w:rFonts w:ascii="GHEA Grapalat" w:eastAsia="Aptos" w:hAnsi="GHEA Grapalat" w:cs="Times New Roman"/>
                <w:lang w:val="hy-AM"/>
              </w:rPr>
              <w:t xml:space="preserve">Նկատի ունենալով, որ «Խաղային գործունեության կարգավորման մասին» օրենքում (այսուհետ՝ Օրենք) առկա է «Բողոքների քննությունը» վերտառությամբ 7-րդ գլուխ՝ առաջարկում ենք Հանձնաժողովի և </w:t>
            </w:r>
            <w:r w:rsidRPr="005667CC">
              <w:rPr>
                <w:rFonts w:ascii="GHEA Grapalat" w:eastAsia="Aptos" w:hAnsi="GHEA Grapalat" w:cs="Times New Roman"/>
                <w:lang w:val="hy-AM"/>
              </w:rPr>
              <w:lastRenderedPageBreak/>
              <w:t>Օպերատորի միջև ծագող վեճերը կարգավորող հոդվածը նախատեսել այդ գլխում:</w:t>
            </w:r>
          </w:p>
        </w:tc>
        <w:tc>
          <w:tcPr>
            <w:tcW w:w="0" w:type="auto"/>
          </w:tcPr>
          <w:p w14:paraId="12047AC5" w14:textId="77777777" w:rsidR="00540498" w:rsidRPr="005667CC" w:rsidRDefault="00C82C0E" w:rsidP="003F096A">
            <w:pPr>
              <w:tabs>
                <w:tab w:val="left" w:pos="1590"/>
                <w:tab w:val="left" w:pos="1755"/>
              </w:tabs>
              <w:spacing w:line="240" w:lineRule="auto"/>
              <w:ind w:left="159"/>
              <w:rPr>
                <w:rFonts w:ascii="GHEA Grapalat" w:eastAsia="Aptos" w:hAnsi="GHEA Grapalat" w:cs="Times New Roman"/>
                <w:lang w:val="hy-AM"/>
              </w:rPr>
            </w:pPr>
            <w:r w:rsidRPr="005667CC">
              <w:rPr>
                <w:rFonts w:ascii="GHEA Grapalat" w:eastAsia="Aptos" w:hAnsi="GHEA Grapalat" w:cs="Times New Roman"/>
                <w:lang w:val="hy-AM"/>
              </w:rPr>
              <w:lastRenderedPageBreak/>
              <w:t>Չի ընդունվել:</w:t>
            </w:r>
          </w:p>
          <w:p w14:paraId="0F77E348" w14:textId="62272006" w:rsidR="00177D41" w:rsidRPr="005667CC" w:rsidRDefault="00C82C0E" w:rsidP="003F096A">
            <w:pPr>
              <w:tabs>
                <w:tab w:val="left" w:pos="1590"/>
                <w:tab w:val="left" w:pos="1755"/>
              </w:tabs>
              <w:spacing w:line="240" w:lineRule="auto"/>
              <w:ind w:left="159"/>
              <w:rPr>
                <w:rFonts w:ascii="GHEA Grapalat" w:eastAsia="Aptos" w:hAnsi="GHEA Grapalat" w:cs="Times New Roman"/>
                <w:lang w:val="hy-AM"/>
              </w:rPr>
            </w:pPr>
            <w:r w:rsidRPr="005667CC">
              <w:rPr>
                <w:rFonts w:ascii="GHEA Grapalat" w:eastAsia="Aptos" w:hAnsi="GHEA Grapalat" w:cs="Times New Roman"/>
                <w:lang w:val="hy-AM"/>
              </w:rPr>
              <w:t xml:space="preserve">Օրենքի նախագծով կարգավորվող հասարակական հարաբերությունները </w:t>
            </w:r>
            <w:r w:rsidRPr="005667CC">
              <w:rPr>
                <w:rFonts w:ascii="GHEA Grapalat" w:eastAsia="Aptos" w:hAnsi="GHEA Grapalat" w:cs="Times New Roman"/>
                <w:lang w:val="hy-AM"/>
              </w:rPr>
              <w:lastRenderedPageBreak/>
              <w:t xml:space="preserve">վերաբերում են խաղային գործունեության կարգավորման օպերատորի ընտրության ընթացակարգի՝ դատական կարգով բողոքարկմանը, մինչդեռ Օրենքի 7-րդ գլուխը կարգավորում է խաղացողների կողմից կազմակերպիչների դեմ ներկայացված բողոքների քննության հետ կապված հարաբերություններ: Այսինքն՝ դրանք երկու առանձին, միմյանց հետ չկապված հարաբերություններն են: Օրենքի նախագծով առաջարկվել է համապատասխան կարգավորումը սահմանել նոր՝ 29.1-րդ հոդվածով, քանի որ այն օրենքի ամբողջ կառուցվածքում համապատասխանում է օպերատորի ընտրության ընթացակարգի տրամաբանական և </w:t>
            </w:r>
            <w:r w:rsidRPr="005667CC">
              <w:rPr>
                <w:rFonts w:ascii="GHEA Grapalat" w:eastAsia="Aptos" w:hAnsi="GHEA Grapalat" w:cs="Times New Roman"/>
                <w:lang w:val="hy-AM"/>
              </w:rPr>
              <w:lastRenderedPageBreak/>
              <w:t>գործողությունների իրականացման ժամանակագրական հաջորդականությանը:</w:t>
            </w:r>
          </w:p>
        </w:tc>
      </w:tr>
      <w:tr w:rsidR="001F210E" w:rsidRPr="005667CC" w14:paraId="727FE073" w14:textId="77777777" w:rsidTr="001F210E">
        <w:trPr>
          <w:tblCellSpacing w:w="0" w:type="dxa"/>
          <w:jc w:val="center"/>
        </w:trPr>
        <w:tc>
          <w:tcPr>
            <w:tcW w:w="6927" w:type="dxa"/>
            <w:tcBorders>
              <w:top w:val="outset" w:sz="6" w:space="0" w:color="auto"/>
              <w:left w:val="outset" w:sz="6" w:space="0" w:color="auto"/>
              <w:bottom w:val="outset" w:sz="6" w:space="0" w:color="auto"/>
              <w:right w:val="outset" w:sz="6" w:space="0" w:color="auto"/>
            </w:tcBorders>
            <w:shd w:val="clear" w:color="auto" w:fill="FFFFFF"/>
          </w:tcPr>
          <w:p w14:paraId="31F269E3" w14:textId="324A2896" w:rsidR="001F210E" w:rsidRPr="005667CC" w:rsidRDefault="001F210E" w:rsidP="005667CC">
            <w:pPr>
              <w:pStyle w:val="ListParagraph"/>
              <w:numPr>
                <w:ilvl w:val="0"/>
                <w:numId w:val="4"/>
              </w:numPr>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lastRenderedPageBreak/>
              <w:t>Առաջարկում ենք հոդվածի վերնագիրը շարադրել հետևյալ կերպ. «Օպերատորի ընտրության մրցույթի անցկացման ընթացակարգում բողոքարկման իրավունքը»:</w:t>
            </w:r>
          </w:p>
        </w:tc>
        <w:tc>
          <w:tcPr>
            <w:tcW w:w="0" w:type="auto"/>
            <w:tcBorders>
              <w:top w:val="outset" w:sz="6" w:space="0" w:color="auto"/>
              <w:left w:val="outset" w:sz="6" w:space="0" w:color="auto"/>
              <w:bottom w:val="outset" w:sz="6" w:space="0" w:color="auto"/>
              <w:right w:val="nil"/>
            </w:tcBorders>
            <w:shd w:val="clear" w:color="auto" w:fill="FFFFFF"/>
          </w:tcPr>
          <w:p w14:paraId="3BD4EC74" w14:textId="45F1C16C" w:rsidR="001F210E" w:rsidRPr="005667CC" w:rsidRDefault="001F210E" w:rsidP="003F096A">
            <w:pPr>
              <w:spacing w:after="0" w:line="240" w:lineRule="auto"/>
              <w:ind w:left="285" w:hanging="142"/>
              <w:rPr>
                <w:rFonts w:ascii="GHEA Grapalat" w:eastAsia="Aptos" w:hAnsi="GHEA Grapalat" w:cs="Times New Roman"/>
                <w:lang w:val="hy-AM"/>
              </w:rPr>
            </w:pPr>
            <w:r w:rsidRPr="005667CC">
              <w:rPr>
                <w:rFonts w:ascii="GHEA Grapalat" w:eastAsia="Aptos" w:hAnsi="GHEA Grapalat" w:cs="Times New Roman"/>
                <w:lang w:val="hy-AM"/>
              </w:rPr>
              <w:t>Ընդունվել է:</w:t>
            </w:r>
          </w:p>
        </w:tc>
      </w:tr>
      <w:tr w:rsidR="001F210E" w:rsidRPr="005667CC" w14:paraId="521CCBC1" w14:textId="77777777" w:rsidTr="00865A14">
        <w:trPr>
          <w:tblCellSpacing w:w="0" w:type="dxa"/>
          <w:jc w:val="center"/>
        </w:trPr>
        <w:tc>
          <w:tcPr>
            <w:tcW w:w="6927" w:type="dxa"/>
            <w:tcBorders>
              <w:top w:val="outset" w:sz="6" w:space="0" w:color="auto"/>
              <w:left w:val="outset" w:sz="6" w:space="0" w:color="auto"/>
              <w:bottom w:val="outset" w:sz="6" w:space="0" w:color="auto"/>
              <w:right w:val="outset" w:sz="6" w:space="0" w:color="auto"/>
            </w:tcBorders>
            <w:shd w:val="clear" w:color="auto" w:fill="FFFFFF"/>
          </w:tcPr>
          <w:p w14:paraId="0814BBFD" w14:textId="215D21BE" w:rsidR="000D7033" w:rsidRPr="005667CC" w:rsidRDefault="000D7033" w:rsidP="005667CC">
            <w:pPr>
              <w:pStyle w:val="ListParagraph"/>
              <w:numPr>
                <w:ilvl w:val="0"/>
                <w:numId w:val="4"/>
              </w:numPr>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t xml:space="preserve">Տվյալ դեպքում նախագծով առաջարկվող ժամկետային սահմանափակումն անձի իրավական վիճակը վատթարացնող է, քանի որ, ըստ էության, հանգեցնում է դատական պաշտպանության դիմելու ժամկետի անհամեմատ կրճատման: </w:t>
            </w:r>
          </w:p>
          <w:p w14:paraId="28AFCBD6" w14:textId="74D25C01" w:rsidR="001F210E" w:rsidRPr="005667CC" w:rsidRDefault="000D7033" w:rsidP="005667CC">
            <w:pPr>
              <w:pStyle w:val="ListParagraph"/>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t xml:space="preserve">     Բացի այդ, խախտվում է իրավական որոշակիության սկզբունքը, քանի որ մրցույթին մասնակցելու հայտ ներկայացնելու պահին անձանց համար պետք է կանխատեսելի լինեն իրենց նկատմամբ կիրառվող նորմերը, և վերջիններս ունենան իրենց գործողությունները դրանց պահանջներին համապատասխանեցնելու հնարավորություն:</w:t>
            </w:r>
          </w:p>
        </w:tc>
        <w:tc>
          <w:tcPr>
            <w:tcW w:w="0" w:type="auto"/>
            <w:tcBorders>
              <w:top w:val="outset" w:sz="6" w:space="0" w:color="auto"/>
              <w:left w:val="outset" w:sz="6" w:space="0" w:color="auto"/>
              <w:bottom w:val="outset" w:sz="6" w:space="0" w:color="auto"/>
              <w:right w:val="nil"/>
            </w:tcBorders>
            <w:shd w:val="clear" w:color="auto" w:fill="FFFFFF"/>
          </w:tcPr>
          <w:p w14:paraId="35121D4A" w14:textId="77777777" w:rsidR="000D7033" w:rsidRPr="005667CC" w:rsidRDefault="000D7033" w:rsidP="003F096A">
            <w:pPr>
              <w:spacing w:after="0" w:line="240" w:lineRule="auto"/>
              <w:ind w:left="143"/>
              <w:rPr>
                <w:rFonts w:ascii="GHEA Grapalat" w:eastAsia="Aptos" w:hAnsi="GHEA Grapalat" w:cs="Times New Roman"/>
                <w:lang w:val="hy-AM"/>
              </w:rPr>
            </w:pPr>
            <w:r w:rsidRPr="005667CC">
              <w:rPr>
                <w:rFonts w:ascii="GHEA Grapalat" w:eastAsia="Aptos" w:hAnsi="GHEA Grapalat" w:cs="Times New Roman"/>
                <w:lang w:val="hy-AM"/>
              </w:rPr>
              <w:t>Չի ընդունվել:</w:t>
            </w:r>
          </w:p>
          <w:p w14:paraId="7B2B95BF" w14:textId="12FA79E0" w:rsidR="001F210E" w:rsidRPr="005667CC" w:rsidRDefault="000D7033" w:rsidP="003F096A">
            <w:pPr>
              <w:spacing w:after="0" w:line="240" w:lineRule="auto"/>
              <w:ind w:left="143"/>
              <w:rPr>
                <w:rFonts w:ascii="GHEA Grapalat" w:eastAsia="Aptos" w:hAnsi="GHEA Grapalat" w:cs="Times New Roman"/>
                <w:lang w:val="hy-AM"/>
              </w:rPr>
            </w:pPr>
            <w:r w:rsidRPr="005667CC">
              <w:rPr>
                <w:rFonts w:ascii="GHEA Grapalat" w:eastAsia="Aptos" w:hAnsi="GHEA Grapalat" w:cs="Times New Roman"/>
                <w:lang w:val="hy-AM"/>
              </w:rPr>
              <w:t xml:space="preserve">Բողոքարկման երկամսյա ժամկետ սահմանելը ինքնանպատակ չէ և ուղղված է ինչպես մրցույթի, այնպես էլ՝ հետագայում օպերատորի գործունեության բնականոն ընթացքի ապահովմանը: Ինչ վերաբերում է նախագծով առաջարկվող այն դրույթին, ըստ որի՝ «Սույն օրենքն ուժի մեջ մտնելուց առաջ Հանձնաժողովի կողմից կայացված որոշումները կարող են դատական կարգով բողոքարկվել սույն օրենքն ուժի մեջ մտնելու </w:t>
            </w:r>
            <w:r w:rsidRPr="005667CC">
              <w:rPr>
                <w:rFonts w:ascii="GHEA Grapalat" w:eastAsia="Aptos" w:hAnsi="GHEA Grapalat" w:cs="Times New Roman"/>
                <w:lang w:val="hy-AM"/>
              </w:rPr>
              <w:lastRenderedPageBreak/>
              <w:t xml:space="preserve">օրվան հաջորդող երկու ամսվա ընթացքում։ Այս կանոնը չի տարածվում մինչև սույն օրենքը ուժի մեջ մտնելը ներկայացված հայցադիմումների վրա:», ապա հարկ է նշել, որ այն օրենքին հետադարձ ուժ չի տալիս և տարածվում է բացառապես օրենքի ուժի մեջ մտնելուց հետո ծագած իրավահարաբերությունների նկատմամբ։ Այլ կերպ ասած, եթե նախկինում ենթադրյալ որոշումը կարող էր բողոքարկվել ընդահանուր հայցային վաղեմության ժամկետի՝ 3 տարվա ընթացքում, իսկ այժմ սահմանվում է, որ այդ որոշումը կարող է բողոքարկվել 2 ամսվա ընթացքում (այդ թվում՝ նաև այն որոշումները, որոնք կայացվել են Օրենքի ուժի մեջ մտնելուց առաջ, սակայն օրենքի ուժի մեջ մտնելու օրվա դրությամբ </w:t>
            </w:r>
            <w:r w:rsidRPr="005667CC">
              <w:rPr>
                <w:rFonts w:ascii="GHEA Grapalat" w:eastAsia="Aptos" w:hAnsi="GHEA Grapalat" w:cs="Times New Roman"/>
                <w:lang w:val="hy-AM"/>
              </w:rPr>
              <w:lastRenderedPageBreak/>
              <w:t xml:space="preserve">դեռևս դատական կարգով չեն բողոքարկվել և կարող են բողոքարկվել օրենքի ուժի մեջ մտնելուց հետո երկու ամսվա ընթացքում), ապա այդ հանգամանքը չի նշանակում, որ օրենքին հետադարձ ուժ է տրվել: Օրենքի հետադարձ ուժի մասին կարելի էր խոսել, այն դեպքում, երբ երկամսյա ժամկետում բողոքարկելու մասին կանոնը տարածվեր օրենքի ուժի մեջ մտնելուց առաջ կայացված որոշումներ վրա և, միաժամանակ, բողոքարկման ժամկետի մեկնարկը հոսեր որոշման կայացման օրվանից: Մինչդեռ, սույն դեպքում սահմանվել է, որ օրենքի ուժի մեջ մտնելուց առաջ կայացված որոշումները ևս կարող են բողոքարկվել՝ օրենքի ուժի մեջ մտնելուց (ոչ թե որոշումը կայացնելուց) հետո երկու </w:t>
            </w:r>
            <w:r w:rsidRPr="005667CC">
              <w:rPr>
                <w:rFonts w:ascii="GHEA Grapalat" w:eastAsia="Aptos" w:hAnsi="GHEA Grapalat" w:cs="Times New Roman"/>
                <w:lang w:val="hy-AM"/>
              </w:rPr>
              <w:lastRenderedPageBreak/>
              <w:t xml:space="preserve">ամսվա ընթացքում, ինչից հետևում է, որ օրենքին հետադարձ ուժ չի տրվել և լիարժեք ապահովվել է դատական պաշտպանության իրավունքի իրացման հնարավորությունը՝ նաև օրենքի ուժի մեջ մտնելուց հետո: Իրավական որոշակիության պահանջի խախտում ևս առկա չէ, քանի որ նպատակահարմար է դիտարկվել որոշակի տեսակի որոշումների բողոքարկման ժամկետը կրճատել, ինչը օրենսդրի հայեցողության տիրույթում է և նախկինում սահմանված մեկ ժամկետը մեկ այլ ժամկետով փոխարինելը չի կարող մեկնաբանել որպես իրավական որոշակիության պահանջի խախտում, հատկապես, երբ այս կարգավորմամբ, նախկինում (օրենքի ուժի </w:t>
            </w:r>
            <w:r w:rsidRPr="005667CC">
              <w:rPr>
                <w:rFonts w:ascii="GHEA Grapalat" w:eastAsia="Aptos" w:hAnsi="GHEA Grapalat" w:cs="Times New Roman"/>
                <w:lang w:val="hy-AM"/>
              </w:rPr>
              <w:lastRenderedPageBreak/>
              <w:t xml:space="preserve">մեջ մտնելուց առաջ) կայացված որոշումները ևս հնարավոր է բողոքարկել օրենքի ուժի մեջ մտնելուց հետո, պարզապես այլ ժամկետում: Իրավական որոշակիության սկզբունքը չի կարող մեկնաբանվել այն աստիճանի խիստ, որ բացառի հասարակական հարաբերությունները կարգավորելու հարցում փոփոխություններ մտցնելու՝ օրենսդրի իրավաչափ հնարավությունը: Ինչ վերաբերում է այն իրավիճակներին, երբ օրենքի ուժի մեջ մտնելուց առաջ որոշում կայացնելու դեպքում անձը գիտեր, որ այն կարող է բողոքարկել ընդհանուր հայցային վաղեմության ժամկետում՝ 3 տարում, իսկ նածագծով առաջարկվել է օրենքի ուժի մեջ մտնելուց հետո 2 ամսվա ընթացքում բողոքարկման </w:t>
            </w:r>
            <w:r w:rsidRPr="005667CC">
              <w:rPr>
                <w:rFonts w:ascii="GHEA Grapalat" w:eastAsia="Aptos" w:hAnsi="GHEA Grapalat" w:cs="Times New Roman"/>
                <w:lang w:val="hy-AM"/>
              </w:rPr>
              <w:lastRenderedPageBreak/>
              <w:t>հնարավություն, ապա սա ոչ թե իրավական որոշակիության պահանջի խախտում է, այլ՝ մեկ իրավաչափ վարքագիծը մեկ այլ իրավաչափ վարքագծով փոխարինելու վերաբերյալ օրենսդրի գործառույթ: Եթե այս նորմը դիտարկվի որպես իրավական որոշակիության սկզբունքի խախտում, ապա նույն կերպ, որևէ այլ իրավանորմ, որը փոփոխում է նախկինում ընդունված օրենքով սահմանված վարքագծի կանոնը, ևս կարելի է համարել իրավական որոշակիության խախտում, ինչը, ակնհայտորեն, հիմնավոր չէ և սահմանափակում է հասարակական հարաբերությունները փոփոխելու հնարավորությունը:</w:t>
            </w:r>
          </w:p>
        </w:tc>
      </w:tr>
      <w:tr w:rsidR="001F210E" w:rsidRPr="005667CC" w14:paraId="609015DB" w14:textId="77777777" w:rsidTr="00865A14">
        <w:trPr>
          <w:tblCellSpacing w:w="0" w:type="dxa"/>
          <w:jc w:val="center"/>
        </w:trPr>
        <w:tc>
          <w:tcPr>
            <w:tcW w:w="6927" w:type="dxa"/>
            <w:tcBorders>
              <w:top w:val="outset" w:sz="6" w:space="0" w:color="auto"/>
              <w:left w:val="outset" w:sz="6" w:space="0" w:color="auto"/>
              <w:bottom w:val="outset" w:sz="6" w:space="0" w:color="auto"/>
              <w:right w:val="outset" w:sz="6" w:space="0" w:color="auto"/>
            </w:tcBorders>
            <w:shd w:val="clear" w:color="auto" w:fill="FFFFFF"/>
          </w:tcPr>
          <w:p w14:paraId="2312A4C3" w14:textId="1A13C0E6" w:rsidR="001F210E" w:rsidRPr="005667CC" w:rsidRDefault="000D7033" w:rsidP="005667CC">
            <w:pPr>
              <w:pStyle w:val="ListParagraph"/>
              <w:numPr>
                <w:ilvl w:val="0"/>
                <w:numId w:val="4"/>
              </w:numPr>
              <w:spacing w:after="0" w:line="240" w:lineRule="auto"/>
              <w:rPr>
                <w:rFonts w:ascii="GHEA Grapalat" w:eastAsia="Aptos" w:hAnsi="GHEA Grapalat" w:cs="Times New Roman"/>
                <w:lang w:val="hy-AM"/>
              </w:rPr>
            </w:pPr>
            <w:r w:rsidRPr="005667CC">
              <w:rPr>
                <w:rFonts w:ascii="GHEA Grapalat" w:eastAsia="Aptos" w:hAnsi="GHEA Grapalat" w:cs="Times New Roman"/>
                <w:lang w:val="hy-AM"/>
              </w:rPr>
              <w:lastRenderedPageBreak/>
              <w:t xml:space="preserve">Նախագծի 1-ին հոդվածն անհրաժեշտ է վերանայել, հիմք ընդունելով «Նորմատիվ իրավական ակտերի </w:t>
            </w:r>
            <w:r w:rsidRPr="005667CC">
              <w:rPr>
                <w:rFonts w:ascii="GHEA Grapalat" w:eastAsia="Aptos" w:hAnsi="GHEA Grapalat" w:cs="Times New Roman"/>
                <w:lang w:val="hy-AM"/>
              </w:rPr>
              <w:lastRenderedPageBreak/>
              <w:t>մասին» օրենքի 18-րդ հոդվածի 3-րդ մասը, համաձայն որի՝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0" w:type="auto"/>
            <w:tcBorders>
              <w:top w:val="outset" w:sz="6" w:space="0" w:color="auto"/>
              <w:left w:val="outset" w:sz="6" w:space="0" w:color="auto"/>
              <w:bottom w:val="outset" w:sz="6" w:space="0" w:color="auto"/>
              <w:right w:val="nil"/>
            </w:tcBorders>
            <w:shd w:val="clear" w:color="auto" w:fill="FFFFFF"/>
          </w:tcPr>
          <w:p w14:paraId="1D47A4F5" w14:textId="42A7CEFC" w:rsidR="001F210E" w:rsidRPr="005667CC" w:rsidRDefault="000D7033" w:rsidP="003F096A">
            <w:pPr>
              <w:spacing w:after="0" w:line="240" w:lineRule="auto"/>
              <w:ind w:firstLine="143"/>
              <w:rPr>
                <w:rFonts w:ascii="GHEA Grapalat" w:eastAsia="Aptos" w:hAnsi="GHEA Grapalat" w:cs="Times New Roman"/>
                <w:lang w:val="hy-AM"/>
              </w:rPr>
            </w:pPr>
            <w:r w:rsidRPr="005667CC">
              <w:rPr>
                <w:rFonts w:ascii="GHEA Grapalat" w:eastAsia="Aptos" w:hAnsi="GHEA Grapalat" w:cs="Times New Roman"/>
                <w:lang w:val="hy-AM"/>
              </w:rPr>
              <w:lastRenderedPageBreak/>
              <w:t>Ընդունվել է:</w:t>
            </w:r>
          </w:p>
        </w:tc>
      </w:tr>
    </w:tbl>
    <w:p w14:paraId="71537283" w14:textId="7666808C" w:rsidR="00CF5F3C" w:rsidRPr="005667CC" w:rsidRDefault="00CF5F3C" w:rsidP="005667CC">
      <w:pPr>
        <w:tabs>
          <w:tab w:val="left" w:pos="1590"/>
          <w:tab w:val="left" w:pos="1755"/>
        </w:tabs>
        <w:spacing w:line="240" w:lineRule="auto"/>
        <w:rPr>
          <w:rFonts w:ascii="GHEA Grapalat" w:eastAsia="Aptos" w:hAnsi="GHEA Grapalat" w:cs="Times New Roman"/>
          <w:lang w:val="hy-AM"/>
        </w:rPr>
      </w:pPr>
    </w:p>
    <w:p w14:paraId="31ABB17C" w14:textId="366D5964" w:rsidR="005D0725" w:rsidRPr="005667CC" w:rsidRDefault="00CF5F3C" w:rsidP="005667CC">
      <w:pPr>
        <w:tabs>
          <w:tab w:val="left" w:pos="1590"/>
          <w:tab w:val="left" w:pos="1755"/>
        </w:tabs>
        <w:spacing w:line="240" w:lineRule="auto"/>
        <w:rPr>
          <w:rFonts w:ascii="GHEA Grapalat" w:eastAsia="Aptos" w:hAnsi="GHEA Grapalat" w:cs="Times New Roman"/>
          <w:lang w:val="hy-AM"/>
        </w:rPr>
      </w:pPr>
      <w:r w:rsidRPr="005667CC">
        <w:rPr>
          <w:rFonts w:ascii="GHEA Grapalat" w:eastAsia="Aptos" w:hAnsi="GHEA Grapalat" w:cs="Times New Roman"/>
          <w:lang w:val="hy-AM"/>
        </w:rPr>
        <w:tab/>
      </w:r>
      <w:r w:rsidR="001F7EC1" w:rsidRPr="005667CC">
        <w:rPr>
          <w:rFonts w:ascii="GHEA Grapalat" w:eastAsia="Aptos" w:hAnsi="GHEA Grapalat" w:cs="Times New Roman"/>
          <w:lang w:val="hy-AM"/>
        </w:rPr>
        <w:tab/>
      </w:r>
    </w:p>
    <w:p w14:paraId="6CD6AE43" w14:textId="77777777" w:rsidR="005D0725" w:rsidRPr="005667CC" w:rsidRDefault="005D0725" w:rsidP="005667CC">
      <w:pPr>
        <w:spacing w:line="240" w:lineRule="auto"/>
        <w:rPr>
          <w:rFonts w:ascii="GHEA Grapalat" w:eastAsia="Calibri" w:hAnsi="GHEA Grapalat" w:cs="Times New Roman"/>
          <w:kern w:val="0"/>
          <w:sz w:val="22"/>
          <w:szCs w:val="22"/>
          <w:lang w:val="hy-AM"/>
          <w14:ligatures w14:val="none"/>
        </w:rPr>
      </w:pPr>
    </w:p>
    <w:p w14:paraId="67731B74" w14:textId="45F124D4" w:rsidR="005D0725" w:rsidRPr="005667CC" w:rsidRDefault="005D0725" w:rsidP="005667CC">
      <w:pPr>
        <w:tabs>
          <w:tab w:val="left" w:pos="1815"/>
        </w:tabs>
        <w:spacing w:line="240" w:lineRule="auto"/>
        <w:rPr>
          <w:rFonts w:ascii="GHEA Grapalat" w:hAnsi="GHEA Grapalat"/>
          <w:lang w:val="hy-AM"/>
        </w:rPr>
      </w:pPr>
    </w:p>
    <w:sectPr w:rsidR="005D0725" w:rsidRPr="005667CC" w:rsidSect="005357C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52803" w14:textId="77777777" w:rsidR="000228BD" w:rsidRDefault="000228BD" w:rsidP="00FF2587">
      <w:pPr>
        <w:spacing w:after="0" w:line="240" w:lineRule="auto"/>
      </w:pPr>
      <w:r>
        <w:separator/>
      </w:r>
    </w:p>
  </w:endnote>
  <w:endnote w:type="continuationSeparator" w:id="0">
    <w:p w14:paraId="5E7C57BA" w14:textId="77777777" w:rsidR="000228BD" w:rsidRDefault="000228BD" w:rsidP="00FF2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A86F5" w14:textId="77777777" w:rsidR="000228BD" w:rsidRDefault="000228BD" w:rsidP="00FF2587">
      <w:pPr>
        <w:spacing w:after="0" w:line="240" w:lineRule="auto"/>
      </w:pPr>
      <w:r>
        <w:separator/>
      </w:r>
    </w:p>
  </w:footnote>
  <w:footnote w:type="continuationSeparator" w:id="0">
    <w:p w14:paraId="60F92926" w14:textId="77777777" w:rsidR="000228BD" w:rsidRDefault="000228BD" w:rsidP="00FF25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E36A8"/>
    <w:multiLevelType w:val="hybridMultilevel"/>
    <w:tmpl w:val="12549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32059"/>
    <w:multiLevelType w:val="hybridMultilevel"/>
    <w:tmpl w:val="12549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64464"/>
    <w:multiLevelType w:val="hybridMultilevel"/>
    <w:tmpl w:val="12549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574623"/>
    <w:multiLevelType w:val="hybridMultilevel"/>
    <w:tmpl w:val="45D213D4"/>
    <w:lvl w:ilvl="0" w:tplc="DCA06670">
      <w:start w:val="2"/>
      <w:numFmt w:val="decimal"/>
      <w:lvlText w:val="%1."/>
      <w:lvlJc w:val="left"/>
      <w:pPr>
        <w:ind w:left="420" w:hanging="360"/>
      </w:pPr>
      <w:rPr>
        <w:rFonts w:eastAsiaTheme="minorHAnsi" w:cs="GHEA Grapalat"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2DF545D0"/>
    <w:multiLevelType w:val="hybridMultilevel"/>
    <w:tmpl w:val="890AB0FC"/>
    <w:lvl w:ilvl="0" w:tplc="791C9C0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D25F48"/>
    <w:multiLevelType w:val="hybridMultilevel"/>
    <w:tmpl w:val="12549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C15B3B"/>
    <w:multiLevelType w:val="hybridMultilevel"/>
    <w:tmpl w:val="12549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5"/>
  </w:num>
  <w:num w:numId="6">
    <w:abstractNumId w:val="6"/>
  </w:num>
  <w:num w:numId="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D5"/>
    <w:rsid w:val="00002EAE"/>
    <w:rsid w:val="0000474D"/>
    <w:rsid w:val="000049B9"/>
    <w:rsid w:val="00010EFC"/>
    <w:rsid w:val="00011444"/>
    <w:rsid w:val="00014BF2"/>
    <w:rsid w:val="00020899"/>
    <w:rsid w:val="000228BD"/>
    <w:rsid w:val="0002616B"/>
    <w:rsid w:val="00027758"/>
    <w:rsid w:val="000304FF"/>
    <w:rsid w:val="00057DED"/>
    <w:rsid w:val="000744ED"/>
    <w:rsid w:val="00075A73"/>
    <w:rsid w:val="00077E84"/>
    <w:rsid w:val="000854B7"/>
    <w:rsid w:val="000964E5"/>
    <w:rsid w:val="000A5E37"/>
    <w:rsid w:val="000B016A"/>
    <w:rsid w:val="000B5C45"/>
    <w:rsid w:val="000B748F"/>
    <w:rsid w:val="000D4B13"/>
    <w:rsid w:val="000D7033"/>
    <w:rsid w:val="000E27EE"/>
    <w:rsid w:val="000E294D"/>
    <w:rsid w:val="000E7AB1"/>
    <w:rsid w:val="001046F2"/>
    <w:rsid w:val="00107771"/>
    <w:rsid w:val="00112D26"/>
    <w:rsid w:val="0011449F"/>
    <w:rsid w:val="00114B8A"/>
    <w:rsid w:val="00120E41"/>
    <w:rsid w:val="001229D4"/>
    <w:rsid w:val="00124333"/>
    <w:rsid w:val="001322A8"/>
    <w:rsid w:val="00143EEE"/>
    <w:rsid w:val="0015159F"/>
    <w:rsid w:val="0015200A"/>
    <w:rsid w:val="00167029"/>
    <w:rsid w:val="00171853"/>
    <w:rsid w:val="00172C22"/>
    <w:rsid w:val="00174A54"/>
    <w:rsid w:val="00177D41"/>
    <w:rsid w:val="00182CE0"/>
    <w:rsid w:val="00193356"/>
    <w:rsid w:val="001A0945"/>
    <w:rsid w:val="001A44C9"/>
    <w:rsid w:val="001B5475"/>
    <w:rsid w:val="001D259E"/>
    <w:rsid w:val="001D2A58"/>
    <w:rsid w:val="001E0608"/>
    <w:rsid w:val="001E604B"/>
    <w:rsid w:val="001F210E"/>
    <w:rsid w:val="001F7D1C"/>
    <w:rsid w:val="001F7EC1"/>
    <w:rsid w:val="00206E47"/>
    <w:rsid w:val="002079FC"/>
    <w:rsid w:val="0021190A"/>
    <w:rsid w:val="00215632"/>
    <w:rsid w:val="00222F13"/>
    <w:rsid w:val="00230B85"/>
    <w:rsid w:val="00231B66"/>
    <w:rsid w:val="002435A6"/>
    <w:rsid w:val="00275D9A"/>
    <w:rsid w:val="00282276"/>
    <w:rsid w:val="00283806"/>
    <w:rsid w:val="00291D05"/>
    <w:rsid w:val="00297A93"/>
    <w:rsid w:val="002A0677"/>
    <w:rsid w:val="002B018F"/>
    <w:rsid w:val="002B25D9"/>
    <w:rsid w:val="002C1B9A"/>
    <w:rsid w:val="002C1C7C"/>
    <w:rsid w:val="002D5E53"/>
    <w:rsid w:val="002D65A0"/>
    <w:rsid w:val="002E53DD"/>
    <w:rsid w:val="002F19C0"/>
    <w:rsid w:val="002F4086"/>
    <w:rsid w:val="00300E46"/>
    <w:rsid w:val="00324B5C"/>
    <w:rsid w:val="00330078"/>
    <w:rsid w:val="0033210E"/>
    <w:rsid w:val="0033787F"/>
    <w:rsid w:val="00343FC0"/>
    <w:rsid w:val="00345A78"/>
    <w:rsid w:val="003527D3"/>
    <w:rsid w:val="00354C2E"/>
    <w:rsid w:val="00357464"/>
    <w:rsid w:val="00362F58"/>
    <w:rsid w:val="0036338E"/>
    <w:rsid w:val="003723DF"/>
    <w:rsid w:val="003753EC"/>
    <w:rsid w:val="00376C13"/>
    <w:rsid w:val="003808E0"/>
    <w:rsid w:val="003813B5"/>
    <w:rsid w:val="00391389"/>
    <w:rsid w:val="0039747F"/>
    <w:rsid w:val="003A3EEF"/>
    <w:rsid w:val="003C3276"/>
    <w:rsid w:val="003C3DB9"/>
    <w:rsid w:val="003C623B"/>
    <w:rsid w:val="003D1288"/>
    <w:rsid w:val="003D4055"/>
    <w:rsid w:val="003E0300"/>
    <w:rsid w:val="003E4FB8"/>
    <w:rsid w:val="003F096A"/>
    <w:rsid w:val="00404F4E"/>
    <w:rsid w:val="004114F9"/>
    <w:rsid w:val="00412509"/>
    <w:rsid w:val="004137AB"/>
    <w:rsid w:val="00420653"/>
    <w:rsid w:val="00425932"/>
    <w:rsid w:val="00425A89"/>
    <w:rsid w:val="00426B4B"/>
    <w:rsid w:val="004375D2"/>
    <w:rsid w:val="00446C41"/>
    <w:rsid w:val="00447FDD"/>
    <w:rsid w:val="00461EB9"/>
    <w:rsid w:val="004648CA"/>
    <w:rsid w:val="00464D54"/>
    <w:rsid w:val="00477E21"/>
    <w:rsid w:val="004812F3"/>
    <w:rsid w:val="00485833"/>
    <w:rsid w:val="00490643"/>
    <w:rsid w:val="004A5A5D"/>
    <w:rsid w:val="004B0124"/>
    <w:rsid w:val="004E2282"/>
    <w:rsid w:val="004E587A"/>
    <w:rsid w:val="004F2798"/>
    <w:rsid w:val="00502EB2"/>
    <w:rsid w:val="00523473"/>
    <w:rsid w:val="00527A86"/>
    <w:rsid w:val="00530859"/>
    <w:rsid w:val="00534171"/>
    <w:rsid w:val="005357C9"/>
    <w:rsid w:val="00540498"/>
    <w:rsid w:val="00552325"/>
    <w:rsid w:val="00557B60"/>
    <w:rsid w:val="005667CC"/>
    <w:rsid w:val="00570F60"/>
    <w:rsid w:val="00572980"/>
    <w:rsid w:val="00591581"/>
    <w:rsid w:val="0059330B"/>
    <w:rsid w:val="005B217F"/>
    <w:rsid w:val="005B40EE"/>
    <w:rsid w:val="005B7DA0"/>
    <w:rsid w:val="005D0725"/>
    <w:rsid w:val="005D16C5"/>
    <w:rsid w:val="005E0224"/>
    <w:rsid w:val="005E28F4"/>
    <w:rsid w:val="005F023E"/>
    <w:rsid w:val="005F3C2C"/>
    <w:rsid w:val="0060081C"/>
    <w:rsid w:val="00621B49"/>
    <w:rsid w:val="0062510C"/>
    <w:rsid w:val="006450F1"/>
    <w:rsid w:val="00652986"/>
    <w:rsid w:val="00666D98"/>
    <w:rsid w:val="006771FC"/>
    <w:rsid w:val="00677911"/>
    <w:rsid w:val="00681F54"/>
    <w:rsid w:val="00693EEE"/>
    <w:rsid w:val="006A0222"/>
    <w:rsid w:val="006A2C23"/>
    <w:rsid w:val="006B54EB"/>
    <w:rsid w:val="006C1298"/>
    <w:rsid w:val="006D2DAB"/>
    <w:rsid w:val="006E4AEC"/>
    <w:rsid w:val="006E4F2E"/>
    <w:rsid w:val="006E7F50"/>
    <w:rsid w:val="006F180A"/>
    <w:rsid w:val="007033F0"/>
    <w:rsid w:val="007045E8"/>
    <w:rsid w:val="0071273A"/>
    <w:rsid w:val="007167FB"/>
    <w:rsid w:val="0072157E"/>
    <w:rsid w:val="007241B4"/>
    <w:rsid w:val="00724EB4"/>
    <w:rsid w:val="00754752"/>
    <w:rsid w:val="00773093"/>
    <w:rsid w:val="00781474"/>
    <w:rsid w:val="0079494E"/>
    <w:rsid w:val="00795A07"/>
    <w:rsid w:val="007A0717"/>
    <w:rsid w:val="007A19EB"/>
    <w:rsid w:val="007A1BC5"/>
    <w:rsid w:val="007A3A5F"/>
    <w:rsid w:val="007A4343"/>
    <w:rsid w:val="007A5B21"/>
    <w:rsid w:val="007A63E8"/>
    <w:rsid w:val="007C0573"/>
    <w:rsid w:val="007D10D6"/>
    <w:rsid w:val="007D7893"/>
    <w:rsid w:val="007E13D8"/>
    <w:rsid w:val="007E67B7"/>
    <w:rsid w:val="007E72D1"/>
    <w:rsid w:val="007E7DC7"/>
    <w:rsid w:val="007F078B"/>
    <w:rsid w:val="007F539B"/>
    <w:rsid w:val="00802D6C"/>
    <w:rsid w:val="00806673"/>
    <w:rsid w:val="00815365"/>
    <w:rsid w:val="008222DE"/>
    <w:rsid w:val="008320BB"/>
    <w:rsid w:val="0083321B"/>
    <w:rsid w:val="00843DEF"/>
    <w:rsid w:val="0086323D"/>
    <w:rsid w:val="00866F3B"/>
    <w:rsid w:val="00871E66"/>
    <w:rsid w:val="0088039B"/>
    <w:rsid w:val="008A1FBE"/>
    <w:rsid w:val="008A2FE9"/>
    <w:rsid w:val="008A6EA4"/>
    <w:rsid w:val="008B3DAF"/>
    <w:rsid w:val="008C08E0"/>
    <w:rsid w:val="008C372A"/>
    <w:rsid w:val="008C5825"/>
    <w:rsid w:val="008C7C6F"/>
    <w:rsid w:val="008D5962"/>
    <w:rsid w:val="008E0CC2"/>
    <w:rsid w:val="008E562D"/>
    <w:rsid w:val="008F323B"/>
    <w:rsid w:val="008F7294"/>
    <w:rsid w:val="00903444"/>
    <w:rsid w:val="00906976"/>
    <w:rsid w:val="00907D8F"/>
    <w:rsid w:val="00931AE0"/>
    <w:rsid w:val="00935580"/>
    <w:rsid w:val="009376AC"/>
    <w:rsid w:val="0095476B"/>
    <w:rsid w:val="00956749"/>
    <w:rsid w:val="00966F20"/>
    <w:rsid w:val="00974AFB"/>
    <w:rsid w:val="00975F76"/>
    <w:rsid w:val="0099478E"/>
    <w:rsid w:val="00995E0B"/>
    <w:rsid w:val="009B3D0B"/>
    <w:rsid w:val="009B5130"/>
    <w:rsid w:val="009C4BFC"/>
    <w:rsid w:val="009C4E2B"/>
    <w:rsid w:val="009C5DDC"/>
    <w:rsid w:val="009C7C81"/>
    <w:rsid w:val="009E1EC6"/>
    <w:rsid w:val="009F23DC"/>
    <w:rsid w:val="00A13AA6"/>
    <w:rsid w:val="00A2253F"/>
    <w:rsid w:val="00A26EB3"/>
    <w:rsid w:val="00A33A6B"/>
    <w:rsid w:val="00A42A37"/>
    <w:rsid w:val="00A47F99"/>
    <w:rsid w:val="00A52763"/>
    <w:rsid w:val="00A52AE7"/>
    <w:rsid w:val="00A623E7"/>
    <w:rsid w:val="00A7168F"/>
    <w:rsid w:val="00A739C8"/>
    <w:rsid w:val="00A741AB"/>
    <w:rsid w:val="00A7595E"/>
    <w:rsid w:val="00A813DC"/>
    <w:rsid w:val="00A924CC"/>
    <w:rsid w:val="00AB1CD6"/>
    <w:rsid w:val="00AB472E"/>
    <w:rsid w:val="00AB666F"/>
    <w:rsid w:val="00AC365A"/>
    <w:rsid w:val="00AD7899"/>
    <w:rsid w:val="00AE75EF"/>
    <w:rsid w:val="00AF05F0"/>
    <w:rsid w:val="00AF6FF3"/>
    <w:rsid w:val="00B01B28"/>
    <w:rsid w:val="00B20AD0"/>
    <w:rsid w:val="00B264D0"/>
    <w:rsid w:val="00B26F6E"/>
    <w:rsid w:val="00B2739C"/>
    <w:rsid w:val="00B3110F"/>
    <w:rsid w:val="00B347D5"/>
    <w:rsid w:val="00B34E31"/>
    <w:rsid w:val="00B36FBA"/>
    <w:rsid w:val="00B5527B"/>
    <w:rsid w:val="00B62586"/>
    <w:rsid w:val="00B65496"/>
    <w:rsid w:val="00B67001"/>
    <w:rsid w:val="00B71288"/>
    <w:rsid w:val="00B719E5"/>
    <w:rsid w:val="00B83464"/>
    <w:rsid w:val="00B85858"/>
    <w:rsid w:val="00B90121"/>
    <w:rsid w:val="00B937D0"/>
    <w:rsid w:val="00B94D2D"/>
    <w:rsid w:val="00BA54EA"/>
    <w:rsid w:val="00BB199E"/>
    <w:rsid w:val="00BB4EA8"/>
    <w:rsid w:val="00BB4F39"/>
    <w:rsid w:val="00BC0DAD"/>
    <w:rsid w:val="00BC44FA"/>
    <w:rsid w:val="00BC61EE"/>
    <w:rsid w:val="00BD0B25"/>
    <w:rsid w:val="00BE132E"/>
    <w:rsid w:val="00BF235A"/>
    <w:rsid w:val="00C07272"/>
    <w:rsid w:val="00C222CF"/>
    <w:rsid w:val="00C33FBA"/>
    <w:rsid w:val="00C6390E"/>
    <w:rsid w:val="00C700BD"/>
    <w:rsid w:val="00C71DAF"/>
    <w:rsid w:val="00C74753"/>
    <w:rsid w:val="00C764D7"/>
    <w:rsid w:val="00C769F1"/>
    <w:rsid w:val="00C82C0E"/>
    <w:rsid w:val="00C835F7"/>
    <w:rsid w:val="00C86707"/>
    <w:rsid w:val="00C907F7"/>
    <w:rsid w:val="00C9629B"/>
    <w:rsid w:val="00CA05FF"/>
    <w:rsid w:val="00CA43B3"/>
    <w:rsid w:val="00CA4706"/>
    <w:rsid w:val="00CA6A83"/>
    <w:rsid w:val="00CB0BA5"/>
    <w:rsid w:val="00CB5463"/>
    <w:rsid w:val="00CE2870"/>
    <w:rsid w:val="00CE352F"/>
    <w:rsid w:val="00CF0FAD"/>
    <w:rsid w:val="00CF5F3C"/>
    <w:rsid w:val="00CF7D87"/>
    <w:rsid w:val="00D25BD7"/>
    <w:rsid w:val="00D352E9"/>
    <w:rsid w:val="00D35C6A"/>
    <w:rsid w:val="00D43DA7"/>
    <w:rsid w:val="00D465E0"/>
    <w:rsid w:val="00D5079B"/>
    <w:rsid w:val="00D553CA"/>
    <w:rsid w:val="00D57E33"/>
    <w:rsid w:val="00D73633"/>
    <w:rsid w:val="00D76C57"/>
    <w:rsid w:val="00DA591C"/>
    <w:rsid w:val="00DA6522"/>
    <w:rsid w:val="00DA6CAD"/>
    <w:rsid w:val="00DB2592"/>
    <w:rsid w:val="00DB3F7C"/>
    <w:rsid w:val="00DC5F3F"/>
    <w:rsid w:val="00DD0195"/>
    <w:rsid w:val="00DF5F6E"/>
    <w:rsid w:val="00E033FB"/>
    <w:rsid w:val="00E0379D"/>
    <w:rsid w:val="00E30729"/>
    <w:rsid w:val="00E457C1"/>
    <w:rsid w:val="00E525C1"/>
    <w:rsid w:val="00E52C86"/>
    <w:rsid w:val="00E604FF"/>
    <w:rsid w:val="00E629C1"/>
    <w:rsid w:val="00E73CD5"/>
    <w:rsid w:val="00E80D4B"/>
    <w:rsid w:val="00E87125"/>
    <w:rsid w:val="00E955F7"/>
    <w:rsid w:val="00E95FE0"/>
    <w:rsid w:val="00EA431A"/>
    <w:rsid w:val="00EE1BB8"/>
    <w:rsid w:val="00EE5682"/>
    <w:rsid w:val="00EF3DAC"/>
    <w:rsid w:val="00EF5C15"/>
    <w:rsid w:val="00EF6D1F"/>
    <w:rsid w:val="00F0290F"/>
    <w:rsid w:val="00F057B4"/>
    <w:rsid w:val="00F1774B"/>
    <w:rsid w:val="00F2541A"/>
    <w:rsid w:val="00F3039B"/>
    <w:rsid w:val="00F35655"/>
    <w:rsid w:val="00F43196"/>
    <w:rsid w:val="00F55B78"/>
    <w:rsid w:val="00F62B94"/>
    <w:rsid w:val="00F70990"/>
    <w:rsid w:val="00F85611"/>
    <w:rsid w:val="00F94DD2"/>
    <w:rsid w:val="00FA59D0"/>
    <w:rsid w:val="00FB49B7"/>
    <w:rsid w:val="00FC3469"/>
    <w:rsid w:val="00FC6CE9"/>
    <w:rsid w:val="00FF2179"/>
    <w:rsid w:val="00FF2587"/>
    <w:rsid w:val="00FF2C24"/>
    <w:rsid w:val="00FF5523"/>
    <w:rsid w:val="00FF59E9"/>
    <w:rsid w:val="00FF7974"/>
    <w:rsid w:val="00FF7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DCEC"/>
  <w15:chartTrackingRefBased/>
  <w15:docId w15:val="{2618FFD5-5D25-45F8-9151-A70834B2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10E"/>
  </w:style>
  <w:style w:type="paragraph" w:styleId="Heading1">
    <w:name w:val="heading 1"/>
    <w:basedOn w:val="Normal"/>
    <w:next w:val="Normal"/>
    <w:link w:val="Heading1Char"/>
    <w:uiPriority w:val="9"/>
    <w:qFormat/>
    <w:rsid w:val="00E73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CD5"/>
    <w:rPr>
      <w:rFonts w:eastAsiaTheme="majorEastAsia" w:cstheme="majorBidi"/>
      <w:color w:val="272727" w:themeColor="text1" w:themeTint="D8"/>
    </w:rPr>
  </w:style>
  <w:style w:type="paragraph" w:styleId="Title">
    <w:name w:val="Title"/>
    <w:basedOn w:val="Normal"/>
    <w:next w:val="Normal"/>
    <w:link w:val="TitleChar"/>
    <w:uiPriority w:val="10"/>
    <w:qFormat/>
    <w:rsid w:val="00E73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CD5"/>
    <w:pPr>
      <w:spacing w:before="160"/>
      <w:jc w:val="center"/>
    </w:pPr>
    <w:rPr>
      <w:i/>
      <w:iCs/>
      <w:color w:val="404040" w:themeColor="text1" w:themeTint="BF"/>
    </w:rPr>
  </w:style>
  <w:style w:type="character" w:customStyle="1" w:styleId="QuoteChar">
    <w:name w:val="Quote Char"/>
    <w:basedOn w:val="DefaultParagraphFont"/>
    <w:link w:val="Quote"/>
    <w:uiPriority w:val="29"/>
    <w:rsid w:val="00E73CD5"/>
    <w:rPr>
      <w:i/>
      <w:iCs/>
      <w:color w:val="404040" w:themeColor="text1" w:themeTint="BF"/>
    </w:rPr>
  </w:style>
  <w:style w:type="paragraph" w:styleId="ListParagraph">
    <w:name w:val="List Paragraph"/>
    <w:basedOn w:val="Normal"/>
    <w:uiPriority w:val="34"/>
    <w:qFormat/>
    <w:rsid w:val="00E73CD5"/>
    <w:pPr>
      <w:ind w:left="720"/>
      <w:contextualSpacing/>
    </w:pPr>
  </w:style>
  <w:style w:type="character" w:styleId="IntenseEmphasis">
    <w:name w:val="Intense Emphasis"/>
    <w:basedOn w:val="DefaultParagraphFont"/>
    <w:uiPriority w:val="21"/>
    <w:qFormat/>
    <w:rsid w:val="00E73CD5"/>
    <w:rPr>
      <w:i/>
      <w:iCs/>
      <w:color w:val="0F4761" w:themeColor="accent1" w:themeShade="BF"/>
    </w:rPr>
  </w:style>
  <w:style w:type="paragraph" w:styleId="IntenseQuote">
    <w:name w:val="Intense Quote"/>
    <w:basedOn w:val="Normal"/>
    <w:next w:val="Normal"/>
    <w:link w:val="IntenseQuoteChar"/>
    <w:uiPriority w:val="30"/>
    <w:qFormat/>
    <w:rsid w:val="00E73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CD5"/>
    <w:rPr>
      <w:i/>
      <w:iCs/>
      <w:color w:val="0F4761" w:themeColor="accent1" w:themeShade="BF"/>
    </w:rPr>
  </w:style>
  <w:style w:type="character" w:styleId="IntenseReference">
    <w:name w:val="Intense Reference"/>
    <w:basedOn w:val="DefaultParagraphFont"/>
    <w:uiPriority w:val="32"/>
    <w:qFormat/>
    <w:rsid w:val="00E73CD5"/>
    <w:rPr>
      <w:b/>
      <w:bCs/>
      <w:smallCaps/>
      <w:color w:val="0F4761" w:themeColor="accent1" w:themeShade="BF"/>
      <w:spacing w:val="5"/>
    </w:rPr>
  </w:style>
  <w:style w:type="table" w:styleId="TableGrid">
    <w:name w:val="Table Grid"/>
    <w:basedOn w:val="TableNormal"/>
    <w:uiPriority w:val="39"/>
    <w:rsid w:val="009C4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0AD0"/>
    <w:rPr>
      <w:color w:val="467886" w:themeColor="hyperlink"/>
      <w:u w:val="single"/>
    </w:rPr>
  </w:style>
  <w:style w:type="paragraph" w:styleId="CommentText">
    <w:name w:val="annotation text"/>
    <w:basedOn w:val="Normal"/>
    <w:link w:val="CommentTextChar"/>
    <w:uiPriority w:val="99"/>
    <w:semiHidden/>
    <w:unhideWhenUsed/>
    <w:rsid w:val="00621B49"/>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621B49"/>
    <w:rPr>
      <w:rFonts w:ascii="Times New Roman" w:eastAsia="Times New Roman" w:hAnsi="Times New Roman" w:cs="Times New Roman"/>
      <w:kern w:val="0"/>
      <w:sz w:val="20"/>
      <w:szCs w:val="20"/>
      <w:lang w:val="en-GB"/>
      <w14:ligatures w14:val="none"/>
    </w:rPr>
  </w:style>
  <w:style w:type="character" w:styleId="CommentReference">
    <w:name w:val="annotation reference"/>
    <w:basedOn w:val="DefaultParagraphFont"/>
    <w:uiPriority w:val="99"/>
    <w:semiHidden/>
    <w:unhideWhenUsed/>
    <w:rsid w:val="00621B49"/>
    <w:rPr>
      <w:sz w:val="16"/>
      <w:szCs w:val="16"/>
    </w:rPr>
  </w:style>
  <w:style w:type="character" w:styleId="Strong">
    <w:name w:val="Strong"/>
    <w:basedOn w:val="DefaultParagraphFont"/>
    <w:uiPriority w:val="22"/>
    <w:qFormat/>
    <w:rsid w:val="00621B49"/>
    <w:rPr>
      <w:b/>
      <w:bCs/>
    </w:rPr>
  </w:style>
  <w:style w:type="paragraph" w:styleId="CommentSubject">
    <w:name w:val="annotation subject"/>
    <w:basedOn w:val="CommentText"/>
    <w:next w:val="CommentText"/>
    <w:link w:val="CommentSubjectChar"/>
    <w:uiPriority w:val="99"/>
    <w:semiHidden/>
    <w:unhideWhenUsed/>
    <w:rsid w:val="00F85611"/>
    <w:pPr>
      <w:spacing w:after="160"/>
    </w:pPr>
    <w:rPr>
      <w:rFonts w:asciiTheme="minorHAnsi" w:eastAsiaTheme="minorHAnsi" w:hAnsiTheme="minorHAnsi" w:cstheme="minorBidi"/>
      <w:b/>
      <w:bCs/>
      <w:kern w:val="2"/>
      <w:lang w:val="en-US"/>
      <w14:ligatures w14:val="standardContextual"/>
    </w:rPr>
  </w:style>
  <w:style w:type="character" w:customStyle="1" w:styleId="CommentSubjectChar">
    <w:name w:val="Comment Subject Char"/>
    <w:basedOn w:val="CommentTextChar"/>
    <w:link w:val="CommentSubject"/>
    <w:uiPriority w:val="99"/>
    <w:semiHidden/>
    <w:rsid w:val="00F85611"/>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F856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611"/>
    <w:rPr>
      <w:rFonts w:ascii="Segoe UI" w:hAnsi="Segoe UI" w:cs="Segoe UI"/>
      <w:sz w:val="18"/>
      <w:szCs w:val="18"/>
    </w:rPr>
  </w:style>
  <w:style w:type="paragraph" w:styleId="Header">
    <w:name w:val="header"/>
    <w:basedOn w:val="Normal"/>
    <w:link w:val="HeaderChar"/>
    <w:uiPriority w:val="99"/>
    <w:unhideWhenUsed/>
    <w:rsid w:val="00FF2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587"/>
  </w:style>
  <w:style w:type="paragraph" w:styleId="Footer">
    <w:name w:val="footer"/>
    <w:basedOn w:val="Normal"/>
    <w:link w:val="FooterChar"/>
    <w:uiPriority w:val="99"/>
    <w:unhideWhenUsed/>
    <w:rsid w:val="00FF2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110775">
      <w:bodyDiv w:val="1"/>
      <w:marLeft w:val="0"/>
      <w:marRight w:val="0"/>
      <w:marTop w:val="0"/>
      <w:marBottom w:val="0"/>
      <w:divBdr>
        <w:top w:val="none" w:sz="0" w:space="0" w:color="auto"/>
        <w:left w:val="none" w:sz="0" w:space="0" w:color="auto"/>
        <w:bottom w:val="none" w:sz="0" w:space="0" w:color="auto"/>
        <w:right w:val="none" w:sz="0" w:space="0" w:color="auto"/>
      </w:divBdr>
    </w:div>
    <w:div w:id="1342271158">
      <w:bodyDiv w:val="1"/>
      <w:marLeft w:val="0"/>
      <w:marRight w:val="0"/>
      <w:marTop w:val="0"/>
      <w:marBottom w:val="0"/>
      <w:divBdr>
        <w:top w:val="none" w:sz="0" w:space="0" w:color="auto"/>
        <w:left w:val="none" w:sz="0" w:space="0" w:color="auto"/>
        <w:bottom w:val="none" w:sz="0" w:space="0" w:color="auto"/>
        <w:right w:val="none" w:sz="0" w:space="0" w:color="auto"/>
      </w:divBdr>
    </w:div>
    <w:div w:id="1964194954">
      <w:bodyDiv w:val="1"/>
      <w:marLeft w:val="0"/>
      <w:marRight w:val="0"/>
      <w:marTop w:val="0"/>
      <w:marBottom w:val="0"/>
      <w:divBdr>
        <w:top w:val="none" w:sz="0" w:space="0" w:color="auto"/>
        <w:left w:val="none" w:sz="0" w:space="0" w:color="auto"/>
        <w:bottom w:val="none" w:sz="0" w:space="0" w:color="auto"/>
        <w:right w:val="none" w:sz="0" w:space="0" w:color="auto"/>
      </w:divBdr>
    </w:div>
    <w:div w:id="21275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 User4</dc:creator>
  <cp:keywords>https:/mul2-taxservice.gov.am/tasks/3699427/oneclick?token=c3a1b617a21c9e64fbfb893e2bdf6e43</cp:keywords>
  <dc:description/>
  <cp:lastModifiedBy>Mariana Udumyan</cp:lastModifiedBy>
  <cp:revision>2</cp:revision>
  <dcterms:created xsi:type="dcterms:W3CDTF">2025-11-12T07:27:00Z</dcterms:created>
  <dcterms:modified xsi:type="dcterms:W3CDTF">2025-11-12T07:27:00Z</dcterms:modified>
</cp:coreProperties>
</file>