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59722" w14:textId="77777777" w:rsidR="00C901BD" w:rsidRDefault="00C901BD" w:rsidP="003068CC">
      <w:pPr>
        <w:pStyle w:val="NormalWeb"/>
        <w:tabs>
          <w:tab w:val="left" w:pos="720"/>
        </w:tabs>
        <w:spacing w:before="0" w:beforeAutospacing="0" w:after="0" w:afterAutospacing="0" w:line="360" w:lineRule="auto"/>
        <w:ind w:right="-18"/>
        <w:rPr>
          <w:rFonts w:ascii="GHEA Grapalat" w:eastAsia="Calibri" w:hAnsi="GHEA Grapalat"/>
          <w:b/>
          <w:spacing w:val="-6"/>
          <w:lang w:val="hy-AM"/>
        </w:rPr>
      </w:pPr>
    </w:p>
    <w:p w14:paraId="35C2F082" w14:textId="36732C60" w:rsidR="003068CC" w:rsidRPr="002E3F1B" w:rsidRDefault="003068CC" w:rsidP="003068CC">
      <w:pPr>
        <w:pStyle w:val="NormalWeb"/>
        <w:tabs>
          <w:tab w:val="left" w:pos="720"/>
        </w:tabs>
        <w:spacing w:before="0" w:beforeAutospacing="0" w:after="0" w:afterAutospacing="0" w:line="276" w:lineRule="auto"/>
        <w:ind w:right="-18" w:firstLine="720"/>
        <w:jc w:val="center"/>
        <w:rPr>
          <w:rFonts w:ascii="GHEA Grapalat" w:hAnsi="GHEA Grapalat"/>
          <w:b/>
          <w:color w:val="000000"/>
          <w:lang w:val="hy-AM"/>
        </w:rPr>
      </w:pPr>
      <w:r w:rsidRPr="002E3F1B">
        <w:rPr>
          <w:rFonts w:ascii="GHEA Grapalat" w:hAnsi="GHEA Grapalat"/>
          <w:b/>
          <w:color w:val="000000"/>
          <w:lang w:val="hy-AM"/>
        </w:rPr>
        <w:t>ՀԻՄՆԱՎՈՐՈՒՄ</w:t>
      </w:r>
    </w:p>
    <w:p w14:paraId="129174A9" w14:textId="7B7A362A" w:rsidR="003068CC" w:rsidRDefault="003068CC" w:rsidP="003068CC">
      <w:pPr>
        <w:shd w:val="clear" w:color="auto" w:fill="FFFFFF"/>
        <w:tabs>
          <w:tab w:val="left" w:pos="0"/>
        </w:tabs>
        <w:ind w:firstLine="720"/>
        <w:jc w:val="center"/>
        <w:rPr>
          <w:rFonts w:ascii="GHEA Grapalat" w:hAnsi="GHEA Grapalat"/>
          <w:b/>
          <w:color w:val="000000"/>
          <w:lang w:val="hy-AM"/>
        </w:rPr>
      </w:pPr>
      <w:r w:rsidRPr="002E3F1B">
        <w:rPr>
          <w:rFonts w:ascii="GHEA Grapalat" w:hAnsi="GHEA Grapalat"/>
          <w:b/>
          <w:color w:val="000000"/>
          <w:lang w:val="hy-AM"/>
        </w:rPr>
        <w:t>«ՀԱՅԱՍՏԱՆԻ ՀԱՆՐԱՊԵՏՈՒԹՅԱՆ ՔԱՂԱՔԱՑԻԱԿԱՆ ԴԱՏԱՎԱՐՈՒԹՅԱՆ ՕՐԵՆՍԳՐՔՈՒՄ ՓՈՓՈԽՈՒԹՅՈՒՆ ԵՎ ԼՐԱՑՈՒՄՆԵՐ ԿԱՏԱՐԵԼՈՒ ՄԱՍԻՆ», «ԳՆՈՒՄՆԵՐԻ ՄԱՍԻՆ» ՕՐԵՆՔՈՒՄ ԼՐԱՑՈՒՄ ԿԱՏԱՐԵԼՈՒ ՄԱՍԻՆ ՕՐԵՆՔՆԵՐԻ ՆԱԽԱԳԾԵՐԻ (ԱՅՍՈՒՀԵՏ՝ ՆԱԽԱԳԾԵՐ) ԸՆԴՈՒՆՄԱՆ</w:t>
      </w:r>
    </w:p>
    <w:p w14:paraId="1A7CDA8D" w14:textId="77777777" w:rsidR="003068CC" w:rsidRPr="002E3F1B" w:rsidRDefault="003068CC" w:rsidP="003068CC">
      <w:pPr>
        <w:shd w:val="clear" w:color="auto" w:fill="FFFFFF"/>
        <w:tabs>
          <w:tab w:val="left" w:pos="0"/>
        </w:tabs>
        <w:ind w:firstLine="720"/>
        <w:jc w:val="center"/>
        <w:rPr>
          <w:rFonts w:ascii="GHEA Grapalat" w:hAnsi="GHEA Grapalat"/>
          <w:b/>
          <w:color w:val="000000"/>
          <w:lang w:val="hy-AM"/>
        </w:rPr>
      </w:pPr>
    </w:p>
    <w:p w14:paraId="7135422C" w14:textId="77777777" w:rsidR="003068CC" w:rsidRPr="002E3F1B" w:rsidRDefault="003068CC" w:rsidP="003068CC">
      <w:pPr>
        <w:pStyle w:val="NormalWeb"/>
        <w:tabs>
          <w:tab w:val="left" w:pos="720"/>
        </w:tabs>
        <w:spacing w:before="0" w:beforeAutospacing="0" w:after="0" w:afterAutospacing="0" w:line="276" w:lineRule="auto"/>
        <w:ind w:right="-18" w:firstLine="720"/>
        <w:jc w:val="both"/>
        <w:rPr>
          <w:rFonts w:ascii="GHEA Grapalat" w:hAnsi="GHEA Grapalat"/>
          <w:color w:val="000000"/>
          <w:lang w:val="hy-AM"/>
        </w:rPr>
      </w:pPr>
    </w:p>
    <w:p w14:paraId="23387677" w14:textId="77777777" w:rsidR="003068CC" w:rsidRPr="003068CC" w:rsidRDefault="003068CC" w:rsidP="003068CC">
      <w:pPr>
        <w:pStyle w:val="NormalWeb"/>
        <w:numPr>
          <w:ilvl w:val="0"/>
          <w:numId w:val="1"/>
        </w:numPr>
        <w:tabs>
          <w:tab w:val="left" w:pos="720"/>
        </w:tabs>
        <w:spacing w:before="0" w:beforeAutospacing="0" w:after="0" w:afterAutospacing="0" w:line="360" w:lineRule="auto"/>
        <w:ind w:left="0" w:right="-18" w:firstLine="720"/>
        <w:jc w:val="both"/>
        <w:rPr>
          <w:rFonts w:ascii="GHEA Grapalat" w:hAnsi="GHEA Grapalat"/>
          <w:b/>
          <w:color w:val="000000"/>
          <w:lang w:val="hy-AM"/>
        </w:rPr>
      </w:pPr>
      <w:r w:rsidRPr="003068CC">
        <w:rPr>
          <w:rFonts w:ascii="GHEA Grapalat" w:hAnsi="GHEA Grapalat"/>
          <w:b/>
          <w:color w:val="000000"/>
          <w:lang w:val="hy-AM"/>
        </w:rPr>
        <w:t>Ընթացիկ իրավիճակը և իրավական ակտի ընդունման անհրաժեշտությունը.</w:t>
      </w:r>
    </w:p>
    <w:p w14:paraId="48257D09" w14:textId="77777777" w:rsidR="003068CC" w:rsidRPr="003068CC" w:rsidRDefault="003068CC" w:rsidP="003068CC">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r w:rsidRPr="003068CC">
        <w:rPr>
          <w:rFonts w:ascii="GHEA Grapalat" w:hAnsi="GHEA Grapalat"/>
          <w:color w:val="000000"/>
          <w:lang w:val="hy-AM"/>
        </w:rPr>
        <w:t>Նախագծերի ընդունման անհրաժեշտությունը պայմանավորված է ինչպես հանրային կամ պաշտպանության և ազգային անվտանգության շահերի ապահովման նպատակով կազմակերպված գնման գործընթացների կասեցման հետևանքով առաջացող հնարավոր խնդիրները կարգավորելու, այնպես էլ առաջին ատյանի դատարանի եզրափակիչ դատական ակտերի կայացումից հետո գնման գործընթացների կասեցումը բացառելու հանգամանքով:</w:t>
      </w:r>
    </w:p>
    <w:p w14:paraId="613A98E3" w14:textId="77777777" w:rsidR="003068CC" w:rsidRPr="003068CC" w:rsidRDefault="003068CC" w:rsidP="003068CC">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r w:rsidRPr="003068CC">
        <w:rPr>
          <w:rFonts w:ascii="GHEA Grapalat" w:hAnsi="GHEA Grapalat"/>
          <w:color w:val="000000"/>
          <w:lang w:val="hy-AM"/>
        </w:rPr>
        <w:t>Գործող կարգավորումների վերլուծությունը ցույց է տալիս, որ գործնականում հանդիպում են դեպքեր, երբ հանրային կամ պաշտպանության և ազգային անվտանգության շահերի ապահովման նպատակով կազմակերպված գնման գործընթացները կասեցվում են, իսկ «Գնումների մասին» օրենքի 2-րդ հոդվածի 1-ին մասով սահմանված մարմինների ղեկավարների, իսկ իրավաբանական անձանց դեպքում գործադիր մարմնի ղեկավարի գրավոր միջնորդությունները գնման գործընթացի կասեցումը վերացնելու մասին</w:t>
      </w:r>
      <w:r w:rsidRPr="003068CC">
        <w:rPr>
          <w:rFonts w:ascii="Calibri" w:hAnsi="Calibri" w:cs="Calibri"/>
          <w:color w:val="000000"/>
          <w:lang w:val="hy-AM"/>
        </w:rPr>
        <w:t> </w:t>
      </w:r>
      <w:r w:rsidRPr="003068CC">
        <w:rPr>
          <w:rFonts w:ascii="GHEA Grapalat" w:hAnsi="GHEA Grapalat"/>
          <w:color w:val="000000"/>
          <w:lang w:val="hy-AM"/>
        </w:rPr>
        <w:t>դատարանների կողմից մերժվում են, ինչպես նաև առկա են դեպքեր, երբ առաջին ատյանի դատարանի եզրափակիչ դատական ակտերի կատարումը վերաքննիչ և վճռաբեկ դատարանների կողմից ամբողջությամբ կամ մասնակիորեն կասեցվում է, ինչի արդյունքում պատվիրատուները հնարավորություն չեն ունենում սահմանված ժամկետներում լուծելու իրենց առջև դրված խնդիրները:</w:t>
      </w:r>
    </w:p>
    <w:p w14:paraId="7BDC0463" w14:textId="77777777" w:rsidR="0051037F" w:rsidRDefault="003068CC" w:rsidP="003068CC">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r w:rsidRPr="003068CC">
        <w:rPr>
          <w:rFonts w:ascii="GHEA Grapalat" w:hAnsi="GHEA Grapalat"/>
          <w:color w:val="000000"/>
          <w:lang w:val="hy-AM"/>
        </w:rPr>
        <w:t xml:space="preserve">Նախագծերով առաջարկվող կարգավորումները </w:t>
      </w:r>
      <w:r w:rsidR="00864A22">
        <w:rPr>
          <w:rFonts w:ascii="GHEA Grapalat" w:hAnsi="GHEA Grapalat"/>
          <w:color w:val="000000"/>
          <w:lang w:val="hy-AM"/>
        </w:rPr>
        <w:t>ուղղված են</w:t>
      </w:r>
      <w:r w:rsidR="0051037F">
        <w:rPr>
          <w:rFonts w:ascii="GHEA Grapalat" w:hAnsi="GHEA Grapalat"/>
          <w:color w:val="000000"/>
          <w:lang w:val="hy-AM"/>
        </w:rPr>
        <w:t>՝</w:t>
      </w:r>
    </w:p>
    <w:p w14:paraId="5863F228" w14:textId="1F954AA5" w:rsidR="0051037F" w:rsidRDefault="0051037F" w:rsidP="003068CC">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r>
        <w:rPr>
          <w:rFonts w:ascii="GHEA Grapalat" w:hAnsi="GHEA Grapalat"/>
          <w:color w:val="000000"/>
          <w:lang w:val="hy-AM"/>
        </w:rPr>
        <w:t>-</w:t>
      </w:r>
      <w:r w:rsidR="00864A22">
        <w:rPr>
          <w:rFonts w:ascii="GHEA Grapalat" w:hAnsi="GHEA Grapalat"/>
          <w:color w:val="000000"/>
          <w:lang w:val="hy-AM"/>
        </w:rPr>
        <w:t xml:space="preserve"> </w:t>
      </w:r>
      <w:r>
        <w:rPr>
          <w:rFonts w:ascii="GHEA Grapalat" w:hAnsi="GHEA Grapalat"/>
          <w:color w:val="000000"/>
          <w:lang w:val="hy-AM"/>
        </w:rPr>
        <w:t xml:space="preserve">հանրային </w:t>
      </w:r>
      <w:r w:rsidRPr="003068CC">
        <w:rPr>
          <w:rFonts w:ascii="GHEA Grapalat" w:hAnsi="GHEA Grapalat"/>
          <w:color w:val="000000"/>
          <w:lang w:val="hy-AM"/>
        </w:rPr>
        <w:t xml:space="preserve">կամ պաշտպանության և ազգային անվտանգության շահերի ապահովման նպատակով կազմակերպված </w:t>
      </w:r>
      <w:r w:rsidR="003068CC" w:rsidRPr="003068CC">
        <w:rPr>
          <w:rFonts w:ascii="GHEA Grapalat" w:hAnsi="GHEA Grapalat"/>
          <w:color w:val="000000"/>
          <w:lang w:val="hy-AM"/>
        </w:rPr>
        <w:t>գնման գործընթացի շրջանակում</w:t>
      </w:r>
      <w:r>
        <w:rPr>
          <w:rFonts w:ascii="GHEA Grapalat" w:hAnsi="GHEA Grapalat"/>
          <w:color w:val="000000"/>
          <w:lang w:val="hy-AM"/>
        </w:rPr>
        <w:t xml:space="preserve"> բացառելու</w:t>
      </w:r>
      <w:r w:rsidR="003068CC" w:rsidRPr="003068CC">
        <w:rPr>
          <w:rFonts w:ascii="GHEA Grapalat" w:hAnsi="GHEA Grapalat"/>
          <w:color w:val="000000"/>
          <w:lang w:val="hy-AM"/>
        </w:rPr>
        <w:t xml:space="preserve"> պատվիրատուի և գնահատող հանձնաժողովի գործողությունների (անգործության) և որոշումների բողոքարկման արդյունքում գնման գործընթացների կասեցում</w:t>
      </w:r>
      <w:r>
        <w:rPr>
          <w:rFonts w:ascii="GHEA Grapalat" w:hAnsi="GHEA Grapalat"/>
          <w:color w:val="000000"/>
          <w:lang w:val="hy-AM"/>
        </w:rPr>
        <w:t xml:space="preserve">ը, պայմանով, որ այդ պայմանը պետք է սահմանվի հրավերով՝ </w:t>
      </w:r>
      <w:r>
        <w:rPr>
          <w:rFonts w:ascii="GHEA Grapalat" w:hAnsi="GHEA Grapalat"/>
          <w:color w:val="000000"/>
          <w:lang w:val="hy-AM"/>
        </w:rPr>
        <w:t>Կառավարության նախնական համաձայնության հիման վրա</w:t>
      </w:r>
      <w:r>
        <w:rPr>
          <w:rFonts w:ascii="GHEA Grapalat" w:hAnsi="GHEA Grapalat"/>
          <w:color w:val="000000"/>
          <w:lang w:val="hy-AM"/>
        </w:rPr>
        <w:t>.</w:t>
      </w:r>
    </w:p>
    <w:p w14:paraId="4D7A773A" w14:textId="34FA4A44" w:rsidR="0051037F" w:rsidRDefault="0051037F" w:rsidP="0051037F">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r>
        <w:rPr>
          <w:rFonts w:ascii="GHEA Grapalat" w:hAnsi="GHEA Grapalat"/>
          <w:color w:val="000000"/>
          <w:lang w:val="hy-AM"/>
        </w:rPr>
        <w:t xml:space="preserve">- </w:t>
      </w:r>
      <w:r w:rsidR="003068CC" w:rsidRPr="003068CC">
        <w:rPr>
          <w:rFonts w:ascii="GHEA Grapalat" w:hAnsi="GHEA Grapalat"/>
          <w:color w:val="000000"/>
          <w:lang w:val="hy-AM"/>
        </w:rPr>
        <w:t>բացառել</w:t>
      </w:r>
      <w:r>
        <w:rPr>
          <w:rFonts w:ascii="GHEA Grapalat" w:hAnsi="GHEA Grapalat"/>
          <w:color w:val="000000"/>
          <w:lang w:val="hy-AM"/>
        </w:rPr>
        <w:t>ու գնման գործընթացի կազմակերպման ժամկետների երկարաձգումը՝ պայմանավորված բողոքարկման հիմքով ընդհանուր իրավասության 1-ին ատյանի դատարանի վճռի կատարման կասեցմամբ</w:t>
      </w:r>
      <w:r w:rsidR="003068CC" w:rsidRPr="003068CC">
        <w:rPr>
          <w:rFonts w:ascii="GHEA Grapalat" w:hAnsi="GHEA Grapalat"/>
          <w:color w:val="000000"/>
          <w:lang w:val="hy-AM"/>
        </w:rPr>
        <w:t>:</w:t>
      </w:r>
    </w:p>
    <w:p w14:paraId="2F9AA9A0" w14:textId="77777777" w:rsidR="0051037F" w:rsidRDefault="0051037F" w:rsidP="0051037F">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p>
    <w:p w14:paraId="738AAF6D" w14:textId="23837B71" w:rsidR="003068CC" w:rsidRPr="003068CC" w:rsidRDefault="003068CC" w:rsidP="0051037F">
      <w:pPr>
        <w:pStyle w:val="NormalWeb"/>
        <w:numPr>
          <w:ilvl w:val="0"/>
          <w:numId w:val="1"/>
        </w:numPr>
        <w:tabs>
          <w:tab w:val="left" w:pos="1080"/>
        </w:tabs>
        <w:spacing w:before="0" w:beforeAutospacing="0" w:after="0" w:afterAutospacing="0" w:line="360" w:lineRule="auto"/>
        <w:ind w:right="-18"/>
        <w:jc w:val="both"/>
        <w:rPr>
          <w:rFonts w:ascii="GHEA Grapalat" w:hAnsi="GHEA Grapalat"/>
          <w:b/>
          <w:bCs/>
          <w:spacing w:val="-6"/>
          <w:lang w:val="hy-AM"/>
        </w:rPr>
      </w:pPr>
      <w:r w:rsidRPr="003068CC">
        <w:rPr>
          <w:rFonts w:ascii="GHEA Grapalat" w:hAnsi="GHEA Grapalat"/>
          <w:b/>
          <w:color w:val="000000"/>
          <w:lang w:val="hy-AM"/>
        </w:rPr>
        <w:t>Կարգավորման նպատակը և ակնկալվող արդյունքը</w:t>
      </w:r>
      <w:r w:rsidRPr="003068CC">
        <w:rPr>
          <w:rFonts w:ascii="GHEA Grapalat" w:hAnsi="GHEA Grapalat"/>
          <w:b/>
          <w:bCs/>
          <w:spacing w:val="-6"/>
          <w:lang w:val="hy-AM"/>
        </w:rPr>
        <w:t>.</w:t>
      </w:r>
    </w:p>
    <w:p w14:paraId="2A78D8C4" w14:textId="62CD8342" w:rsidR="003068CC" w:rsidRPr="003068CC" w:rsidRDefault="003068CC" w:rsidP="003068CC">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r w:rsidRPr="003068CC">
        <w:rPr>
          <w:rFonts w:ascii="GHEA Grapalat" w:hAnsi="GHEA Grapalat"/>
          <w:color w:val="000000"/>
          <w:lang w:val="hy-AM"/>
        </w:rPr>
        <w:t>Նախագծերի ընդունման արդյունքում ակնկալվում է սահմանել</w:t>
      </w:r>
      <w:r w:rsidR="0051037F">
        <w:rPr>
          <w:rFonts w:ascii="GHEA Grapalat" w:hAnsi="GHEA Grapalat"/>
          <w:color w:val="000000"/>
          <w:lang w:val="hy-AM"/>
        </w:rPr>
        <w:t xml:space="preserve"> հետևյալը</w:t>
      </w:r>
      <w:r w:rsidRPr="003068CC">
        <w:rPr>
          <w:rFonts w:ascii="GHEA Grapalat" w:hAnsi="GHEA Grapalat"/>
          <w:color w:val="000000"/>
          <w:lang w:val="hy-AM"/>
        </w:rPr>
        <w:t>՝</w:t>
      </w:r>
    </w:p>
    <w:p w14:paraId="7920ADE4" w14:textId="721E8262" w:rsidR="003068CC" w:rsidRPr="003068CC" w:rsidRDefault="003068CC" w:rsidP="003068CC">
      <w:pPr>
        <w:pStyle w:val="NormalWeb"/>
        <w:numPr>
          <w:ilvl w:val="0"/>
          <w:numId w:val="10"/>
        </w:numPr>
        <w:tabs>
          <w:tab w:val="left" w:pos="1080"/>
        </w:tabs>
        <w:spacing w:before="0" w:beforeAutospacing="0" w:after="0" w:afterAutospacing="0" w:line="360" w:lineRule="auto"/>
        <w:ind w:left="0" w:right="-18" w:firstLine="567"/>
        <w:jc w:val="both"/>
        <w:rPr>
          <w:rFonts w:ascii="GHEA Grapalat" w:hAnsi="GHEA Grapalat"/>
          <w:color w:val="000000"/>
          <w:lang w:val="hy-AM"/>
        </w:rPr>
      </w:pPr>
      <w:r w:rsidRPr="003068CC">
        <w:rPr>
          <w:rFonts w:ascii="GHEA Grapalat" w:hAnsi="GHEA Grapalat"/>
          <w:color w:val="000000"/>
          <w:lang w:val="hy-AM"/>
        </w:rPr>
        <w:lastRenderedPageBreak/>
        <w:t xml:space="preserve">եթե գնման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 ապա գնման գործընթացի շրջանակներում պատվիրատուի և գնահատող հանձնաժողովի գործողությունների (անգործության) և որոշումների բողոքարկումը չի կասեցնում գնման գործընթացը։ Ընդ որում, </w:t>
      </w:r>
      <w:r w:rsidR="00B22EA8" w:rsidRPr="00FC4EBE">
        <w:rPr>
          <w:rFonts w:ascii="GHEA Grapalat" w:hAnsi="GHEA Grapalat"/>
          <w:color w:val="000000"/>
          <w:lang w:val="hy-AM"/>
        </w:rPr>
        <w:t>տեղեկությունը</w:t>
      </w:r>
      <w:r w:rsidR="00B22EA8">
        <w:rPr>
          <w:rFonts w:ascii="GHEA Grapalat" w:hAnsi="GHEA Grapalat"/>
          <w:color w:val="000000"/>
          <w:lang w:val="hy-AM"/>
        </w:rPr>
        <w:t xml:space="preserve"> հրավերում կարող է ներառվել Կառավարության նախնական համաձայնության դեպքում:</w:t>
      </w:r>
    </w:p>
    <w:p w14:paraId="75BC0A19" w14:textId="77777777" w:rsidR="003068CC" w:rsidRPr="003068CC" w:rsidRDefault="003068CC" w:rsidP="003068CC">
      <w:pPr>
        <w:pStyle w:val="NormalWeb"/>
        <w:numPr>
          <w:ilvl w:val="0"/>
          <w:numId w:val="10"/>
        </w:numPr>
        <w:tabs>
          <w:tab w:val="left" w:pos="1080"/>
        </w:tabs>
        <w:spacing w:before="0" w:beforeAutospacing="0" w:after="0" w:afterAutospacing="0" w:line="360" w:lineRule="auto"/>
        <w:ind w:left="0" w:right="-18" w:firstLine="567"/>
        <w:jc w:val="both"/>
        <w:rPr>
          <w:rFonts w:ascii="GHEA Grapalat" w:hAnsi="GHEA Grapalat"/>
          <w:color w:val="000000"/>
          <w:lang w:val="hy-AM"/>
        </w:rPr>
      </w:pPr>
      <w:r w:rsidRPr="003068CC">
        <w:rPr>
          <w:rFonts w:ascii="GHEA Grapalat" w:hAnsi="GHEA Grapalat"/>
          <w:color w:val="000000"/>
          <w:lang w:val="hy-AM"/>
        </w:rPr>
        <w:t>պատվիրատուի և գնահատող հանձնաժողովի գործողությունների (անգործության) և որոշումների բողոքարկման հետ կապված վեճերով դատարանի եզրափակիչ դատական ակտերի կատարումը չի կարող կասեցվել այդ ակտերի դեմ բերված վերաքննիչ և վճռաբեկ բողոքները վարույթ ընդունելու հիմքով</w:t>
      </w:r>
      <w:r w:rsidRPr="003068CC">
        <w:rPr>
          <w:rFonts w:ascii="Cambria Math" w:hAnsi="Cambria Math" w:cs="Cambria Math"/>
          <w:color w:val="000000"/>
          <w:lang w:val="hy-AM"/>
        </w:rPr>
        <w:t>․</w:t>
      </w:r>
    </w:p>
    <w:p w14:paraId="23AD2060" w14:textId="2AFD4478" w:rsidR="003068CC" w:rsidRPr="003068CC" w:rsidRDefault="003068CC" w:rsidP="003068CC">
      <w:pPr>
        <w:pStyle w:val="NormalWeb"/>
        <w:numPr>
          <w:ilvl w:val="0"/>
          <w:numId w:val="10"/>
        </w:numPr>
        <w:tabs>
          <w:tab w:val="left" w:pos="1080"/>
        </w:tabs>
        <w:spacing w:before="0" w:beforeAutospacing="0" w:after="0" w:afterAutospacing="0" w:line="360" w:lineRule="auto"/>
        <w:ind w:left="0" w:right="-18" w:firstLine="567"/>
        <w:jc w:val="both"/>
        <w:rPr>
          <w:rFonts w:ascii="GHEA Grapalat" w:hAnsi="GHEA Grapalat"/>
          <w:color w:val="000000"/>
          <w:lang w:val="hy-AM"/>
        </w:rPr>
      </w:pPr>
      <w:r w:rsidRPr="003068CC">
        <w:rPr>
          <w:rFonts w:ascii="GHEA Grapalat" w:hAnsi="GHEA Grapalat"/>
          <w:color w:val="000000"/>
          <w:lang w:val="hy-AM"/>
        </w:rPr>
        <w:t>գնումների հետ կապված վեճերով կայացված վճիռների դեմ բերված բողոքների քննության արդյունքով վերաքննիչ դատարանի կայացրած որոշումների, բացառությամբ գործի վարույթը հաշտության համաձայնությամբ ավարտելու մասին, ին</w:t>
      </w:r>
      <w:bookmarkStart w:id="0" w:name="_GoBack"/>
      <w:bookmarkEnd w:id="0"/>
      <w:r w:rsidRPr="003068CC">
        <w:rPr>
          <w:rFonts w:ascii="GHEA Grapalat" w:hAnsi="GHEA Grapalat"/>
          <w:color w:val="000000"/>
          <w:lang w:val="hy-AM"/>
        </w:rPr>
        <w:t>չպես նաև վերաքննիչ բողոքից հրաժարվելու հիմքով վերաքննիչ վարույթը կարճելու մասին որոշումների, դեմ վճռաբեկ բողոք կարող է բերվել այդ ակտերի հրապարակման պահից տասնհինգօրյա ժամկետում:</w:t>
      </w:r>
    </w:p>
    <w:p w14:paraId="43BFD00D" w14:textId="77777777" w:rsidR="003068CC" w:rsidRPr="003068CC" w:rsidRDefault="003068CC" w:rsidP="003068CC">
      <w:pPr>
        <w:pStyle w:val="NormalWeb"/>
        <w:numPr>
          <w:ilvl w:val="0"/>
          <w:numId w:val="1"/>
        </w:numPr>
        <w:tabs>
          <w:tab w:val="left" w:pos="720"/>
        </w:tabs>
        <w:spacing w:before="0" w:beforeAutospacing="0" w:after="0" w:afterAutospacing="0" w:line="360" w:lineRule="auto"/>
        <w:ind w:left="0" w:right="-18" w:firstLine="720"/>
        <w:jc w:val="both"/>
        <w:rPr>
          <w:rFonts w:ascii="GHEA Grapalat" w:hAnsi="GHEA Grapalat"/>
          <w:b/>
          <w:bCs/>
          <w:spacing w:val="-6"/>
          <w:lang w:val="hy-AM"/>
        </w:rPr>
      </w:pPr>
      <w:r w:rsidRPr="003068CC">
        <w:rPr>
          <w:rFonts w:ascii="GHEA Grapalat" w:hAnsi="GHEA Grapalat"/>
          <w:b/>
          <w:bCs/>
          <w:spacing w:val="-6"/>
          <w:lang w:val="hy-AM"/>
        </w:rPr>
        <w:t>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20790C0A" w14:textId="7F598BE0" w:rsidR="003068CC" w:rsidRPr="003068CC" w:rsidRDefault="003068CC" w:rsidP="003068CC">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eastAsia="ru-RU"/>
        </w:rPr>
      </w:pPr>
      <w:r w:rsidRPr="003068CC">
        <w:rPr>
          <w:rFonts w:ascii="GHEA Grapalat" w:eastAsia="Times New Roman" w:hAnsi="GHEA Grapalat" w:cs="Times New Roman"/>
          <w:color w:val="000000"/>
          <w:sz w:val="24"/>
          <w:szCs w:val="24"/>
          <w:lang w:val="hy-AM" w:eastAsia="ru-RU"/>
        </w:rPr>
        <w:t>Նախագծերը մշակվել են ՀՀ ֆինանսների նախարարության կողմից:</w:t>
      </w:r>
    </w:p>
    <w:p w14:paraId="5ECF90E8" w14:textId="77777777" w:rsidR="003068CC" w:rsidRPr="003068CC" w:rsidRDefault="003068CC" w:rsidP="003068CC">
      <w:pPr>
        <w:pStyle w:val="NormalWeb"/>
        <w:numPr>
          <w:ilvl w:val="0"/>
          <w:numId w:val="1"/>
        </w:numPr>
        <w:tabs>
          <w:tab w:val="left" w:pos="720"/>
        </w:tabs>
        <w:spacing w:before="0" w:beforeAutospacing="0" w:after="0" w:afterAutospacing="0" w:line="360" w:lineRule="auto"/>
        <w:ind w:left="0" w:right="-18" w:firstLine="720"/>
        <w:jc w:val="both"/>
        <w:rPr>
          <w:rFonts w:ascii="GHEA Grapalat" w:hAnsi="GHEA Grapalat"/>
          <w:b/>
          <w:bCs/>
          <w:spacing w:val="-6"/>
          <w:lang w:val="hy-AM"/>
        </w:rPr>
      </w:pPr>
      <w:r w:rsidRPr="003068CC">
        <w:rPr>
          <w:rFonts w:ascii="GHEA Grapalat" w:hAnsi="GHEA Grapalat"/>
          <w:b/>
          <w:bCs/>
          <w:spacing w:val="-6"/>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w:t>
      </w:r>
    </w:p>
    <w:p w14:paraId="2BF1833C" w14:textId="1A618814" w:rsidR="003068CC" w:rsidRPr="003068CC" w:rsidRDefault="00D07234" w:rsidP="00E41A22">
      <w:pPr>
        <w:spacing w:line="360" w:lineRule="auto"/>
        <w:rPr>
          <w:rFonts w:ascii="GHEA Grapalat" w:hAnsi="GHEA Grapalat"/>
          <w:color w:val="000000"/>
          <w:lang w:val="hy-AM"/>
        </w:rPr>
      </w:pPr>
      <w:r>
        <w:rPr>
          <w:rFonts w:ascii="GHEA Grapalat" w:hAnsi="GHEA Grapalat"/>
          <w:color w:val="000000"/>
          <w:lang w:val="hy-AM"/>
        </w:rPr>
        <w:t xml:space="preserve">          </w:t>
      </w:r>
      <w:r w:rsidRPr="00D07234">
        <w:rPr>
          <w:rFonts w:ascii="GHEA Grapalat" w:hAnsi="GHEA Grapalat"/>
          <w:color w:val="000000"/>
          <w:lang w:val="hy-AM"/>
        </w:rPr>
        <w:t>Նախագծի ընդունմամբ պետական կամ տեղական ինքնակառավարման մարմնի բյուջեում ծախսերի և եկամուտների ավելացում կամ նվազեցում չի նախատեսվում:</w:t>
      </w:r>
    </w:p>
    <w:p w14:paraId="6B446C03" w14:textId="77777777" w:rsidR="003068CC" w:rsidRPr="003068CC" w:rsidRDefault="003068CC" w:rsidP="003068CC">
      <w:pPr>
        <w:pStyle w:val="NormalWeb"/>
        <w:numPr>
          <w:ilvl w:val="0"/>
          <w:numId w:val="1"/>
        </w:numPr>
        <w:tabs>
          <w:tab w:val="left" w:pos="720"/>
        </w:tabs>
        <w:spacing w:before="0" w:beforeAutospacing="0" w:after="0" w:afterAutospacing="0" w:line="360" w:lineRule="auto"/>
        <w:ind w:left="0" w:right="-18" w:firstLine="720"/>
        <w:jc w:val="both"/>
        <w:rPr>
          <w:rFonts w:ascii="GHEA Grapalat" w:hAnsi="GHEA Grapalat"/>
          <w:b/>
          <w:bCs/>
          <w:spacing w:val="-6"/>
          <w:lang w:val="hy-AM"/>
        </w:rPr>
      </w:pPr>
      <w:r w:rsidRPr="003068CC">
        <w:rPr>
          <w:rFonts w:ascii="GHEA Grapalat" w:hAnsi="GHEA Grapalat"/>
          <w:b/>
          <w:bCs/>
          <w:spacing w:val="-6"/>
          <w:lang w:val="hy-AM"/>
        </w:rPr>
        <w:t>Նախագծի ընդունման կապակցությամբ այլ իրավական ակտերի ընդունման անհրաժեշտության մասին.</w:t>
      </w:r>
    </w:p>
    <w:p w14:paraId="3B3A47C2" w14:textId="5006F651" w:rsidR="003068CC" w:rsidRPr="003068CC" w:rsidRDefault="003068CC" w:rsidP="003068CC">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r w:rsidRPr="003068CC">
        <w:rPr>
          <w:rFonts w:ascii="GHEA Grapalat" w:hAnsi="GHEA Grapalat"/>
          <w:color w:val="000000"/>
          <w:lang w:val="hy-AM"/>
        </w:rPr>
        <w:t>Նախագծերի ընդունման կապակցությամբ այլ իրավական ակտերում փոփոխություններ կամ լրացումներ կատարելու անհրաժեշտություն չի առաջանում:</w:t>
      </w:r>
    </w:p>
    <w:p w14:paraId="45DFA58F" w14:textId="77777777" w:rsidR="003068CC" w:rsidRPr="003068CC" w:rsidRDefault="003068CC" w:rsidP="003068CC">
      <w:pPr>
        <w:pStyle w:val="NormalWeb"/>
        <w:numPr>
          <w:ilvl w:val="0"/>
          <w:numId w:val="1"/>
        </w:numPr>
        <w:tabs>
          <w:tab w:val="left" w:pos="720"/>
        </w:tabs>
        <w:spacing w:before="0" w:beforeAutospacing="0" w:after="0" w:afterAutospacing="0" w:line="360" w:lineRule="auto"/>
        <w:ind w:left="0" w:right="-18" w:firstLine="720"/>
        <w:jc w:val="both"/>
        <w:rPr>
          <w:rFonts w:ascii="GHEA Grapalat" w:hAnsi="GHEA Grapalat"/>
          <w:b/>
          <w:bCs/>
          <w:spacing w:val="-6"/>
          <w:lang w:val="hy-AM"/>
        </w:rPr>
      </w:pPr>
      <w:r w:rsidRPr="003068CC">
        <w:rPr>
          <w:rFonts w:ascii="GHEA Grapalat" w:hAnsi="GHEA Grapalat"/>
          <w:b/>
          <w:bCs/>
          <w:spacing w:val="-6"/>
          <w:lang w:val="hy-AM"/>
        </w:rPr>
        <w:t>Կապը ռազմավարական փաստաթղթերի հետ</w:t>
      </w:r>
    </w:p>
    <w:p w14:paraId="2FDF2EC0" w14:textId="77777777" w:rsidR="003068CC" w:rsidRPr="003068CC" w:rsidRDefault="003068CC" w:rsidP="003068CC">
      <w:pPr>
        <w:spacing w:line="360" w:lineRule="auto"/>
        <w:ind w:firstLine="720"/>
        <w:jc w:val="both"/>
        <w:rPr>
          <w:rFonts w:ascii="GHEA Grapalat" w:hAnsi="GHEA Grapalat"/>
          <w:color w:val="000000"/>
          <w:lang w:val="hy-AM"/>
        </w:rPr>
      </w:pPr>
      <w:r w:rsidRPr="003068CC">
        <w:rPr>
          <w:rFonts w:ascii="GHEA Grapalat" w:hAnsi="GHEA Grapalat"/>
          <w:color w:val="000000"/>
          <w:lang w:val="hy-AM"/>
        </w:rPr>
        <w:lastRenderedPageBreak/>
        <w:t>Նախագծի ընդունումը բխում է ՀՀ վարչապետի 2022 թվականի օգոստոսի 25-ի թիվ 977-Լ որոշմամբ հաստատված գնումների համակարգի զարգացման հայեցակարգից բխող միջոցառումների ծրագրի 3.3-րդ կետից (Միջոցառման անվանումը՝ «Համակարգային վերլուծությունների աջակցություն և իրականացում», Ակնկալվող արդյունքը՝ մրցութային, պլանավորման և պայմանագրերի կառավարման գործընթացների շարունակական ուսումնասիրությունների իրականացման արդյունքում՝ ռիսկերի բացահայտում և կառավարում,  արդյունավետության բարձրացում)։</w:t>
      </w:r>
    </w:p>
    <w:p w14:paraId="6B578CA4" w14:textId="20114063" w:rsidR="00625385" w:rsidRPr="00C901BD" w:rsidRDefault="00625385" w:rsidP="003068CC">
      <w:pPr>
        <w:spacing w:line="360" w:lineRule="auto"/>
        <w:jc w:val="both"/>
        <w:rPr>
          <w:rFonts w:ascii="GHEA Grapalat" w:eastAsia="Calibri" w:hAnsi="GHEA Grapalat" w:cs="Arial"/>
          <w:bCs/>
          <w:spacing w:val="-6"/>
          <w:lang w:val="hy-AM" w:eastAsia="en-US"/>
        </w:rPr>
      </w:pPr>
    </w:p>
    <w:sectPr w:rsidR="00625385" w:rsidRPr="00C901BD" w:rsidSect="009B4458">
      <w:pgSz w:w="12240" w:h="15840"/>
      <w:pgMar w:top="720" w:right="810" w:bottom="5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8E511" w14:textId="77777777" w:rsidR="00C836EE" w:rsidRDefault="00C836EE" w:rsidP="00300DC9">
      <w:r>
        <w:separator/>
      </w:r>
    </w:p>
  </w:endnote>
  <w:endnote w:type="continuationSeparator" w:id="0">
    <w:p w14:paraId="536A7A06" w14:textId="77777777" w:rsidR="00C836EE" w:rsidRDefault="00C836EE" w:rsidP="00300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828BB" w14:textId="77777777" w:rsidR="00C836EE" w:rsidRDefault="00C836EE" w:rsidP="00300DC9">
      <w:r>
        <w:separator/>
      </w:r>
    </w:p>
  </w:footnote>
  <w:footnote w:type="continuationSeparator" w:id="0">
    <w:p w14:paraId="757CFF4E" w14:textId="77777777" w:rsidR="00C836EE" w:rsidRDefault="00C836EE" w:rsidP="00300D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50946"/>
    <w:multiLevelType w:val="hybridMultilevel"/>
    <w:tmpl w:val="8376DECA"/>
    <w:lvl w:ilvl="0" w:tplc="96CCAA86">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15:restartNumberingAfterBreak="0">
    <w:nsid w:val="0FB53EDF"/>
    <w:multiLevelType w:val="hybridMultilevel"/>
    <w:tmpl w:val="FF32A976"/>
    <w:lvl w:ilvl="0" w:tplc="F81CFC3A">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15:restartNumberingAfterBreak="0">
    <w:nsid w:val="16D767AD"/>
    <w:multiLevelType w:val="hybridMultilevel"/>
    <w:tmpl w:val="1E609B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A0C4252"/>
    <w:multiLevelType w:val="hybridMultilevel"/>
    <w:tmpl w:val="890E70B2"/>
    <w:lvl w:ilvl="0" w:tplc="9D147A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C780A97"/>
    <w:multiLevelType w:val="hybridMultilevel"/>
    <w:tmpl w:val="39723528"/>
    <w:lvl w:ilvl="0" w:tplc="A7C0F6D0">
      <w:numFmt w:val="bullet"/>
      <w:lvlText w:val="-"/>
      <w:lvlJc w:val="left"/>
      <w:pPr>
        <w:ind w:left="810" w:hanging="360"/>
      </w:pPr>
      <w:rPr>
        <w:rFonts w:ascii="GHEA Grapalat" w:eastAsia="Times New Roman" w:hAnsi="GHEA Grapalat" w:cs="Times New Roman" w:hint="default"/>
        <w:color w:val="auto"/>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4EC1175A"/>
    <w:multiLevelType w:val="hybridMultilevel"/>
    <w:tmpl w:val="1CCC1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B256491"/>
    <w:multiLevelType w:val="hybridMultilevel"/>
    <w:tmpl w:val="9B5460C4"/>
    <w:lvl w:ilvl="0" w:tplc="A7C0F6D0">
      <w:numFmt w:val="bullet"/>
      <w:lvlText w:val="-"/>
      <w:lvlJc w:val="left"/>
      <w:pPr>
        <w:ind w:left="1440" w:hanging="360"/>
      </w:pPr>
      <w:rPr>
        <w:rFonts w:ascii="GHEA Grapalat" w:eastAsia="Times New Roman" w:hAnsi="GHEA Grapalat"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6D232654"/>
    <w:multiLevelType w:val="hybridMultilevel"/>
    <w:tmpl w:val="73B4237C"/>
    <w:lvl w:ilvl="0" w:tplc="2820E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358480F"/>
    <w:multiLevelType w:val="hybridMultilevel"/>
    <w:tmpl w:val="409C273A"/>
    <w:lvl w:ilvl="0" w:tplc="AF7CDEC8">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1"/>
  </w:num>
  <w:num w:numId="6">
    <w:abstractNumId w:val="6"/>
  </w:num>
  <w:num w:numId="7">
    <w:abstractNumId w:val="9"/>
  </w:num>
  <w:num w:numId="8">
    <w:abstractNumId w:val="4"/>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296"/>
    <w:rsid w:val="000335DD"/>
    <w:rsid w:val="00066ABC"/>
    <w:rsid w:val="000D7152"/>
    <w:rsid w:val="000E54B0"/>
    <w:rsid w:val="000F5410"/>
    <w:rsid w:val="001317F1"/>
    <w:rsid w:val="0015167B"/>
    <w:rsid w:val="001637F9"/>
    <w:rsid w:val="00163C8F"/>
    <w:rsid w:val="001769DB"/>
    <w:rsid w:val="001D231B"/>
    <w:rsid w:val="002013E9"/>
    <w:rsid w:val="00234D86"/>
    <w:rsid w:val="002A0A6E"/>
    <w:rsid w:val="002C6A76"/>
    <w:rsid w:val="00300DC9"/>
    <w:rsid w:val="003068CC"/>
    <w:rsid w:val="003179FA"/>
    <w:rsid w:val="003259C1"/>
    <w:rsid w:val="003330D0"/>
    <w:rsid w:val="00364C30"/>
    <w:rsid w:val="0036541C"/>
    <w:rsid w:val="003C2A64"/>
    <w:rsid w:val="003C7DBD"/>
    <w:rsid w:val="003E0FC0"/>
    <w:rsid w:val="003E2931"/>
    <w:rsid w:val="003E3A1B"/>
    <w:rsid w:val="003E3D88"/>
    <w:rsid w:val="004605B8"/>
    <w:rsid w:val="00473BC7"/>
    <w:rsid w:val="00485A8B"/>
    <w:rsid w:val="00492479"/>
    <w:rsid w:val="004B22C5"/>
    <w:rsid w:val="004B70A9"/>
    <w:rsid w:val="004B7D05"/>
    <w:rsid w:val="004C3171"/>
    <w:rsid w:val="004D4296"/>
    <w:rsid w:val="0050358B"/>
    <w:rsid w:val="0051037F"/>
    <w:rsid w:val="005177BD"/>
    <w:rsid w:val="0056541F"/>
    <w:rsid w:val="005948A0"/>
    <w:rsid w:val="005C12CB"/>
    <w:rsid w:val="005E006D"/>
    <w:rsid w:val="00602A31"/>
    <w:rsid w:val="00625385"/>
    <w:rsid w:val="00656403"/>
    <w:rsid w:val="00661231"/>
    <w:rsid w:val="006B6865"/>
    <w:rsid w:val="006C320E"/>
    <w:rsid w:val="006E09B7"/>
    <w:rsid w:val="006E4782"/>
    <w:rsid w:val="00720676"/>
    <w:rsid w:val="00726229"/>
    <w:rsid w:val="00730DC7"/>
    <w:rsid w:val="00737D15"/>
    <w:rsid w:val="0074418E"/>
    <w:rsid w:val="007732E0"/>
    <w:rsid w:val="007839C2"/>
    <w:rsid w:val="007B31D6"/>
    <w:rsid w:val="007C4FFC"/>
    <w:rsid w:val="007D2E4A"/>
    <w:rsid w:val="007E7F60"/>
    <w:rsid w:val="00833B9A"/>
    <w:rsid w:val="00840A20"/>
    <w:rsid w:val="00864A22"/>
    <w:rsid w:val="008930EB"/>
    <w:rsid w:val="008A6FAD"/>
    <w:rsid w:val="008A7870"/>
    <w:rsid w:val="008B1772"/>
    <w:rsid w:val="008B361C"/>
    <w:rsid w:val="008B5082"/>
    <w:rsid w:val="008F1681"/>
    <w:rsid w:val="00921155"/>
    <w:rsid w:val="00923A3B"/>
    <w:rsid w:val="00936483"/>
    <w:rsid w:val="009448D9"/>
    <w:rsid w:val="00994E5E"/>
    <w:rsid w:val="009A131A"/>
    <w:rsid w:val="009B02B6"/>
    <w:rsid w:val="009C3B39"/>
    <w:rsid w:val="00A435DF"/>
    <w:rsid w:val="00A52F74"/>
    <w:rsid w:val="00A74BB3"/>
    <w:rsid w:val="00AA296C"/>
    <w:rsid w:val="00AB145A"/>
    <w:rsid w:val="00B04B2E"/>
    <w:rsid w:val="00B142E0"/>
    <w:rsid w:val="00B17B6F"/>
    <w:rsid w:val="00B22EA8"/>
    <w:rsid w:val="00B32C6B"/>
    <w:rsid w:val="00B54F10"/>
    <w:rsid w:val="00B66790"/>
    <w:rsid w:val="00B8610F"/>
    <w:rsid w:val="00BB6F08"/>
    <w:rsid w:val="00BC17D9"/>
    <w:rsid w:val="00C001BD"/>
    <w:rsid w:val="00C836EE"/>
    <w:rsid w:val="00C901BD"/>
    <w:rsid w:val="00C912EF"/>
    <w:rsid w:val="00CE3B88"/>
    <w:rsid w:val="00CE4055"/>
    <w:rsid w:val="00CF0F7E"/>
    <w:rsid w:val="00D07234"/>
    <w:rsid w:val="00D21E01"/>
    <w:rsid w:val="00D26D58"/>
    <w:rsid w:val="00D71FF6"/>
    <w:rsid w:val="00D93DEE"/>
    <w:rsid w:val="00DD7FD6"/>
    <w:rsid w:val="00E0324A"/>
    <w:rsid w:val="00E41A22"/>
    <w:rsid w:val="00E82017"/>
    <w:rsid w:val="00EC798B"/>
    <w:rsid w:val="00F1172C"/>
    <w:rsid w:val="00F4217F"/>
    <w:rsid w:val="00F4724C"/>
    <w:rsid w:val="00F55A91"/>
    <w:rsid w:val="00F64182"/>
    <w:rsid w:val="00F7024B"/>
    <w:rsid w:val="00F87C8E"/>
    <w:rsid w:val="00FD12CA"/>
    <w:rsid w:val="00FE0599"/>
    <w:rsid w:val="00FF6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48E9"/>
  <w15:chartTrackingRefBased/>
  <w15:docId w15:val="{44D5E148-7E95-47D1-A70F-AFC735B3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A31"/>
    <w:pPr>
      <w:spacing w:after="0" w:line="240" w:lineRule="auto"/>
    </w:pPr>
    <w:rPr>
      <w:rFonts w:ascii="Times New Roman" w:eastAsia="Times New Roman" w:hAnsi="Times New Roman" w:cs="Times New Roman"/>
      <w:sz w:val="24"/>
      <w:szCs w:val="24"/>
      <w:lang w:eastAsia="ru-RU"/>
    </w:rPr>
  </w:style>
  <w:style w:type="paragraph" w:styleId="Heading2">
    <w:name w:val="heading 2"/>
    <w:basedOn w:val="Normal"/>
    <w:link w:val="Heading2Char"/>
    <w:uiPriority w:val="9"/>
    <w:semiHidden/>
    <w:unhideWhenUsed/>
    <w:qFormat/>
    <w:rsid w:val="005177BD"/>
    <w:pPr>
      <w:spacing w:before="100" w:beforeAutospacing="1" w:after="100" w:afterAutospacing="1"/>
      <w:outlineLvl w:val="1"/>
    </w:pPr>
    <w:rPr>
      <w:b/>
      <w:bCs/>
      <w:sz w:val="36"/>
      <w:szCs w:val="36"/>
      <w:lang w:eastAsia="en-US"/>
    </w:rPr>
  </w:style>
  <w:style w:type="paragraph" w:styleId="Heading3">
    <w:name w:val="heading 3"/>
    <w:basedOn w:val="Normal"/>
    <w:next w:val="Normal"/>
    <w:link w:val="Heading3Char"/>
    <w:uiPriority w:val="9"/>
    <w:semiHidden/>
    <w:unhideWhenUsed/>
    <w:qFormat/>
    <w:rsid w:val="00B142E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602A31"/>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602A31"/>
    <w:rPr>
      <w:rFonts w:ascii="Times New Roman" w:eastAsia="Times New Roman" w:hAnsi="Times New Roman" w:cs="Times New Roman"/>
      <w:sz w:val="24"/>
      <w:szCs w:val="24"/>
      <w:lang w:val="ru-RU" w:eastAsia="ru-RU"/>
    </w:rPr>
  </w:style>
  <w:style w:type="character" w:customStyle="1" w:styleId="normChar">
    <w:name w:val="norm Char"/>
    <w:link w:val="norm"/>
    <w:locked/>
    <w:rsid w:val="00602A31"/>
    <w:rPr>
      <w:rFonts w:ascii="Arial Armenian" w:hAnsi="Arial Armenian"/>
      <w:lang w:eastAsia="ru-RU"/>
    </w:rPr>
  </w:style>
  <w:style w:type="paragraph" w:customStyle="1" w:styleId="norm">
    <w:name w:val="norm"/>
    <w:basedOn w:val="Normal"/>
    <w:link w:val="normChar"/>
    <w:rsid w:val="00602A31"/>
    <w:pPr>
      <w:spacing w:line="480" w:lineRule="auto"/>
      <w:ind w:firstLine="709"/>
      <w:jc w:val="both"/>
    </w:pPr>
    <w:rPr>
      <w:rFonts w:ascii="Arial Armenian" w:eastAsiaTheme="minorHAnsi" w:hAnsi="Arial Armenian" w:cstheme="minorBidi"/>
      <w:sz w:val="22"/>
      <w:szCs w:val="22"/>
    </w:rPr>
  </w:style>
  <w:style w:type="paragraph" w:styleId="FootnoteText">
    <w:name w:val="footnote text"/>
    <w:basedOn w:val="Normal"/>
    <w:link w:val="FootnoteTextChar"/>
    <w:uiPriority w:val="99"/>
    <w:semiHidden/>
    <w:unhideWhenUsed/>
    <w:rsid w:val="00300DC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300DC9"/>
    <w:rPr>
      <w:sz w:val="20"/>
      <w:szCs w:val="20"/>
    </w:rPr>
  </w:style>
  <w:style w:type="character" w:styleId="FootnoteReference">
    <w:name w:val="footnote reference"/>
    <w:basedOn w:val="DefaultParagraphFont"/>
    <w:uiPriority w:val="99"/>
    <w:semiHidden/>
    <w:unhideWhenUsed/>
    <w:rsid w:val="00300DC9"/>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2,3"/>
    <w:basedOn w:val="Normal"/>
    <w:link w:val="ListParagraphChar"/>
    <w:uiPriority w:val="34"/>
    <w:qFormat/>
    <w:rsid w:val="00485A8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485A8B"/>
  </w:style>
  <w:style w:type="character" w:customStyle="1" w:styleId="Bodytext2">
    <w:name w:val="Body text (2)_"/>
    <w:link w:val="Bodytext20"/>
    <w:rsid w:val="00C901BD"/>
    <w:rPr>
      <w:rFonts w:ascii="Arial" w:eastAsia="Arial" w:hAnsi="Arial" w:cs="Arial"/>
      <w:sz w:val="24"/>
      <w:szCs w:val="24"/>
      <w:shd w:val="clear" w:color="auto" w:fill="FFFFFF"/>
    </w:rPr>
  </w:style>
  <w:style w:type="paragraph" w:customStyle="1" w:styleId="Bodytext20">
    <w:name w:val="Body text (2)"/>
    <w:basedOn w:val="Normal"/>
    <w:link w:val="Bodytext2"/>
    <w:rsid w:val="00C901BD"/>
    <w:pPr>
      <w:widowControl w:val="0"/>
      <w:shd w:val="clear" w:color="auto" w:fill="FFFFFF"/>
      <w:spacing w:after="780" w:line="0" w:lineRule="atLeast"/>
      <w:jc w:val="right"/>
    </w:pPr>
    <w:rPr>
      <w:rFonts w:ascii="Arial" w:eastAsia="Arial" w:hAnsi="Arial" w:cs="Arial"/>
      <w:lang w:eastAsia="en-US"/>
    </w:rPr>
  </w:style>
  <w:style w:type="character" w:styleId="Strong">
    <w:name w:val="Strong"/>
    <w:uiPriority w:val="22"/>
    <w:qFormat/>
    <w:rsid w:val="00C901BD"/>
    <w:rPr>
      <w:b/>
      <w:bCs/>
    </w:rPr>
  </w:style>
  <w:style w:type="character" w:customStyle="1" w:styleId="Heading2Char">
    <w:name w:val="Heading 2 Char"/>
    <w:basedOn w:val="DefaultParagraphFont"/>
    <w:link w:val="Heading2"/>
    <w:uiPriority w:val="9"/>
    <w:semiHidden/>
    <w:rsid w:val="005177B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142E0"/>
    <w:rPr>
      <w:rFonts w:asciiTheme="majorHAnsi" w:eastAsiaTheme="majorEastAsia" w:hAnsiTheme="majorHAnsi" w:cstheme="majorBidi"/>
      <w:color w:val="1F4D78"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605256">
      <w:bodyDiv w:val="1"/>
      <w:marLeft w:val="0"/>
      <w:marRight w:val="0"/>
      <w:marTop w:val="0"/>
      <w:marBottom w:val="0"/>
      <w:divBdr>
        <w:top w:val="none" w:sz="0" w:space="0" w:color="auto"/>
        <w:left w:val="none" w:sz="0" w:space="0" w:color="auto"/>
        <w:bottom w:val="none" w:sz="0" w:space="0" w:color="auto"/>
        <w:right w:val="none" w:sz="0" w:space="0" w:color="auto"/>
      </w:divBdr>
    </w:div>
    <w:div w:id="787166502">
      <w:bodyDiv w:val="1"/>
      <w:marLeft w:val="0"/>
      <w:marRight w:val="0"/>
      <w:marTop w:val="0"/>
      <w:marBottom w:val="0"/>
      <w:divBdr>
        <w:top w:val="none" w:sz="0" w:space="0" w:color="auto"/>
        <w:left w:val="none" w:sz="0" w:space="0" w:color="auto"/>
        <w:bottom w:val="none" w:sz="0" w:space="0" w:color="auto"/>
        <w:right w:val="none" w:sz="0" w:space="0" w:color="auto"/>
      </w:divBdr>
    </w:div>
    <w:div w:id="797531722">
      <w:bodyDiv w:val="1"/>
      <w:marLeft w:val="0"/>
      <w:marRight w:val="0"/>
      <w:marTop w:val="0"/>
      <w:marBottom w:val="0"/>
      <w:divBdr>
        <w:top w:val="none" w:sz="0" w:space="0" w:color="auto"/>
        <w:left w:val="none" w:sz="0" w:space="0" w:color="auto"/>
        <w:bottom w:val="none" w:sz="0" w:space="0" w:color="auto"/>
        <w:right w:val="none" w:sz="0" w:space="0" w:color="auto"/>
      </w:divBdr>
      <w:divsChild>
        <w:div w:id="595871515">
          <w:marLeft w:val="0"/>
          <w:marRight w:val="0"/>
          <w:marTop w:val="0"/>
          <w:marBottom w:val="0"/>
          <w:divBdr>
            <w:top w:val="none" w:sz="0" w:space="0" w:color="auto"/>
            <w:left w:val="none" w:sz="0" w:space="0" w:color="auto"/>
            <w:bottom w:val="none" w:sz="0" w:space="0" w:color="auto"/>
            <w:right w:val="none" w:sz="0" w:space="0" w:color="auto"/>
          </w:divBdr>
          <w:divsChild>
            <w:div w:id="1423258201">
              <w:marLeft w:val="0"/>
              <w:marRight w:val="0"/>
              <w:marTop w:val="0"/>
              <w:marBottom w:val="0"/>
              <w:divBdr>
                <w:top w:val="none" w:sz="0" w:space="0" w:color="auto"/>
                <w:left w:val="none" w:sz="0" w:space="0" w:color="auto"/>
                <w:bottom w:val="none" w:sz="0" w:space="0" w:color="auto"/>
                <w:right w:val="none" w:sz="0" w:space="0" w:color="auto"/>
              </w:divBdr>
              <w:divsChild>
                <w:div w:id="2060393276">
                  <w:marLeft w:val="0"/>
                  <w:marRight w:val="0"/>
                  <w:marTop w:val="0"/>
                  <w:marBottom w:val="0"/>
                  <w:divBdr>
                    <w:top w:val="none" w:sz="0" w:space="0" w:color="auto"/>
                    <w:left w:val="none" w:sz="0" w:space="0" w:color="auto"/>
                    <w:bottom w:val="none" w:sz="0" w:space="0" w:color="auto"/>
                    <w:right w:val="none" w:sz="0" w:space="0" w:color="auto"/>
                  </w:divBdr>
                  <w:divsChild>
                    <w:div w:id="1449853762">
                      <w:marLeft w:val="0"/>
                      <w:marRight w:val="0"/>
                      <w:marTop w:val="0"/>
                      <w:marBottom w:val="0"/>
                      <w:divBdr>
                        <w:top w:val="none" w:sz="0" w:space="0" w:color="auto"/>
                        <w:left w:val="none" w:sz="0" w:space="0" w:color="auto"/>
                        <w:bottom w:val="none" w:sz="0" w:space="0" w:color="auto"/>
                        <w:right w:val="none" w:sz="0" w:space="0" w:color="auto"/>
                      </w:divBdr>
                      <w:divsChild>
                        <w:div w:id="626353748">
                          <w:marLeft w:val="0"/>
                          <w:marRight w:val="0"/>
                          <w:marTop w:val="0"/>
                          <w:marBottom w:val="0"/>
                          <w:divBdr>
                            <w:top w:val="none" w:sz="0" w:space="0" w:color="EAEAEA"/>
                            <w:left w:val="none" w:sz="0" w:space="0" w:color="EAEAEA"/>
                            <w:bottom w:val="single" w:sz="6" w:space="15" w:color="EAEAEA"/>
                            <w:right w:val="none" w:sz="0" w:space="0" w:color="EAEAEA"/>
                          </w:divBdr>
                          <w:divsChild>
                            <w:div w:id="1984507468">
                              <w:marLeft w:val="930"/>
                              <w:marRight w:val="0"/>
                              <w:marTop w:val="180"/>
                              <w:marBottom w:val="0"/>
                              <w:divBdr>
                                <w:top w:val="none" w:sz="0" w:space="0" w:color="auto"/>
                                <w:left w:val="none" w:sz="0" w:space="0" w:color="auto"/>
                                <w:bottom w:val="none" w:sz="0" w:space="0" w:color="auto"/>
                                <w:right w:val="none" w:sz="0" w:space="0" w:color="auto"/>
                              </w:divBdr>
                              <w:divsChild>
                                <w:div w:id="2143693586">
                                  <w:marLeft w:val="0"/>
                                  <w:marRight w:val="0"/>
                                  <w:marTop w:val="0"/>
                                  <w:marBottom w:val="0"/>
                                  <w:divBdr>
                                    <w:top w:val="none" w:sz="0" w:space="0" w:color="auto"/>
                                    <w:left w:val="none" w:sz="0" w:space="0" w:color="auto"/>
                                    <w:bottom w:val="none" w:sz="0" w:space="0" w:color="auto"/>
                                    <w:right w:val="none" w:sz="0" w:space="0" w:color="auto"/>
                                  </w:divBdr>
                                  <w:divsChild>
                                    <w:div w:id="141043745">
                                      <w:marLeft w:val="0"/>
                                      <w:marRight w:val="0"/>
                                      <w:marTop w:val="0"/>
                                      <w:marBottom w:val="0"/>
                                      <w:divBdr>
                                        <w:top w:val="none" w:sz="0" w:space="0" w:color="auto"/>
                                        <w:left w:val="none" w:sz="0" w:space="0" w:color="auto"/>
                                        <w:bottom w:val="none" w:sz="0" w:space="0" w:color="auto"/>
                                        <w:right w:val="none" w:sz="0" w:space="0" w:color="auto"/>
                                      </w:divBdr>
                                      <w:divsChild>
                                        <w:div w:id="1984776040">
                                          <w:marLeft w:val="0"/>
                                          <w:marRight w:val="0"/>
                                          <w:marTop w:val="0"/>
                                          <w:marBottom w:val="0"/>
                                          <w:divBdr>
                                            <w:top w:val="none" w:sz="0" w:space="0" w:color="auto"/>
                                            <w:left w:val="none" w:sz="0" w:space="0" w:color="auto"/>
                                            <w:bottom w:val="none" w:sz="0" w:space="0" w:color="auto"/>
                                            <w:right w:val="none" w:sz="0" w:space="0" w:color="auto"/>
                                          </w:divBdr>
                                          <w:divsChild>
                                            <w:div w:id="1070272499">
                                              <w:marLeft w:val="0"/>
                                              <w:marRight w:val="0"/>
                                              <w:marTop w:val="0"/>
                                              <w:marBottom w:val="0"/>
                                              <w:divBdr>
                                                <w:top w:val="none" w:sz="0" w:space="0" w:color="auto"/>
                                                <w:left w:val="none" w:sz="0" w:space="0" w:color="auto"/>
                                                <w:bottom w:val="none" w:sz="0" w:space="0" w:color="auto"/>
                                                <w:right w:val="none" w:sz="0" w:space="0" w:color="auto"/>
                                              </w:divBdr>
                                              <w:divsChild>
                                                <w:div w:id="2081753911">
                                                  <w:marLeft w:val="0"/>
                                                  <w:marRight w:val="0"/>
                                                  <w:marTop w:val="0"/>
                                                  <w:marBottom w:val="0"/>
                                                  <w:divBdr>
                                                    <w:top w:val="none" w:sz="0" w:space="0" w:color="auto"/>
                                                    <w:left w:val="none" w:sz="0" w:space="0" w:color="auto"/>
                                                    <w:bottom w:val="none" w:sz="0" w:space="0" w:color="auto"/>
                                                    <w:right w:val="none" w:sz="0" w:space="0" w:color="auto"/>
                                                  </w:divBdr>
                                                  <w:divsChild>
                                                    <w:div w:id="77098639">
                                                      <w:marLeft w:val="0"/>
                                                      <w:marRight w:val="0"/>
                                                      <w:marTop w:val="0"/>
                                                      <w:marBottom w:val="0"/>
                                                      <w:divBdr>
                                                        <w:top w:val="none" w:sz="0" w:space="0" w:color="auto"/>
                                                        <w:left w:val="none" w:sz="0" w:space="0" w:color="auto"/>
                                                        <w:bottom w:val="none" w:sz="0" w:space="0" w:color="auto"/>
                                                        <w:right w:val="none" w:sz="0" w:space="0" w:color="auto"/>
                                                      </w:divBdr>
                                                      <w:divsChild>
                                                        <w:div w:id="120876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51454023">
      <w:bodyDiv w:val="1"/>
      <w:marLeft w:val="0"/>
      <w:marRight w:val="0"/>
      <w:marTop w:val="0"/>
      <w:marBottom w:val="0"/>
      <w:divBdr>
        <w:top w:val="none" w:sz="0" w:space="0" w:color="auto"/>
        <w:left w:val="none" w:sz="0" w:space="0" w:color="auto"/>
        <w:bottom w:val="none" w:sz="0" w:space="0" w:color="auto"/>
        <w:right w:val="none" w:sz="0" w:space="0" w:color="auto"/>
      </w:divBdr>
    </w:div>
    <w:div w:id="1720586868">
      <w:bodyDiv w:val="1"/>
      <w:marLeft w:val="0"/>
      <w:marRight w:val="0"/>
      <w:marTop w:val="0"/>
      <w:marBottom w:val="0"/>
      <w:divBdr>
        <w:top w:val="none" w:sz="0" w:space="0" w:color="auto"/>
        <w:left w:val="none" w:sz="0" w:space="0" w:color="auto"/>
        <w:bottom w:val="none" w:sz="0" w:space="0" w:color="auto"/>
        <w:right w:val="none" w:sz="0" w:space="0" w:color="auto"/>
      </w:divBdr>
    </w:div>
    <w:div w:id="1816337769">
      <w:bodyDiv w:val="1"/>
      <w:marLeft w:val="0"/>
      <w:marRight w:val="0"/>
      <w:marTop w:val="0"/>
      <w:marBottom w:val="0"/>
      <w:divBdr>
        <w:top w:val="none" w:sz="0" w:space="0" w:color="auto"/>
        <w:left w:val="none" w:sz="0" w:space="0" w:color="auto"/>
        <w:bottom w:val="none" w:sz="0" w:space="0" w:color="auto"/>
        <w:right w:val="none" w:sz="0" w:space="0" w:color="auto"/>
      </w:divBdr>
    </w:div>
    <w:div w:id="200967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501</Words>
  <Characters>3939</Characters>
  <Application>Microsoft Office Word</Application>
  <DocSecurity>0</DocSecurity>
  <Lines>72</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Ժենյա Նազարյան</dc:creator>
  <cp:keywords>https://mul2-minfin.gov.am/tasks/1103372/oneclick?token=eb3eab823d98cd721a16bee241655254</cp:keywords>
  <dc:description/>
  <cp:lastModifiedBy>Sergey Shahnazaryan</cp:lastModifiedBy>
  <cp:revision>7</cp:revision>
  <dcterms:created xsi:type="dcterms:W3CDTF">2025-09-30T13:09:00Z</dcterms:created>
  <dcterms:modified xsi:type="dcterms:W3CDTF">2025-12-03T07:45:00Z</dcterms:modified>
</cp:coreProperties>
</file>