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71D" w:rsidRDefault="009E5B0B">
      <w:pPr>
        <w:pStyle w:val="headingtitleStyle"/>
      </w:pPr>
      <w:bookmarkStart w:id="0" w:name="_Toc1"/>
      <w:r>
        <w:t>Ամփոփաթերթ</w:t>
      </w:r>
      <w:bookmarkEnd w:id="0"/>
    </w:p>
    <w:p w:rsidR="002A271D" w:rsidRDefault="004A5007">
      <w:pPr>
        <w:pStyle w:val="headingtitleStyle"/>
      </w:pPr>
      <w:bookmarkStart w:id="1" w:name="_Toc2"/>
      <w:r>
        <w:t>«</w:t>
      </w:r>
      <w:r w:rsidR="009E5B0B">
        <w:t>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w:t>
      </w:r>
      <w:r>
        <w:t>»</w:t>
      </w:r>
      <w:r w:rsidR="009E5B0B">
        <w:t xml:space="preserve"> ՀՀ կառավարության որոշման նախագծի </w:t>
      </w:r>
      <w:bookmarkEnd w:id="1"/>
    </w:p>
    <w:p w:rsidR="002A271D" w:rsidRDefault="002A271D"/>
    <w:p w:rsidR="002A271D" w:rsidRDefault="002A271D"/>
    <w:p w:rsidR="002A271D" w:rsidRDefault="002A271D"/>
    <w:tbl>
      <w:tblPr>
        <w:tblW w:w="0" w:type="auto"/>
        <w:tblCellMar>
          <w:left w:w="10" w:type="dxa"/>
          <w:right w:w="10" w:type="dxa"/>
        </w:tblCellMar>
        <w:tblLook w:val="04A0"/>
      </w:tblPr>
      <w:tblGrid>
        <w:gridCol w:w="457"/>
        <w:gridCol w:w="2191"/>
        <w:gridCol w:w="4862"/>
        <w:gridCol w:w="3493"/>
        <w:gridCol w:w="2924"/>
      </w:tblGrid>
      <w:tr w:rsidR="002A271D">
        <w:tc>
          <w:tcPr>
            <w:tcW w:w="5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հ/</w:t>
            </w:r>
          </w:p>
          <w:p w:rsidR="002A271D" w:rsidRDefault="009E5B0B">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Կատարված փոփոխությունը</w:t>
            </w:r>
          </w:p>
        </w:tc>
      </w:tr>
      <w:tr w:rsidR="002A271D">
        <w:tc>
          <w:tcPr>
            <w:tcW w:w="500" w:type="dxa"/>
            <w:tcBorders>
              <w:top w:val="single" w:sz="1" w:space="0" w:color="000000"/>
              <w:left w:val="single" w:sz="1" w:space="0" w:color="000000"/>
              <w:bottom w:val="single" w:sz="1" w:space="0" w:color="000000"/>
              <w:right w:val="single" w:sz="1" w:space="0" w:color="000000"/>
            </w:tcBorders>
            <w:vAlign w:val="center"/>
          </w:tcPr>
          <w:p w:rsidR="002A271D" w:rsidRDefault="002A271D">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2A271D" w:rsidRDefault="009E5B0B">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2A271D" w:rsidRDefault="009E5B0B">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2A271D" w:rsidRDefault="009E5B0B">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2A271D" w:rsidRDefault="009E5B0B">
            <w:pPr>
              <w:jc w:val="center"/>
            </w:pPr>
            <w:r>
              <w:rPr>
                <w:rFonts w:ascii="GHEA Grapalat" w:eastAsia="GHEA Grapalat" w:hAnsi="GHEA Grapalat" w:cs="GHEA Grapalat"/>
                <w:color w:val="000000"/>
                <w:sz w:val="22"/>
                <w:szCs w:val="22"/>
              </w:rPr>
              <w:t>4</w:t>
            </w:r>
          </w:p>
        </w:tc>
      </w:tr>
      <w:tr w:rsidR="002A271D">
        <w:tc>
          <w:tcPr>
            <w:tcW w:w="5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Թրանսփարենսի Ինթերնեշնլ հակակոռուպցիոն կենտրոն</w:t>
            </w:r>
          </w:p>
          <w:p w:rsidR="002A271D" w:rsidRDefault="009E5B0B">
            <w:pPr>
              <w:jc w:val="center"/>
            </w:pPr>
            <w:r>
              <w:rPr>
                <w:rFonts w:ascii="GHEA Grapalat" w:eastAsia="GHEA Grapalat" w:hAnsi="GHEA Grapalat" w:cs="GHEA Grapalat"/>
                <w:color w:val="000000"/>
                <w:sz w:val="22"/>
                <w:szCs w:val="22"/>
              </w:rPr>
              <w:t>11.09.2019 17:17:45</w:t>
            </w:r>
          </w:p>
        </w:tc>
        <w:tc>
          <w:tcPr>
            <w:tcW w:w="52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 xml:space="preserve">ԱՌԱՋԱՐԿՈՒԹՅՈՒՆՆԵՐ ՀՀ դատական և իրավական բարեփոխումների 2019-2023 թվականների ռազմավարության վերաբերյալ ՀՀ արդարադատության նախարարության կողմից մշակվել է Հայաստանի Հանրապետության դատական և իրավական բարեփոխումների 2019-2023 թվականների ռազմավարության նախագիծը, որի </w:t>
            </w:r>
            <w:r>
              <w:rPr>
                <w:rFonts w:ascii="GHEA Grapalat" w:eastAsia="GHEA Grapalat" w:hAnsi="GHEA Grapalat" w:cs="GHEA Grapalat"/>
                <w:color w:val="000000"/>
                <w:sz w:val="22"/>
                <w:szCs w:val="22"/>
              </w:rPr>
              <w:lastRenderedPageBreak/>
              <w:t xml:space="preserve">վերաբերյալ առկա են հետևյալ նկատառումները․  1․ Անցումային արդարադատություն Ռազմավարության նախագծով անցումային արդարադատության իրականացման նպատակադրման համատեքստում նախատեսված է նաև դրա իրականացման գործիքակազմ, այդ թվում՝ փաստահավաք հանձնաժողովի ստեղծում, որը պետք է իրականացնի 1991-2018 թվականների ընթացքում Հայաստանում տեղի ունեցած խախտումների դեպքերի ուսումնասիրություն և դրանց վերաբերյալ տեղեկությունների հավաքում։ Նշված գործիքակազմը չափազանց կարևոր է անցումային արդարադատության իրականացման համար իրատեսական իրավական հիմքեր ձևավորելու առումով, քանզի այն ենթադրում է հասարակական մեծ հետաքրքրություն և պահանջում է վստահության մեծ չափաբաժին։ Միաժամանակ հարկ է նշել, որ ըստ նախագծի փաստահավաք հանձնաժողովում պետք է ներգրավվեն հասարակության մեջ հեղինակություն վայելող անձիք, իսկ հանձնաժողովի ձևավորման և գործունեության կարգը կկարգավորվի օրենքով։ Հարկ է նշել, որ ռազմավարությունը՝ որպես ոլորտի </w:t>
            </w:r>
            <w:r>
              <w:rPr>
                <w:rFonts w:ascii="GHEA Grapalat" w:eastAsia="GHEA Grapalat" w:hAnsi="GHEA Grapalat" w:cs="GHEA Grapalat"/>
                <w:color w:val="000000"/>
                <w:sz w:val="22"/>
                <w:szCs w:val="22"/>
              </w:rPr>
              <w:lastRenderedPageBreak/>
              <w:t>վերաբերյալ հիմանական փաստաթուղթ, պետք է նախատեսի իրավակարգավորումների բոլոր ելակետային սկզբունքները, որոնք հնարավորություն կտան նաև կանխատեսելի դարձնել առաջարկվող փաստաթղթից բխող իրավական ակտերի բովանդակությունը։ Այս առումով պետք է արձանագրել, որ նախագծով չի առաջարկվում փաստահավաք հանձնաժողովի ձևավորման որևէ սկզբունք-մեխանիզմ, իսկ «հեղինակություն վայելող անձ» հասկացության բովանդակության հստակեցումն այս դեպքում հնարավորություն կտար կանխատեսելի դարձնել առաջարկվող հանձնաժողովի «հեղինակության և մասնագիտական» չափանիշները։  Բացի այդ, նախագծով հստակեցված չէ, թե որ խախտումների մասին է կատարվելու ուսումնասիրությունը, ինչը անհստակություն է մտցնում ոչ միայն խախտումների բնույթի, այլ նաև խախտումների ծավալի տեսանկյունից։ Առաջարկություն •</w:t>
            </w:r>
            <w:r>
              <w:rPr>
                <w:rFonts w:ascii="GHEA Grapalat" w:eastAsia="GHEA Grapalat" w:hAnsi="GHEA Grapalat" w:cs="GHEA Grapalat"/>
                <w:color w:val="000000"/>
                <w:sz w:val="22"/>
                <w:szCs w:val="22"/>
              </w:rPr>
              <w:tab/>
              <w:t>Ռազմավարությամբ նախատեսել փաստահավաք հանձնաժողովի անդամների մասնագիտական և «հեղինակություն վայելող անձ» բառակապակցության հստակ չափորոշիչները։ •</w:t>
            </w:r>
            <w:r>
              <w:rPr>
                <w:rFonts w:ascii="GHEA Grapalat" w:eastAsia="GHEA Grapalat" w:hAnsi="GHEA Grapalat" w:cs="GHEA Grapalat"/>
                <w:color w:val="000000"/>
                <w:sz w:val="22"/>
                <w:szCs w:val="22"/>
              </w:rPr>
              <w:tab/>
              <w:t xml:space="preserve">Որպես ուղենիշ նախատեսել </w:t>
            </w:r>
            <w:r>
              <w:rPr>
                <w:rFonts w:ascii="GHEA Grapalat" w:eastAsia="GHEA Grapalat" w:hAnsi="GHEA Grapalat" w:cs="GHEA Grapalat"/>
                <w:color w:val="000000"/>
                <w:sz w:val="22"/>
                <w:szCs w:val="22"/>
              </w:rPr>
              <w:lastRenderedPageBreak/>
              <w:t>հանձնաժողովի ձևավորմանը մասնակցող մարմիններին և կառույցներին, ինչը հնարավորություն կտա կանխորոշել նաև դրա նկատմամբ վստահության երաշխիքների որոշ մասը։ •</w:t>
            </w:r>
            <w:r>
              <w:rPr>
                <w:rFonts w:ascii="GHEA Grapalat" w:eastAsia="GHEA Grapalat" w:hAnsi="GHEA Grapalat" w:cs="GHEA Grapalat"/>
                <w:color w:val="000000"/>
                <w:sz w:val="22"/>
                <w:szCs w:val="22"/>
              </w:rPr>
              <w:tab/>
              <w:t xml:space="preserve">Հստակեցնել փաստահավաք հանձնաժողովի գործունեության ոլորտները՝ նախատեսելով ընտրական իրավունքի, սեփականության իրավունքի և զինված ուժերում արձանագրված հասարակական հնչեղություն ստացած խախտումներով դեպքերի ուսումնասիրությունը։      2․ Սահմանադրական բարեփոխումների անցկացում  Առաջարկվող նախագծով ներկայացվում է սահմանադրաիրավական փոփոխություններ կատարելու պահանջ և որպես հիմնավորում մատնանշվում է 2015թ․ իրականացված սահմանադրական փոփոխություններում սուբյեկտիվիզմի, ընդունման ամբողջական գործընթացում հասարակության մասնակցայնության անբավարար աստիճանի, սահմանադրական փոփոխությունների մասնագիտական հանձնաժողովի անդամների մոտ շահերի բախման առկայության, սահմանադրական փոփոխությունների օբյեկտիվ անհրաժեշտության բացակայության </w:t>
            </w:r>
            <w:r>
              <w:rPr>
                <w:rFonts w:ascii="GHEA Grapalat" w:eastAsia="GHEA Grapalat" w:hAnsi="GHEA Grapalat" w:cs="GHEA Grapalat"/>
                <w:color w:val="000000"/>
                <w:sz w:val="22"/>
                <w:szCs w:val="22"/>
              </w:rPr>
              <w:lastRenderedPageBreak/>
              <w:t xml:space="preserve">գործոններով։ Հարկ է նշել, որ սահմադրական փոփոխությունների իրականացումը պետք է կանխորոշի ողջ պետական և իրավական համակարգի զարգացման հեռահար նպատակները և ուղղությունները։ 1995թ․ ՀՀ սահմանադրության ընդունումից հետո իրականացված 2005թ․ և 2015թ․ սահմանադրական փոփոխությունների իրականացման գործընթացի լեգիտիմությունը գնահատվում էր չափազանց ցածր։ Հատկապես 2015թ․ սահմանադրական փոփոխությունները խիստ կասկածի տակ առնվեցին հասարակության կողմից, քանի որ ամրագրելով պետական կառավարման ձևի փոփոխություն, սահմանադրությունը գրողները այն նախատեսել էին որպես ընդունման պահին գործող նախագահի իշխանական լիազորությունների շարունակությունն ապահովող քաղաքական և իրավական գործիք։ Սահմանադրական փոփոխությունների արդյունքում նախատեսված իրավակարգավորումները ոչ միայն ամրագրում էին իշխանության գերկենտրոնացում վարչապետի ձեռքում, այլ մի շարք հոդվածներով ստեղծում էին իրավական լուրջ հակասություններ, որոնք իրենց պրակտիկ </w:t>
            </w:r>
            <w:r>
              <w:rPr>
                <w:rFonts w:ascii="GHEA Grapalat" w:eastAsia="GHEA Grapalat" w:hAnsi="GHEA Grapalat" w:cs="GHEA Grapalat"/>
                <w:color w:val="000000"/>
                <w:sz w:val="22"/>
                <w:szCs w:val="22"/>
              </w:rPr>
              <w:lastRenderedPageBreak/>
              <w:t xml:space="preserve">դրսևորումը ստացան 2018թ․ հեղափոխությունից հետո ձևավորված քաղաքական իրավիճակում՝ երկիրը կանգնեցնելով սահմանադրական ճգնաժամի առջև։  Այս առումով, ներկայացված ռազմավարությամբ ցանկալի կլիներ ավելի լուրջ վերաբերել սահմանադրական փոփոխություններին և սահմանադրությանն ընդհանրապես, դրանք նախատեսելով որպես ռազմավարության ընդունման համար ամենակարևոր պատճառ և ամրագրել սահմանադրական փոփոխությունների հիմնական ուղղությունները, նպատակները և կանխորոշել իրավաքաղաքական արդյունքները։ Ներկայացված նախագծով ընդհանուր գծերով է նկարագրվում սահմանադրական փոփոխությունների նպատակը՝ որպես իշխանությունների տարանջատման և հավասարակշռման սկզբունքի իրացման անհրաժեշտություն։ Սակայն ընկալելի չէ, թե իշխանությունների տարանջատման սկզբունքի կիրառմամբ կառավարման որ մոդելի, պետաիշխանական համակարգի փոխհարաբերությունների որ հակակշիռների մասին է խոսքը։  </w:t>
            </w:r>
            <w:proofErr w:type="gramStart"/>
            <w:r>
              <w:rPr>
                <w:rFonts w:ascii="GHEA Grapalat" w:eastAsia="GHEA Grapalat" w:hAnsi="GHEA Grapalat" w:cs="GHEA Grapalat"/>
                <w:color w:val="000000"/>
                <w:sz w:val="22"/>
                <w:szCs w:val="22"/>
              </w:rPr>
              <w:t>Առաջարկություն  Ռազմավարությամբ</w:t>
            </w:r>
            <w:proofErr w:type="gramEnd"/>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 xml:space="preserve">սահմանադրական փոփոխությունների անհրաժեշտությունը հիմնավորել իրավական, քաղաքական, սոցիալական, տնտեսական և բոլոր այլ ռազմավարական բաղադրիչներով՝ հաղորդելով դրանց հասարակության նպատակաուղղվածությունը։    3. Քրեական և քրեական դատավարության օրենսդրության </w:t>
            </w:r>
            <w:proofErr w:type="gramStart"/>
            <w:r>
              <w:rPr>
                <w:rFonts w:ascii="GHEA Grapalat" w:eastAsia="GHEA Grapalat" w:hAnsi="GHEA Grapalat" w:cs="GHEA Grapalat"/>
                <w:color w:val="000000"/>
                <w:sz w:val="22"/>
                <w:szCs w:val="22"/>
              </w:rPr>
              <w:t>բարեփոխում  Ռազմավարության</w:t>
            </w:r>
            <w:proofErr w:type="gramEnd"/>
            <w:r>
              <w:rPr>
                <w:rFonts w:ascii="GHEA Grapalat" w:eastAsia="GHEA Grapalat" w:hAnsi="GHEA Grapalat" w:cs="GHEA Grapalat"/>
                <w:color w:val="000000"/>
                <w:sz w:val="22"/>
                <w:szCs w:val="22"/>
              </w:rPr>
              <w:t xml:space="preserve"> նախագծով իրավացիորեն առաջարկվում է քրեական օրենսգրքում համապատասխան փոփոխությունների իրականացման ճանապարհով ներդնել այլընտրանքային պատիժների համակարգ։ Ներկայումս դատարանները գործող պատիժների համակարգի պայմաններում շատ դեպքերում ազատազարկմանն այլընտրանք չեն ունենում, իչով էլ պայմանավորված է նաև քրեակատարողական հիմնարկների ծանրաբեռնվածությունը։ Վերոնշյալ հանգամանքով պայմանավորված նախագծով առաջարկվում է հանրային աշխատանքները նախատեսել որպես ինքնուրույն կիրառվող պատժատեսակ։ Այս համատեքստում կարևոր է նշել, որ ՀՀ-ում օրակարգային է նաև խափանման միջոցների հետ կապված խնդիրը՝ կապված կալանքի կիրառման պայմանների և </w:t>
            </w:r>
            <w:r>
              <w:rPr>
                <w:rFonts w:ascii="GHEA Grapalat" w:eastAsia="GHEA Grapalat" w:hAnsi="GHEA Grapalat" w:cs="GHEA Grapalat"/>
                <w:color w:val="000000"/>
                <w:sz w:val="22"/>
                <w:szCs w:val="22"/>
              </w:rPr>
              <w:lastRenderedPageBreak/>
              <w:t>չափանիշների պահպանման հետ։ ՀՀ վերաբերյալ մի շարք գործերով Եվրոպական դատարանն արձանագրել է կալանքի կիրառման պայմանների վերաբերյալ խախտումներ՝ մատնանշելով, որ կոնկրետ իրավիճակներում կալանքի կիրառման նպատակահարմարությունը գնահատվել է ողջամիտ կասկածի սկզբունքի խախտումով, անհրաժեշտ և բավարար պայմանի անտեսմամբ։  Այս առումով խիստ կարևոր է ՀՀ քրեական դատավարության օրենսգրքով խափանման միջոցների շարքում ամրագրել տնային կալանքը՝ հաշվի առնելով նաև այն հանգամանքը, որ այն կիրառող երկրներում արձանագրվել են հաջողություններ այդ բնագավառում (օրինակ ԱՄՆ, Ֆրանսիա</w:t>
            </w:r>
            <w:proofErr w:type="gramStart"/>
            <w:r>
              <w:rPr>
                <w:rFonts w:ascii="GHEA Grapalat" w:eastAsia="GHEA Grapalat" w:hAnsi="GHEA Grapalat" w:cs="GHEA Grapalat"/>
                <w:color w:val="000000"/>
                <w:sz w:val="22"/>
                <w:szCs w:val="22"/>
              </w:rPr>
              <w:t>,  Ուկրաինա</w:t>
            </w:r>
            <w:proofErr w:type="gramEnd"/>
            <w:r>
              <w:rPr>
                <w:rFonts w:ascii="GHEA Grapalat" w:eastAsia="GHEA Grapalat" w:hAnsi="GHEA Grapalat" w:cs="GHEA Grapalat"/>
                <w:color w:val="000000"/>
                <w:sz w:val="22"/>
                <w:szCs w:val="22"/>
              </w:rPr>
              <w:t xml:space="preserve">, Ռուսաստան)։  </w:t>
            </w:r>
            <w:proofErr w:type="gramStart"/>
            <w:r>
              <w:rPr>
                <w:rFonts w:ascii="GHEA Grapalat" w:eastAsia="GHEA Grapalat" w:hAnsi="GHEA Grapalat" w:cs="GHEA Grapalat"/>
                <w:color w:val="000000"/>
                <w:sz w:val="22"/>
                <w:szCs w:val="22"/>
              </w:rPr>
              <w:t>Առաջարկություն  Ռազմավարությամբ</w:t>
            </w:r>
            <w:proofErr w:type="gramEnd"/>
            <w:r>
              <w:rPr>
                <w:rFonts w:ascii="GHEA Grapalat" w:eastAsia="GHEA Grapalat" w:hAnsi="GHEA Grapalat" w:cs="GHEA Grapalat"/>
                <w:color w:val="000000"/>
                <w:sz w:val="22"/>
                <w:szCs w:val="22"/>
              </w:rPr>
              <w:t xml:space="preserve"> ամրագրել խափանման միջոցների շարքն ընդլայնելու անհրաժեշտությունը, մասնավորապես տնային կալանքի ինստիտուտի կիրառության համար ձևաորելով անհրաժեշտ իրավական մեխանիզմներ։    4․ Փորձաքննությունների վիճակի </w:t>
            </w:r>
            <w:proofErr w:type="gramStart"/>
            <w:r>
              <w:rPr>
                <w:rFonts w:ascii="GHEA Grapalat" w:eastAsia="GHEA Grapalat" w:hAnsi="GHEA Grapalat" w:cs="GHEA Grapalat"/>
                <w:color w:val="000000"/>
                <w:sz w:val="22"/>
                <w:szCs w:val="22"/>
              </w:rPr>
              <w:t>բարելավում  Ներկայացված</w:t>
            </w:r>
            <w:proofErr w:type="gramEnd"/>
            <w:r>
              <w:rPr>
                <w:rFonts w:ascii="GHEA Grapalat" w:eastAsia="GHEA Grapalat" w:hAnsi="GHEA Grapalat" w:cs="GHEA Grapalat"/>
                <w:color w:val="000000"/>
                <w:sz w:val="22"/>
                <w:szCs w:val="22"/>
              </w:rPr>
              <w:t xml:space="preserve"> նախագծով ռազմավարական ուղղություններում ամրագրված է </w:t>
            </w:r>
            <w:r>
              <w:rPr>
                <w:rFonts w:ascii="GHEA Grapalat" w:eastAsia="GHEA Grapalat" w:hAnsi="GHEA Grapalat" w:cs="GHEA Grapalat"/>
                <w:color w:val="000000"/>
                <w:sz w:val="22"/>
                <w:szCs w:val="22"/>
              </w:rPr>
              <w:lastRenderedPageBreak/>
              <w:t xml:space="preserve">փորձագիտական ծառայություններ մատուցող պետական մարմիններում ընդգրկված ստորաբաժանումների միավորման խնդիրը։ ՀՀ-ում քրեական դատավարության բոլոր փուլերում ներկայումս խնդիր է հանդիսանում փորձաքննությունների ոլորտում տիրող ոչ բարվոք վիճակը՝ հատկապես ժամկետների ձգձգումների մասով, ինչպես նաև եզրակացությունների որակի հետ կապված։ Ներկայումս փորձաքննություններ իրականացնում են ինչպես պետական, այնպես էլ մասնավոր կազմակերպություններ, որոնցում փորձաքննությունների իրականացման, եզրակացությունների մշակման մեթոդաբանությունը չունի միասնական սկզբունքային հիմնավորում։ Առհասարակ վիճակը քրեական գործերի շրջանակներում հակասություններ է առաջացնում՝ կապված դատահոգեբանական, դատահոգեբուժական, դատահաշվապահական փորձաքննությունների եզրակացությունների և քրեական գործերով այլ ապացույցների համադրությունից։  Վերոնշյալ խնդիրների լուծումը չպետք է դիտարկել փորձաքննություններ իրականացնող պետական կազմակերպությունների միավորման համատեքստում։ Այն բավականին </w:t>
            </w:r>
            <w:r>
              <w:rPr>
                <w:rFonts w:ascii="GHEA Grapalat" w:eastAsia="GHEA Grapalat" w:hAnsi="GHEA Grapalat" w:cs="GHEA Grapalat"/>
                <w:color w:val="000000"/>
                <w:sz w:val="22"/>
                <w:szCs w:val="22"/>
              </w:rPr>
              <w:lastRenderedPageBreak/>
              <w:t xml:space="preserve">բազմաշերտ խնդիր է և ենթադրում է խորը վերլուծություններ, կոռուպցիոն ռիսկերի վերհանում և դրանց կանխարգելմանն ու վերացմանը միտված կոնկրետ գործողություններ՝ պետական և մասնավոր կազմակերպությունների համար լիցենզավորման միասնական ընթացակարգեր, միջազգային փորձագիտական կազմակերպությունների հետ սերտ համագործակցություն, քանի որ մի շարք բնագավառներում ՀՀ-ում ոչ միայն բացակայում են կադրերը, այլ նաև վերջիններիս ուսումնառության և մասնագիտացման հնարավորությունները՝ հատկապես տեխնիկական գիտությունների բնագավառում։     </w:t>
            </w:r>
            <w:proofErr w:type="gramStart"/>
            <w:r>
              <w:rPr>
                <w:rFonts w:ascii="GHEA Grapalat" w:eastAsia="GHEA Grapalat" w:hAnsi="GHEA Grapalat" w:cs="GHEA Grapalat"/>
                <w:color w:val="000000"/>
                <w:sz w:val="22"/>
                <w:szCs w:val="22"/>
              </w:rPr>
              <w:t>Առաջարկություն  •</w:t>
            </w:r>
            <w:proofErr w:type="gramEnd"/>
            <w:r>
              <w:rPr>
                <w:rFonts w:ascii="GHEA Grapalat" w:eastAsia="GHEA Grapalat" w:hAnsi="GHEA Grapalat" w:cs="GHEA Grapalat"/>
                <w:color w:val="000000"/>
                <w:sz w:val="22"/>
                <w:szCs w:val="22"/>
              </w:rPr>
              <w:tab/>
              <w:t>Վերհանել փորձաքննությունների կատարման տարբեր ուղղություններում առկա խնդիրները։ •</w:t>
            </w:r>
            <w:r>
              <w:rPr>
                <w:rFonts w:ascii="GHEA Grapalat" w:eastAsia="GHEA Grapalat" w:hAnsi="GHEA Grapalat" w:cs="GHEA Grapalat"/>
                <w:color w:val="000000"/>
                <w:sz w:val="22"/>
                <w:szCs w:val="22"/>
              </w:rPr>
              <w:tab/>
              <w:t>Սահմանել փորձագիտական կազմակերպությունների համար լիցենզավորման միասնական ընթացակարգ և նորմատիվներ։ •</w:t>
            </w:r>
            <w:r>
              <w:rPr>
                <w:rFonts w:ascii="GHEA Grapalat" w:eastAsia="GHEA Grapalat" w:hAnsi="GHEA Grapalat" w:cs="GHEA Grapalat"/>
                <w:color w:val="000000"/>
                <w:sz w:val="22"/>
                <w:szCs w:val="22"/>
              </w:rPr>
              <w:tab/>
              <w:t xml:space="preserve">Նախատեսել որոշ բնագավառներում անհատ փորձագետների գործունեության հնարավորություն՝ փորձագիտական հիմնարկից դուրս։    5․ Փաստաբանական գործունեության դաշտը  </w:t>
            </w:r>
            <w:r>
              <w:rPr>
                <w:rFonts w:ascii="GHEA Grapalat" w:eastAsia="GHEA Grapalat" w:hAnsi="GHEA Grapalat" w:cs="GHEA Grapalat"/>
                <w:color w:val="000000"/>
                <w:sz w:val="22"/>
                <w:szCs w:val="22"/>
              </w:rPr>
              <w:lastRenderedPageBreak/>
              <w:t xml:space="preserve">Չհերքելով այն հանգամանքը, որ փաստաբանական գործունեության դաշտը ևս պետք է գտնվի պետության կողմից խիստ իրավակարգավորումների շրջանակում, միաժամանակ պետք է փաստել, որ ներկայումս ՀՀ-ում փաստաբանական գործունեության բնագավառում լիցենզավորման ուղղությունը մենաշնորհային կարգավիճակում է, մասնավորապես՝ փաստաբանական գործունեության համար լիցենզավորումն իրականացվում է փաստաբանական պալատի միջոցով, իսկ որպես պարտադիր պահանջ նախատեսվում է փաստաբանական դպրոցում ուսումնառությունը՝ անկախ իրավաբանի մասնագիտական գործունեության ոլորտից և ստաժից։ Սա անտրամաբանական մոտեցում է խնդրի նկատմամբ և ենթադրում է իրավական փոփոխությունների ճանապարհով նախատեսել այլընտրանք փաստաբանական գործունեության լիցենզավորման և փաստաբանական գործող համակարգի նկատմամբ՝ հաշվի առնելով նաև այն հանգամանքը, որ փաստաբանական գործունեությունը նաև բիզնես գործունեություն է և ենթադրում է լիցենզավորման համար պայմանների ճկունություն։    </w:t>
            </w:r>
            <w:proofErr w:type="gramStart"/>
            <w:r>
              <w:rPr>
                <w:rFonts w:ascii="GHEA Grapalat" w:eastAsia="GHEA Grapalat" w:hAnsi="GHEA Grapalat" w:cs="GHEA Grapalat"/>
                <w:color w:val="000000"/>
                <w:sz w:val="22"/>
                <w:szCs w:val="22"/>
              </w:rPr>
              <w:t xml:space="preserve">Առաջարկություն  </w:t>
            </w:r>
            <w:r>
              <w:rPr>
                <w:rFonts w:ascii="GHEA Grapalat" w:eastAsia="GHEA Grapalat" w:hAnsi="GHEA Grapalat" w:cs="GHEA Grapalat"/>
                <w:color w:val="000000"/>
                <w:sz w:val="22"/>
                <w:szCs w:val="22"/>
              </w:rPr>
              <w:lastRenderedPageBreak/>
              <w:t>•</w:t>
            </w:r>
            <w:proofErr w:type="gramEnd"/>
            <w:r>
              <w:rPr>
                <w:rFonts w:ascii="GHEA Grapalat" w:eastAsia="GHEA Grapalat" w:hAnsi="GHEA Grapalat" w:cs="GHEA Grapalat"/>
                <w:color w:val="000000"/>
                <w:sz w:val="22"/>
                <w:szCs w:val="22"/>
              </w:rPr>
              <w:tab/>
              <w:t>Փաստաբանական գործունեության դաշտում գործունեության լիցենզավորման, ուսումնառության և փաստաբանական գործունեության համակարգման ուղղություններում նախատեսել այլընտրանքի իրավական կարգավորումներ։ •</w:t>
            </w:r>
            <w:r>
              <w:rPr>
                <w:rFonts w:ascii="GHEA Grapalat" w:eastAsia="GHEA Grapalat" w:hAnsi="GHEA Grapalat" w:cs="GHEA Grapalat"/>
                <w:color w:val="000000"/>
                <w:sz w:val="22"/>
                <w:szCs w:val="22"/>
              </w:rPr>
              <w:tab/>
              <w:t>Փաստաբանական լիցենզիայի տրամադրման համար վերացնել փաստաբանական դպրոցում ուսումնառության պարտադիր պահանջը՝ որոշակի ոլորտներում մասնագիտական ստաժի առկայության դեպ  Հարգանքով ՝ Թրանսփարենսի Ինթերնեշնլ հակակոռուպցիոն կենտրոն</w:t>
            </w:r>
          </w:p>
        </w:tc>
        <w:tc>
          <w:tcPr>
            <w:tcW w:w="38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lastRenderedPageBreak/>
              <w:t>1. Ընդունվել է: 2. Ընդունվել է ի գիտություն: 3. Չի ընդունվել: 4. Ընդունվել է մասնակի: 5. 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 xml:space="preserve">1. Նախագծով հնարավորինս մանրամասնվել է Հանձնաժողովի կազմավորման կարգը, մնացած մանրամասները պետք է նախատեսվեն ոչ թե ռազմավարության, այլ </w:t>
            </w:r>
            <w:r>
              <w:rPr>
                <w:rFonts w:ascii="GHEA Grapalat" w:eastAsia="GHEA Grapalat" w:hAnsi="GHEA Grapalat" w:cs="GHEA Grapalat"/>
                <w:color w:val="000000"/>
                <w:sz w:val="22"/>
                <w:szCs w:val="22"/>
              </w:rPr>
              <w:lastRenderedPageBreak/>
              <w:t xml:space="preserve">հանձնաժողովի մանդատն ամրագրող օրենքի շրջանակում: Ինչ վերաբերում է հանձնաժողովի գործունեության ոլորտներին, ապա նախագծից պարզորոշ կերպով երևում է, որ դրանք ընդգրկում են առաջարկում նշված՝ ընտրական իրավունքի, սեփականության իրավունքի և զինված ուժերում արձանագրված ամենածանր խախտումներից ոչ մարտական պայմաններում զինծառայողների մահերը:   2.Սահմանադրական բարեփոխումների մասով Նախագծում լրացվել է հիմնական ուղղությունների ցանկը և վկայակոչված են նախկինում կատարված սահմանադրական </w:t>
            </w:r>
            <w:r>
              <w:rPr>
                <w:rFonts w:ascii="GHEA Grapalat" w:eastAsia="GHEA Grapalat" w:hAnsi="GHEA Grapalat" w:cs="GHEA Grapalat"/>
                <w:color w:val="000000"/>
                <w:sz w:val="22"/>
                <w:szCs w:val="22"/>
              </w:rPr>
              <w:lastRenderedPageBreak/>
              <w:t xml:space="preserve">փոփոխությունների առնչությամբ ներպետական և միջազգային կազմակերպությունների կողմից բարձրաձայնված մտահոգությունները: Ավելի կոնկրետ կարգավորումների շուրջ հնարավոր կլինի քննարկումներ ծավալել Սահմանադրական բարեփոխումների հանձնաժողովի գործունեության և հայեցակարգային ուղղությունների մշակման շրջանակներում:  3. Նախագծի՝ «Քրեական և քրեական դատավարության օրենսդրության բարեփոխում» ռազմավարական նպատակի ներքո նախատեսված է այլընտրանքային խափանման միջոցների ներդնումը՝ այդ թվում՝ </w:t>
            </w:r>
            <w:r>
              <w:rPr>
                <w:rFonts w:ascii="GHEA Grapalat" w:eastAsia="GHEA Grapalat" w:hAnsi="GHEA Grapalat" w:cs="GHEA Grapalat"/>
                <w:color w:val="000000"/>
                <w:sz w:val="22"/>
                <w:szCs w:val="22"/>
              </w:rPr>
              <w:lastRenderedPageBreak/>
              <w:t>տնային կալանքը: 4. .Նախատեսվել է դատափորձագիտական գործունեության կարգավորման նպատակով ընդունել առանձին օրենք, որով կկարգավորվեն նաև բարձրացված հարցերը: 5. Առաջարակը չի պարունակում հիմնավորումներ փաստաբանական գործունեության լիցենզավորման այլընտրանքային համակարգի ստեղծման և փաստաբանական դպրոցում ուսումնառության պահանջի վերացման անհրաժեշտության վերաբերյալ, ինչը կարևոր նշանակություն ունի նման գործողություններ նախաձեռնելու համար:</w:t>
            </w:r>
          </w:p>
        </w:tc>
      </w:tr>
      <w:tr w:rsidR="002A271D">
        <w:tc>
          <w:tcPr>
            <w:tcW w:w="5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Grigor Minasyan</w:t>
            </w:r>
          </w:p>
          <w:p w:rsidR="002A271D" w:rsidRDefault="009E5B0B">
            <w:pPr>
              <w:jc w:val="center"/>
            </w:pPr>
            <w:r>
              <w:rPr>
                <w:rFonts w:ascii="GHEA Grapalat" w:eastAsia="GHEA Grapalat" w:hAnsi="GHEA Grapalat" w:cs="GHEA Grapalat"/>
                <w:color w:val="000000"/>
                <w:sz w:val="22"/>
                <w:szCs w:val="22"/>
              </w:rPr>
              <w:t>27.08.2019 16:23:06</w:t>
            </w:r>
          </w:p>
        </w:tc>
        <w:tc>
          <w:tcPr>
            <w:tcW w:w="52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անշուշտ, դատական համակարգը բարեփոխման կարիք ունի, բայց չպետք է անտեսվի նաև դատախազական և քննչական համակարգի խնդիրը, մասնավորապես՝ արդյունավետ արդարադատություն ունենալու համար պետք է ունենալ սոցիալապես կայուն դատախազական և քննչական համակարգ, այլ կերպ ասած՝ միայն դատավորների սոցիալական վիճակը բարելավելով, անկախ արդարադատություն չի ստեղծվի, չպետք է մոռանալ նաև արդարադատության մյուս, այսպես կոչված, մասնակիցներին</w:t>
            </w:r>
          </w:p>
        </w:tc>
        <w:tc>
          <w:tcPr>
            <w:tcW w:w="38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 xml:space="preserve">Միանգամայն համամիտ ենք, որ դատական և իրվական բարեփոխումները պետք է ընգրկեն արդարադատության համակարգի բոլոր մասնակիցներին: Առաջնորդվելով նշված տրամաբանությամբ՝ ռազմավարության նախագիծը նախատեսել է առանձին ռազմավարական </w:t>
            </w:r>
            <w:r>
              <w:rPr>
                <w:rFonts w:ascii="GHEA Grapalat" w:eastAsia="GHEA Grapalat" w:hAnsi="GHEA Grapalat" w:cs="GHEA Grapalat"/>
                <w:color w:val="000000"/>
                <w:sz w:val="22"/>
                <w:szCs w:val="22"/>
              </w:rPr>
              <w:lastRenderedPageBreak/>
              <w:t>նպատակ՝ իրավապահ համակարգի բարելավում, որն ընդգրկում է դատախազությունը և քննչական մարմիններին: Ի հավելումն, Նախագծում կատարվել են համապատասխան լրացումներ՝ դատախազների և քննիչների աշխատավարձերի բարձրացման հարցի քննարկման մասով:</w:t>
            </w:r>
          </w:p>
        </w:tc>
      </w:tr>
      <w:tr w:rsidR="002A271D">
        <w:tc>
          <w:tcPr>
            <w:tcW w:w="5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Շուշանիկ Ղուկասյան</w:t>
            </w:r>
          </w:p>
          <w:p w:rsidR="002A271D" w:rsidRDefault="009E5B0B">
            <w:pPr>
              <w:jc w:val="center"/>
            </w:pPr>
            <w:r>
              <w:rPr>
                <w:rFonts w:ascii="GHEA Grapalat" w:eastAsia="GHEA Grapalat" w:hAnsi="GHEA Grapalat" w:cs="GHEA Grapalat"/>
                <w:color w:val="000000"/>
                <w:sz w:val="22"/>
                <w:szCs w:val="22"/>
              </w:rPr>
              <w:t>27.08.2019 12:22:31</w:t>
            </w:r>
          </w:p>
        </w:tc>
        <w:tc>
          <w:tcPr>
            <w:tcW w:w="52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 xml:space="preserve">Առաջարկում եմ  արտապայմանագրային պատասխանատվություն սահմանող նորմերի վերանայման շրջանակում առանձնահատուկ շեշտադրել նաև ապրանքների, աշխատանքների և ծառայությունների թերությունների հետևանքով պատճառված վնասի հատուցման ինստիտուտի կատարելագործումը: Սա պայմանավորված է նրանով, որ գործող կարգավորումները հնացած են, չեն համապատասխանում միջազգային զարգացման հիմնական </w:t>
            </w:r>
            <w:r>
              <w:rPr>
                <w:rFonts w:ascii="GHEA Grapalat" w:eastAsia="GHEA Grapalat" w:hAnsi="GHEA Grapalat" w:cs="GHEA Grapalat"/>
                <w:color w:val="000000"/>
                <w:sz w:val="22"/>
                <w:szCs w:val="22"/>
              </w:rPr>
              <w:lastRenderedPageBreak/>
              <w:t xml:space="preserve">միտումներին, առկա են օրենսդրական բազում բացեր և հակասություններ: Ապրանքների թերությունների հետևանքով պատճառված վնասի հատուցման արդյունավետ մեխանիզմների սահմանման և ապահովման, վնաս կրած անձի իրավունքների պատշաճ պաշտպանության կառուցակարգերի երաշխավորման տեսանկյունից խնդրահարույց ու հակասական է և՛ գործող օրենսդրությունը (մասնավորապես՝ ՀՀ քաղաքացիական օրենսգիրքը ) և ձևավորված դատական պրակտիկան: Այս համատեքստում առավել կարևորվում է սպառողների իրավունքների և օրինական շահերի պաշտպանությունը, Ապրանքների վերաբերյալ հավաստի և ամբողջական տեղեկատվության տրամադրումը, դրանց անվտանգության ապահովումը, պատշաճ որակի նկատմամբ վերահսկողությունը և Ապրանքների թերությունների հետևանքով պատճառված վնասի լիարժեք և արդյունավետ հատուցման երաշխիքների ապահովումը: Նշված խնդիրների կարևորությունը ընդգծվում է նաև սպառողների շահերի պաշտպանության, Ապրանքների որակի նկատմամբ վերահսկողության պահանջի՝ սահմանադրորեն </w:t>
            </w:r>
            <w:r>
              <w:rPr>
                <w:rFonts w:ascii="GHEA Grapalat" w:eastAsia="GHEA Grapalat" w:hAnsi="GHEA Grapalat" w:cs="GHEA Grapalat"/>
                <w:color w:val="000000"/>
                <w:sz w:val="22"/>
                <w:szCs w:val="22"/>
              </w:rPr>
              <w:lastRenderedPageBreak/>
              <w:t>ամրագրված լինելու հանգամանքով:</w:t>
            </w:r>
          </w:p>
        </w:tc>
        <w:tc>
          <w:tcPr>
            <w:tcW w:w="38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lastRenderedPageBreak/>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2A271D" w:rsidRDefault="009E5B0B">
            <w:pPr>
              <w:jc w:val="center"/>
            </w:pPr>
            <w:r>
              <w:rPr>
                <w:rFonts w:ascii="GHEA Grapalat" w:eastAsia="GHEA Grapalat" w:hAnsi="GHEA Grapalat" w:cs="GHEA Grapalat"/>
                <w:color w:val="000000"/>
                <w:sz w:val="22"/>
                <w:szCs w:val="22"/>
              </w:rPr>
              <w:t>Առաջարկը քննարկման առարկա կդառնա համապատասխան նախագծի մշակման աշխատանքների շրջանակներում:</w:t>
            </w:r>
          </w:p>
        </w:tc>
      </w:tr>
    </w:tbl>
    <w:p w:rsidR="009E5B0B" w:rsidRDefault="009E5B0B"/>
    <w:sectPr w:rsidR="009E5B0B" w:rsidSect="002A271D">
      <w:pgSz w:w="16787" w:h="11870"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2A271D"/>
    <w:rsid w:val="00130043"/>
    <w:rsid w:val="002A271D"/>
    <w:rsid w:val="002B00D8"/>
    <w:rsid w:val="002C4B20"/>
    <w:rsid w:val="004A5007"/>
    <w:rsid w:val="008A0365"/>
    <w:rsid w:val="009E5B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A27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2A271D"/>
    <w:rPr>
      <w:vertAlign w:val="superscript"/>
    </w:rPr>
  </w:style>
  <w:style w:type="paragraph" w:customStyle="1" w:styleId="headingtitleStyle">
    <w:name w:val="heading titleStyle"/>
    <w:basedOn w:val="Normal"/>
    <w:rsid w:val="002A271D"/>
    <w:pPr>
      <w:jc w:val="center"/>
    </w:pPr>
    <w:rPr>
      <w:rFonts w:ascii="GHEA Grapalat" w:eastAsia="GHEA Grapalat" w:hAnsi="GHEA Grapalat" w:cs="GHEA Grapalat"/>
      <w:b/>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2077</Words>
  <Characters>11845</Characters>
  <Application>Microsoft Office Word</Application>
  <DocSecurity>0</DocSecurity>
  <Lines>98</Lines>
  <Paragraphs>27</Paragraphs>
  <ScaleCrop>false</ScaleCrop>
  <Company/>
  <LinksUpToDate>false</LinksUpToDate>
  <CharactersWithSpaces>13895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Gohar Hakobyan</dc:creator>
  <cp:lastModifiedBy>Gohar Hakobyan</cp:lastModifiedBy>
  <cp:revision>5</cp:revision>
  <dcterms:created xsi:type="dcterms:W3CDTF">2019-09-25T14:25:00Z</dcterms:created>
  <dcterms:modified xsi:type="dcterms:W3CDTF">2019-10-03T12:15:00Z</dcterms:modified>
  <cp:keywords>Mulberry 2.0</cp:keywords>
</cp:coreProperties>
</file>