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B302" w14:textId="46EF7B0D" w:rsidR="00314443" w:rsidRPr="007E32F9" w:rsidRDefault="00C67062" w:rsidP="005E25C1">
      <w:pPr>
        <w:spacing w:line="276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314443" w:rsidRPr="007E32F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ՀԻՄՆԱՎՈՐՈՒՄ</w:t>
      </w:r>
    </w:p>
    <w:p w14:paraId="7C7E48C3" w14:textId="2246D996" w:rsidR="00314443" w:rsidRPr="007E32F9" w:rsidRDefault="00507C2A" w:rsidP="00C474E8">
      <w:pPr>
        <w:spacing w:line="276" w:lineRule="auto"/>
        <w:ind w:firstLine="45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</w:t>
      </w:r>
      <w:r w:rsidR="00314443" w:rsidRPr="007E32F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ԳՈՒՅՔԻ ԱՌՈՒՎԱՃԱՌՔԻ ՊԱՅՄԱՆԱԳՐՈՒՄ («ԳԱՊ») ԼՐԱՑՈՒՄՆԵՐ ԿԱՏԱՐԵԼՈՒ ՄԱՍԻՆ ՀԱՄԱՁԱՅՆԱԳՐԻՆ ՀԱՎԱՆՈՒԹՅՈՒՆ ՏԱԼՈՒ ՄԱՍԻՆ</w:t>
      </w: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»</w:t>
      </w:r>
      <w:r w:rsidR="00314443" w:rsidRPr="007E32F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ՀՀ ԿԱՌԱՎԱՐՈՒԹՅԱՆ ՈՐՈՇՄԱՆ ՆԱԽԱԳԾԻ</w:t>
      </w:r>
    </w:p>
    <w:p w14:paraId="13BA568E" w14:textId="77777777" w:rsidR="00314443" w:rsidRPr="007D3B80" w:rsidRDefault="00314443" w:rsidP="005E25C1">
      <w:pPr>
        <w:spacing w:line="276" w:lineRule="auto"/>
        <w:ind w:firstLine="450"/>
        <w:jc w:val="both"/>
        <w:rPr>
          <w:rFonts w:ascii="Sylfaen" w:hAnsi="Sylfaen"/>
          <w:sz w:val="24"/>
          <w:szCs w:val="24"/>
          <w:lang w:val="hy-AM"/>
        </w:rPr>
      </w:pPr>
    </w:p>
    <w:p w14:paraId="35AD9DFB" w14:textId="2F08A85B" w:rsidR="005259C7" w:rsidRPr="00ED060A" w:rsidRDefault="00314443" w:rsidP="005259C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Ընթացիկ իրավիճակը և իրավական ակտի ընդունման անհրաժեշությունը</w:t>
      </w:r>
    </w:p>
    <w:p w14:paraId="07054330" w14:textId="162F448A" w:rsidR="0028522C" w:rsidRDefault="004F4132" w:rsidP="0028522C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Վերջին տարիների ընթացքում «ՔոնթուրԳլոբալ Հիդրո Կասկադ» ՓԲԸ-ի կողմից </w:t>
      </w:r>
      <w:r w:rsidR="0043382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բազմաթիվ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գրություններ են ուղարկվել </w:t>
      </w:r>
      <w:r w:rsidR="005259C7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ՀՀ տարածքային կառավարման և ենթակառուցվածքների նախարարություն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</w:t>
      </w:r>
      <w:r w:rsidR="005259C7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ՀՀ հանրային ծառայությունները կարգավորող հանձնաժողով</w:t>
      </w:r>
      <w:r w:rsid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5259C7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առաջարկելով լրացու</w:t>
      </w:r>
      <w:r w:rsidR="003C2FF8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մներ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կատարել 2015թ. հունիսի 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8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-ին</w:t>
      </w:r>
      <w:r w:rsid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Հանրապետության, «Որոտանի հիդրոէլեկտրակայանների համալիր»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ՓԲԸ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«ՔոնթուրԳլոբալ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իդրո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ասկադ»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ՓԲԸ </w:t>
      </w:r>
      <w:r w:rsidR="00C619CA" w:rsidRPr="00550D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(«Գ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նորդ</w:t>
      </w:r>
      <w:r w:rsidR="00C619CA" w:rsidRPr="00550D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և/կամ </w:t>
      </w:r>
      <w:r w:rsidR="00C619CA" w:rsidRPr="00550D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Ընկերություն</w:t>
      </w:r>
      <w:r w:rsidR="00C619CA" w:rsidRPr="00550D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»)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«ՔոնթուրԳլոբալ Տերրա Հոլդինգս Էս-Ա-Էր-Էլ»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բաժնետիրական ընկերության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«Սի-Ջի Սոլյուշնս Գլոբալ Հոլդինգ Ք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մփնի»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ՍՊԸ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ընկերությունների միջև ստորագրված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ույքի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ռուվաճառքի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այմանագրում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(«ԳԱՊ»)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՝ փոփոխելով ԳԱՊ-ի Հավելված Ա-ն (Սակագնային ժամանակացույցը)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</w:t>
      </w:r>
      <w:r w:rsidR="0043382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ՀՀ հ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անրային </w:t>
      </w:r>
      <w:r w:rsidR="0043382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ծ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առայությունները </w:t>
      </w:r>
      <w:r w:rsidR="0043382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արգավորող </w:t>
      </w:r>
      <w:r w:rsidR="0043382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անձնաժողովի</w:t>
      </w:r>
      <w:r w:rsid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710B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(«</w:t>
      </w:r>
      <w:r w:rsid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ՀԾԿՀ</w:t>
      </w:r>
      <w:r w:rsidR="00D710B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»)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կողմից </w:t>
      </w:r>
      <w:r w:rsidR="00A714E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հաստատված </w:t>
      </w:r>
      <w:r w:rsidR="00A714E7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</w:t>
      </w:r>
      <w:r w:rsidR="00A714E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Գնորդի կողմից </w:t>
      </w:r>
      <w:r w:rsidR="00A714E7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կատարված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2313F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ուսումնասիրություններ</w:t>
      </w:r>
      <w:r w:rsidR="00F2533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="00F2313F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հետազոտություններ</w:t>
      </w:r>
      <w:r w:rsidR="00F2533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="00F2313F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նախագծային աշխատանքներ</w:t>
      </w:r>
      <w:r w:rsidR="00F2533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="00F2313F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2533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գծով կապիտալ ծախսերը</w:t>
      </w:r>
      <w:r w:rsidR="005C58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ամբողջությամբ </w:t>
      </w:r>
      <w:r w:rsidR="00C619C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ներառելու</w:t>
      </w:r>
      <w:r w:rsidR="005C58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619CA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ԳԱՊ-ի սակագնային ժամանակացույցով սահմանված հզորության բազային վճարի հաշվարկում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։ </w:t>
      </w:r>
    </w:p>
    <w:p w14:paraId="6CAFEE9E" w14:textId="66DD93C6" w:rsidR="0028522C" w:rsidRDefault="001F2567" w:rsidP="0028522C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Ընկերությունը 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իրականացրել է մի շարք ուսումնասիրություններ, հետազոտություններ և նախագծային աշխատանքներ</w:t>
      </w:r>
      <w:r w:rsidR="00AD149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AD1495" w:rsidRPr="007D3B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(«հետազոտական աշխատանքներ»)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որոնք սահմանված էին ԳԱՊ-ով, ՀՀ օրենսդրությամբ և հաստատվել էին ՀԾ</w:t>
      </w:r>
      <w:r w:rsidR="00537E5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Հ-ի կողմից, սակայն դրանց արդյունքում չեն իրականացվել ներդրումներ կամ իրականացվել են անհամաչափ փոքր ծավալի ներդրումներ՝ ՀՀ կառավարության կամ ՀԾ</w:t>
      </w:r>
      <w:r w:rsidR="00537E5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Հ-ի որոշմամբ դրանք ոչ նպատակահարմար լինելու, կամ ներդրման անհրաժեշտություն չլինելու կամ դրանք հետաձգելու պատճառով։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Վերջինս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դիմել է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ՀՀ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տարածքային կառավարման և ենթակառուցվածքների նախարարություն 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այդպիսի ուսումնասիրությունների, հետազոտությունների և նախագծային աշխատանքների ծախսերը </w:t>
      </w:r>
      <w:r w:rsidR="00537E5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ամբողջությամբ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ներառել</w:t>
      </w:r>
      <w:r w:rsidR="00537E5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ու 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ԳԱՊ-ի սակագնային ժամանակացույցով սահմանված հզորության բազային վճարի հաշվարկում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բացառությամբ, երբ </w:t>
      </w:r>
      <w:r w:rsid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հետագա 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ներդրումը չի իրականացվել Գնորդի նախաձեռնությամբ։</w:t>
      </w:r>
    </w:p>
    <w:p w14:paraId="4BD05232" w14:textId="302841E8" w:rsidR="0028522C" w:rsidRPr="00D710BA" w:rsidRDefault="00D85A6D" w:rsidP="00D710BA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 լրումն, </w:t>
      </w:r>
      <w:r w:rsidR="0028522C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ԳԱՊ-ի տրամաբանությունը կառուցված է այնպես, որ ապահովվի ՀԾԿՀ-ի կողմից ընդունված ներդրումային ծրագրերով Ընկերության կողմից կատարված բոլոր կապիտալ ծախսերի լիարժեք վերադարձ այն հաշվով, որ Ընկերությունը (Գնորդը) կարողանա չեզոքացնել ԳԱՊ համաձայն կատարված </w:t>
      </w:r>
      <w:r w:rsidR="0028522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բոլոր </w:t>
      </w:r>
      <w:r w:rsidR="0028522C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կապիտալ ծախսերը:   </w:t>
      </w:r>
    </w:p>
    <w:p w14:paraId="7EF1C568" w14:textId="33D97F37" w:rsidR="005259C7" w:rsidRPr="00022953" w:rsidRDefault="004F4132" w:rsidP="004F4132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ՀՀ տարածքային կառավարման և ենթակառուցվածքների նախարարություն</w:t>
      </w:r>
      <w:r w:rsidR="003C2FF8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ու Հ</w:t>
      </w:r>
      <w:r w:rsidR="00D710BA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ԾԿՀ</w:t>
      </w:r>
      <w:r w:rsid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-ն</w:t>
      </w: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քննարկել են «ՔոնթուրԳլոբալ Հիդրո Կասկադ» ՓԲԸ-ի կողմից ներկայացված առաջարկությունները և եկել են համաձայնության </w:t>
      </w:r>
      <w:r w:rsidR="003C2FF8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ԳԱՊ</w:t>
      </w: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-ում </w:t>
      </w:r>
      <w:r w:rsidR="003C2FF8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լրացումներ</w:t>
      </w: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կատարելու վերաբերյալ</w:t>
      </w:r>
      <w:r w:rsidR="00DF48D5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որի արդյունքում Ընկերությ</w:t>
      </w:r>
      <w:r w:rsidR="002241A3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="00DF48D5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նը հնարավորություն կընձեռվի ապահովել ԳԱՊ-ով նախատեսված հետազոտական աշխատանքների իրականացման նպատակով կատարված </w:t>
      </w:r>
      <w:r w:rsidR="00AD1495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կապիտալ </w:t>
      </w:r>
      <w:r w:rsidR="00DF48D5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ծախսեր</w:t>
      </w:r>
      <w:r w:rsidR="00F56182"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ամբողջական վերադարձը</w:t>
      </w:r>
      <w:r w:rsidRPr="000229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73864E2A" w14:textId="77777777" w:rsidR="00D85A6D" w:rsidRPr="00D710BA" w:rsidRDefault="00D85A6D" w:rsidP="004F4132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430BE4E1" w14:textId="77777777" w:rsidR="005E25C1" w:rsidRPr="00ED060A" w:rsidRDefault="00314443" w:rsidP="005E25C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Առաջարկվող կարգավորման բնույթը</w:t>
      </w:r>
    </w:p>
    <w:p w14:paraId="24C36FDB" w14:textId="2E652DF6" w:rsidR="00314443" w:rsidRPr="007E32F9" w:rsidRDefault="00314443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Նախագծով առաջարկվում է լրացում</w:t>
      </w:r>
      <w:r w:rsidR="0051560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կատարել 2015թ. հունիսի </w:t>
      </w:r>
      <w:r w:rsidR="00BA2D3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8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-ին Հայաստանի Հանրապետության, «Որոտանի հիդրոէլեկտրակայանների համալիր»</w:t>
      </w:r>
      <w:r w:rsidR="00D85A6D" w:rsidRP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ՓԲԸ</w:t>
      </w:r>
      <w:r w:rsidR="006171B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«ՔոնթուրԳլոբալ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իդրո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ասկադ»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ՓԲԸ</w:t>
      </w:r>
      <w:r w:rsidR="006171B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«ՔոնթուրԳլոբալ Տերրա Հոլդինգս Էս-Ա-Էր-Էլ»</w:t>
      </w:r>
      <w:r w:rsidR="00D85A6D" w:rsidRP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բաժնետիրական ընկերության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«Սի-Ջի Սոլյուշնս Գլոբալ Հոլդինգ Ք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մփնի»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ՍՊԸ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ընկերությունների միջև ստորագրված գույքի առուվաճառքի պայմանագրում՝ փոփոխելով ԳԱՊ-ի Հավելված Ա-ն (Սակագնային ժամանակացույցը)</w:t>
      </w:r>
      <w:r w:rsidR="00C474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որի արդյու</w:t>
      </w:r>
      <w:r w:rsidR="002800E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C474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քում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935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ԳԱՊ-ով, ՀՀ օրենսդրությամբ </w:t>
      </w:r>
      <w:r w:rsidR="001829B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սահմանված, </w:t>
      </w:r>
      <w:r w:rsidR="00C474E8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ՀԾ</w:t>
      </w:r>
      <w:r w:rsidR="0006473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</w:t>
      </w:r>
      <w:r w:rsidR="00C474E8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 կողմից </w:t>
      </w:r>
      <w:r w:rsidR="00D5380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հաստատված </w:t>
      </w:r>
      <w:r w:rsidR="00A354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</w:t>
      </w:r>
      <w:r w:rsidR="00A35474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Գնորդի կողմից </w:t>
      </w:r>
      <w:r w:rsidR="00A354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իրականացված</w:t>
      </w:r>
      <w:r w:rsidR="00C474E8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F48D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հետազոտական աշխատանքների ուղղությամբ իրականացված </w:t>
      </w:r>
      <w:r w:rsidR="006C046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կապիտալ </w:t>
      </w:r>
      <w:r w:rsidR="00DF48D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ծախսերը</w:t>
      </w:r>
      <w:r w:rsidR="00D85A6D" w:rsidRPr="00D710BA" w:rsidDel="00DA7A4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B96D2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ամբողջությամբ </w:t>
      </w:r>
      <w:r w:rsidR="00C474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կներառվեն </w:t>
      </w:r>
      <w:r w:rsidR="00D85A6D" w:rsidRP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ԳԱՊ-ի սակագնային ժամանակացույցով սահմանված հզորության բազային վճարի հաշվարկում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։ </w:t>
      </w:r>
    </w:p>
    <w:p w14:paraId="77EAB51A" w14:textId="77777777" w:rsidR="00314443" w:rsidRPr="005E25C1" w:rsidRDefault="00314443" w:rsidP="005E25C1">
      <w:pPr>
        <w:spacing w:line="276" w:lineRule="auto"/>
        <w:ind w:firstLine="450"/>
        <w:jc w:val="both"/>
        <w:rPr>
          <w:rFonts w:ascii="Sylfaen" w:hAnsi="Sylfaen"/>
          <w:sz w:val="24"/>
          <w:szCs w:val="24"/>
          <w:lang w:val="hy-AM"/>
        </w:rPr>
      </w:pPr>
    </w:p>
    <w:p w14:paraId="77C820DF" w14:textId="53A1FE1A" w:rsidR="005E25C1" w:rsidRPr="00ED060A" w:rsidRDefault="00314443" w:rsidP="00ED060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Նախագծի մշակման գործընթացում ներգրավված ինստիտուտները, անձինք և նրանց դիրքորոշումը </w:t>
      </w:r>
    </w:p>
    <w:p w14:paraId="778BA6C3" w14:textId="172D2506" w:rsidR="00314443" w:rsidRPr="00ED060A" w:rsidRDefault="00314443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C474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ՀՀ 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տարածքային</w:t>
      </w:r>
      <w:r w:rsidR="005E25C1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կառավարման և ենթակառուցվածքների նախարարության կողմից:</w:t>
      </w:r>
      <w:r w:rsidR="00BA2D3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0F6F56BD" w14:textId="77777777" w:rsidR="00314443" w:rsidRPr="00ED060A" w:rsidRDefault="00314443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1A52CD66" w14:textId="759E7959" w:rsidR="005E25C1" w:rsidRPr="006C0463" w:rsidRDefault="00314443" w:rsidP="005E25C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6C046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Ակնկալվող արդյունքը</w:t>
      </w:r>
    </w:p>
    <w:p w14:paraId="0E310132" w14:textId="7AA1094F" w:rsidR="00314443" w:rsidRPr="00ED060A" w:rsidRDefault="00AD1495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1821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</w:t>
      </w:r>
      <w:r w:rsidR="00182137"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ույքի առուվաճառքի պայմանագրում</w:t>
      </w:r>
      <w:r w:rsidR="00182137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821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3C2FF8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ԳԱՊ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1821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լրացումներ կատարելու մասին համաձայնագրին հավանություն տալու մասին» ՀՀ կառավարության որոշման նախագծի ընդունումը հնարավորություն կտա չեզոքացնել Ընկերության համար </w:t>
      </w:r>
      <w:r w:rsidR="006C046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հետազոտական աշխատանքների ուղղությամբ իրականացված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կապիտալ ծախսերի</w:t>
      </w:r>
      <w:r w:rsidR="00D710B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վերադարձման 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բացասական ռիսկերը, կապահովի </w:t>
      </w:r>
      <w:r w:rsidR="00D85A6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հետագա ներդրումների իրականացումը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09078A13" w14:textId="77777777" w:rsidR="00314443" w:rsidRPr="00327974" w:rsidRDefault="00314443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080FD73A" w14:textId="2BA7D5C7" w:rsidR="005E25C1" w:rsidRPr="00ED060A" w:rsidRDefault="00314443" w:rsidP="005E25C1">
      <w:pPr>
        <w:pStyle w:val="ListParagraph"/>
        <w:numPr>
          <w:ilvl w:val="0"/>
          <w:numId w:val="2"/>
        </w:numPr>
        <w:spacing w:line="276" w:lineRule="auto"/>
        <w:ind w:left="0" w:firstLine="45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Տեղեկատվություն լրացուցիչ ֆինա</w:t>
      </w:r>
      <w:r w:rsidR="00BA2D3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</w:t>
      </w: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սական միջոցների անհրաժեշտության և պետական բյուջեի եկամուտներում և ծախսերում սպասվելիք փոփոխությունների մասին</w:t>
      </w:r>
    </w:p>
    <w:p w14:paraId="5AA7644F" w14:textId="0EEF1ED4" w:rsidR="00314443" w:rsidRPr="00ED060A" w:rsidRDefault="00E85C9D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«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ույքի առուվաճառքի պայմանագրում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«ԳԱՊ»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լրացումներ կատարելու մասին համաձայնագրին հավանություն տալու մասին» ՀՀ կառավարության որոշման նախագծի 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ընդունման կապակցությամբ լրացուցիչ ֆինանսական միջոցների անհրաժեշտություն, պետական բյուջեի եկամուտներում և ծախսերում  փոփոխություններ չի նախատեսվում։</w:t>
      </w:r>
    </w:p>
    <w:p w14:paraId="62C0086F" w14:textId="77777777" w:rsidR="00314443" w:rsidRPr="005E25C1" w:rsidRDefault="00314443" w:rsidP="005E25C1">
      <w:pPr>
        <w:spacing w:line="276" w:lineRule="auto"/>
        <w:ind w:firstLine="450"/>
        <w:jc w:val="both"/>
        <w:rPr>
          <w:rFonts w:ascii="Sylfaen" w:hAnsi="Sylfaen"/>
          <w:sz w:val="24"/>
          <w:szCs w:val="24"/>
          <w:lang w:val="hy-AM"/>
        </w:rPr>
      </w:pPr>
    </w:p>
    <w:p w14:paraId="74239389" w14:textId="39185286" w:rsidR="005E25C1" w:rsidRPr="00ED060A" w:rsidRDefault="00314443" w:rsidP="005E25C1">
      <w:pPr>
        <w:pStyle w:val="ListParagraph"/>
        <w:numPr>
          <w:ilvl w:val="0"/>
          <w:numId w:val="2"/>
        </w:numPr>
        <w:spacing w:line="276" w:lineRule="auto"/>
        <w:ind w:left="0" w:firstLine="45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EED4DC1" w14:textId="067E59B3" w:rsidR="00314443" w:rsidRPr="00ED060A" w:rsidRDefault="00E85C9D" w:rsidP="005E25C1">
      <w:pPr>
        <w:spacing w:line="276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</w:t>
      </w:r>
      <w:r w:rsidRPr="007E32F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ույքի առուվաճառքի պայմանագրում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«ԳԱՊ»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լրացումներ կատարելու մասին համաձայնագրին հավանություն տալու մասին» ՀՀ կառավարության որոշման 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նախագիծը </w:t>
      </w:r>
      <w:r w:rsid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բխում է «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այաստանի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անրապետության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էներգետիկայի բնագավառի զարգացման ռազմավարական ծրագրին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մինչ</w:t>
      </w:r>
      <w:r w:rsid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2040 թվականը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), </w:t>
      </w:r>
      <w:r w:rsid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այաստանի </w:t>
      </w:r>
      <w:r w:rsid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անրապետության էներգետիկայի բնագավառի զարգացման ռազմավարական ծրագրի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մինչ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2040 թվականը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իրագործումն ապահովող ծրագիր-ժամանակացույցին հավանություն տալու 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այաստանի 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4A0527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անրապետության կառավարության մի շարք որոշումներ ուժը կորցրած ճանաչելու մասին</w:t>
      </w:r>
      <w:r w:rsid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CB796B" w:rsidRPr="00CB796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ՀՀ կառավարության 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2021 թվականի հունվարի 14-ի</w:t>
      </w:r>
      <w:r w:rsidR="00CB796B" w:rsidRP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№48-Լ որոշ</w:t>
      </w:r>
      <w:r w:rsidR="004A052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ումից</w:t>
      </w:r>
      <w:r w:rsidR="00314443" w:rsidRPr="00ED060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7B8A0072" w14:textId="77777777" w:rsidR="00F12C76" w:rsidRPr="005E25C1" w:rsidRDefault="00F12C76" w:rsidP="005E25C1">
      <w:pPr>
        <w:spacing w:line="276" w:lineRule="auto"/>
        <w:ind w:firstLine="450"/>
        <w:jc w:val="both"/>
        <w:rPr>
          <w:rFonts w:ascii="Sylfaen" w:hAnsi="Sylfaen"/>
          <w:sz w:val="24"/>
          <w:szCs w:val="24"/>
          <w:lang w:val="hy-AM"/>
        </w:rPr>
      </w:pPr>
    </w:p>
    <w:sectPr w:rsidR="00F12C76" w:rsidRPr="005E25C1" w:rsidSect="005E25C1">
      <w:footerReference w:type="default" r:id="rId10"/>
      <w:pgSz w:w="11906" w:h="16838" w:code="9"/>
      <w:pgMar w:top="1134" w:right="1016" w:bottom="990" w:left="1170" w:header="709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D622" w14:textId="77777777" w:rsidR="006B39EB" w:rsidRDefault="006B39EB" w:rsidP="005E25C1">
      <w:pPr>
        <w:spacing w:after="0"/>
      </w:pPr>
      <w:r>
        <w:separator/>
      </w:r>
    </w:p>
  </w:endnote>
  <w:endnote w:type="continuationSeparator" w:id="0">
    <w:p w14:paraId="25EB7F18" w14:textId="77777777" w:rsidR="006B39EB" w:rsidRDefault="006B39EB" w:rsidP="005E25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Sylfaen" w:hAnsi="Sylfaen"/>
        <w:sz w:val="20"/>
        <w:szCs w:val="20"/>
      </w:rPr>
      <w:id w:val="1107203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B09562" w14:textId="5E9BCF8E" w:rsidR="005E25C1" w:rsidRPr="005E25C1" w:rsidRDefault="005E25C1">
        <w:pPr>
          <w:pStyle w:val="Footer"/>
          <w:jc w:val="center"/>
          <w:rPr>
            <w:rFonts w:ascii="Sylfaen" w:hAnsi="Sylfaen"/>
            <w:sz w:val="20"/>
            <w:szCs w:val="20"/>
          </w:rPr>
        </w:pPr>
        <w:r w:rsidRPr="005E25C1">
          <w:rPr>
            <w:rFonts w:ascii="Sylfaen" w:hAnsi="Sylfaen"/>
            <w:sz w:val="20"/>
            <w:szCs w:val="20"/>
          </w:rPr>
          <w:fldChar w:fldCharType="begin"/>
        </w:r>
        <w:r w:rsidRPr="005E25C1">
          <w:rPr>
            <w:rFonts w:ascii="Sylfaen" w:hAnsi="Sylfaen"/>
            <w:sz w:val="20"/>
            <w:szCs w:val="20"/>
          </w:rPr>
          <w:instrText xml:space="preserve"> PAGE   \* MERGEFORMAT </w:instrText>
        </w:r>
        <w:r w:rsidRPr="005E25C1">
          <w:rPr>
            <w:rFonts w:ascii="Sylfaen" w:hAnsi="Sylfaen"/>
            <w:sz w:val="20"/>
            <w:szCs w:val="20"/>
          </w:rPr>
          <w:fldChar w:fldCharType="separate"/>
        </w:r>
        <w:r w:rsidRPr="005E25C1">
          <w:rPr>
            <w:rFonts w:ascii="Sylfaen" w:hAnsi="Sylfaen"/>
            <w:noProof/>
            <w:sz w:val="20"/>
            <w:szCs w:val="20"/>
          </w:rPr>
          <w:t>2</w:t>
        </w:r>
        <w:r w:rsidRPr="005E25C1">
          <w:rPr>
            <w:rFonts w:ascii="Sylfaen" w:hAnsi="Sylfaen"/>
            <w:noProof/>
            <w:sz w:val="20"/>
            <w:szCs w:val="20"/>
          </w:rPr>
          <w:fldChar w:fldCharType="end"/>
        </w:r>
      </w:p>
    </w:sdtContent>
  </w:sdt>
  <w:p w14:paraId="4AC32B0E" w14:textId="77777777" w:rsidR="005E25C1" w:rsidRPr="005E25C1" w:rsidRDefault="005E25C1">
    <w:pPr>
      <w:pStyle w:val="Footer"/>
      <w:rPr>
        <w:rFonts w:ascii="Sylfaen" w:hAnsi="Sylfae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37FA7" w14:textId="77777777" w:rsidR="006B39EB" w:rsidRDefault="006B39EB" w:rsidP="005E25C1">
      <w:pPr>
        <w:spacing w:after="0"/>
      </w:pPr>
      <w:r>
        <w:separator/>
      </w:r>
    </w:p>
  </w:footnote>
  <w:footnote w:type="continuationSeparator" w:id="0">
    <w:p w14:paraId="3095BE14" w14:textId="77777777" w:rsidR="006B39EB" w:rsidRDefault="006B39EB" w:rsidP="005E25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5AE3"/>
    <w:multiLevelType w:val="hybridMultilevel"/>
    <w:tmpl w:val="7EF4C522"/>
    <w:lvl w:ilvl="0" w:tplc="EECA52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9C701A0"/>
    <w:multiLevelType w:val="hybridMultilevel"/>
    <w:tmpl w:val="6ADCF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212322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5983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43"/>
    <w:rsid w:val="00022953"/>
    <w:rsid w:val="00064739"/>
    <w:rsid w:val="00080D57"/>
    <w:rsid w:val="001313D8"/>
    <w:rsid w:val="001418FA"/>
    <w:rsid w:val="00155AE5"/>
    <w:rsid w:val="00182137"/>
    <w:rsid w:val="001829B0"/>
    <w:rsid w:val="00193582"/>
    <w:rsid w:val="001A1319"/>
    <w:rsid w:val="001F2567"/>
    <w:rsid w:val="0020459C"/>
    <w:rsid w:val="002241A3"/>
    <w:rsid w:val="002800E1"/>
    <w:rsid w:val="0028522C"/>
    <w:rsid w:val="00314443"/>
    <w:rsid w:val="003209A1"/>
    <w:rsid w:val="00327974"/>
    <w:rsid w:val="003C289A"/>
    <w:rsid w:val="003C2FF8"/>
    <w:rsid w:val="003D012B"/>
    <w:rsid w:val="0042787D"/>
    <w:rsid w:val="0043382D"/>
    <w:rsid w:val="0049797E"/>
    <w:rsid w:val="004A0527"/>
    <w:rsid w:val="004E4449"/>
    <w:rsid w:val="004F4132"/>
    <w:rsid w:val="00507C2A"/>
    <w:rsid w:val="00515600"/>
    <w:rsid w:val="005259C7"/>
    <w:rsid w:val="00527CE5"/>
    <w:rsid w:val="00537E59"/>
    <w:rsid w:val="00561F5C"/>
    <w:rsid w:val="005C58F9"/>
    <w:rsid w:val="005E25C1"/>
    <w:rsid w:val="005F5079"/>
    <w:rsid w:val="006146FD"/>
    <w:rsid w:val="00616E54"/>
    <w:rsid w:val="006171B2"/>
    <w:rsid w:val="00640507"/>
    <w:rsid w:val="00644817"/>
    <w:rsid w:val="00665D92"/>
    <w:rsid w:val="0067614B"/>
    <w:rsid w:val="00686DD3"/>
    <w:rsid w:val="006B177B"/>
    <w:rsid w:val="006B39EB"/>
    <w:rsid w:val="006B41C4"/>
    <w:rsid w:val="006C0463"/>
    <w:rsid w:val="006C0B77"/>
    <w:rsid w:val="006C3D51"/>
    <w:rsid w:val="006C51F3"/>
    <w:rsid w:val="00710422"/>
    <w:rsid w:val="00741B84"/>
    <w:rsid w:val="007C2C81"/>
    <w:rsid w:val="007D3B80"/>
    <w:rsid w:val="007E32F9"/>
    <w:rsid w:val="0081149E"/>
    <w:rsid w:val="008242FF"/>
    <w:rsid w:val="00870751"/>
    <w:rsid w:val="00922C48"/>
    <w:rsid w:val="00927884"/>
    <w:rsid w:val="009460C6"/>
    <w:rsid w:val="009F675A"/>
    <w:rsid w:val="00A2779B"/>
    <w:rsid w:val="00A316FE"/>
    <w:rsid w:val="00A32F79"/>
    <w:rsid w:val="00A35474"/>
    <w:rsid w:val="00A714E7"/>
    <w:rsid w:val="00AA32EE"/>
    <w:rsid w:val="00AB2572"/>
    <w:rsid w:val="00AD1495"/>
    <w:rsid w:val="00B22D62"/>
    <w:rsid w:val="00B868B6"/>
    <w:rsid w:val="00B915B7"/>
    <w:rsid w:val="00B96D20"/>
    <w:rsid w:val="00BA2D34"/>
    <w:rsid w:val="00C474E8"/>
    <w:rsid w:val="00C619CA"/>
    <w:rsid w:val="00C656DF"/>
    <w:rsid w:val="00C67062"/>
    <w:rsid w:val="00CB796B"/>
    <w:rsid w:val="00D20E13"/>
    <w:rsid w:val="00D51618"/>
    <w:rsid w:val="00D53809"/>
    <w:rsid w:val="00D710BA"/>
    <w:rsid w:val="00D85A6D"/>
    <w:rsid w:val="00D91AF4"/>
    <w:rsid w:val="00DA5208"/>
    <w:rsid w:val="00DC0755"/>
    <w:rsid w:val="00DF48D5"/>
    <w:rsid w:val="00E33874"/>
    <w:rsid w:val="00E85C9D"/>
    <w:rsid w:val="00E93148"/>
    <w:rsid w:val="00EA59DF"/>
    <w:rsid w:val="00ED060A"/>
    <w:rsid w:val="00EE4070"/>
    <w:rsid w:val="00F106B9"/>
    <w:rsid w:val="00F12C76"/>
    <w:rsid w:val="00F2313F"/>
    <w:rsid w:val="00F25333"/>
    <w:rsid w:val="00F3072F"/>
    <w:rsid w:val="00F52FB5"/>
    <w:rsid w:val="00F56182"/>
    <w:rsid w:val="00F9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A1F676"/>
  <w15:chartTrackingRefBased/>
  <w15:docId w15:val="{6B966DE0-0580-4890-AF39-44EBB76B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44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4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44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4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4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4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4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4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4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44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4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44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44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44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44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44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44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44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144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4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4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4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44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3144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44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44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44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314443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E25C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E25C1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5E25C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E25C1"/>
    <w:rPr>
      <w:rFonts w:ascii="Times New Roman" w:hAnsi="Times New Roman"/>
      <w:sz w:val="28"/>
    </w:rPr>
  </w:style>
  <w:style w:type="paragraph" w:styleId="Revision">
    <w:name w:val="Revision"/>
    <w:hidden/>
    <w:uiPriority w:val="99"/>
    <w:semiHidden/>
    <w:rsid w:val="00C619C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paragraph">
    <w:name w:val="paragraph"/>
    <w:basedOn w:val="Normal"/>
    <w:rsid w:val="0028522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normaltextrun">
    <w:name w:val="normaltextrun"/>
    <w:basedOn w:val="DefaultParagraphFont"/>
    <w:rsid w:val="0028522C"/>
  </w:style>
  <w:style w:type="character" w:customStyle="1" w:styleId="eop">
    <w:name w:val="eop"/>
    <w:basedOn w:val="DefaultParagraphFont"/>
    <w:rsid w:val="0028522C"/>
  </w:style>
  <w:style w:type="character" w:customStyle="1" w:styleId="spellingerror">
    <w:name w:val="spellingerror"/>
    <w:basedOn w:val="DefaultParagraphFont"/>
    <w:rsid w:val="0028522C"/>
  </w:style>
  <w:style w:type="paragraph" w:styleId="FootnoteText">
    <w:name w:val="footnote text"/>
    <w:basedOn w:val="Normal"/>
    <w:link w:val="FootnoteTextChar"/>
    <w:uiPriority w:val="99"/>
    <w:semiHidden/>
    <w:unhideWhenUsed/>
    <w:rsid w:val="006146FD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6FD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46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983f65-1346-4b2c-9cd9-e9b02438f755">
      <Terms xmlns="http://schemas.microsoft.com/office/infopath/2007/PartnerControls"/>
    </lcf76f155ced4ddcb4097134ff3c332f>
    <TaxCatchAll xmlns="16fdead5-847f-40cd-a191-6d378f6a8a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E61D54E9970498AD6B53CB994FBCA" ma:contentTypeVersion="12" ma:contentTypeDescription="Create a new document." ma:contentTypeScope="" ma:versionID="b16e338b748a17ff03cb03d5f9cb7d7e">
  <xsd:schema xmlns:xsd="http://www.w3.org/2001/XMLSchema" xmlns:xs="http://www.w3.org/2001/XMLSchema" xmlns:p="http://schemas.microsoft.com/office/2006/metadata/properties" xmlns:ns2="9e983f65-1346-4b2c-9cd9-e9b02438f755" xmlns:ns3="16fdead5-847f-40cd-a191-6d378f6a8a9e" targetNamespace="http://schemas.microsoft.com/office/2006/metadata/properties" ma:root="true" ma:fieldsID="41479eae803901e061c99b5c654ec485" ns2:_="" ns3:_="">
    <xsd:import namespace="9e983f65-1346-4b2c-9cd9-e9b02438f755"/>
    <xsd:import namespace="16fdead5-847f-40cd-a191-6d378f6a8a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83f65-1346-4b2c-9cd9-e9b02438f7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854ee31-f20b-457d-bc10-1c3438a311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dead5-847f-40cd-a191-6d378f6a8a9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7a73627-0896-4180-a627-1c47771a827c}" ma:internalName="TaxCatchAll" ma:showField="CatchAllData" ma:web="16fdead5-847f-40cd-a191-6d378f6a8a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E5303F-A790-40A8-9BC2-B3055B92D4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32368F-5D69-4A38-A826-A9751F3F378C}">
  <ds:schemaRefs>
    <ds:schemaRef ds:uri="http://schemas.microsoft.com/office/2006/metadata/properties"/>
    <ds:schemaRef ds:uri="http://schemas.microsoft.com/office/infopath/2007/PartnerControls"/>
    <ds:schemaRef ds:uri="9e983f65-1346-4b2c-9cd9-e9b02438f755"/>
    <ds:schemaRef ds:uri="16fdead5-847f-40cd-a191-6d378f6a8a9e"/>
  </ds:schemaRefs>
</ds:datastoreItem>
</file>

<file path=customXml/itemProps3.xml><?xml version="1.0" encoding="utf-8"?>
<ds:datastoreItem xmlns:ds="http://schemas.openxmlformats.org/officeDocument/2006/customXml" ds:itemID="{3952AC3E-2E1C-4713-BA14-B7250F5853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83f65-1346-4b2c-9cd9-e9b02438f755"/>
    <ds:schemaRef ds:uri="16fdead5-847f-40cd-a191-6d378f6a8a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d389b42-7235-4eda-a2bd-ac2b2ffe4718}" enabled="0" method="" siteId="{bd389b42-7235-4eda-a2bd-ac2b2ffe471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</dc:creator>
  <cp:keywords>https:/mul2-mta.gov.am/tasks/2003805/oneclick?token=68f9e9ff57e35b7e8893e18f1aa72c53</cp:keywords>
  <dc:description/>
  <cp:lastModifiedBy>Karen Hovsepyan</cp:lastModifiedBy>
  <cp:revision>8</cp:revision>
  <dcterms:created xsi:type="dcterms:W3CDTF">2026-02-09T10:49:00Z</dcterms:created>
  <dcterms:modified xsi:type="dcterms:W3CDTF">2026-02-09T11:21:00Z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0x010100E08E61D54E9970498AD6B53CB994FBCA</vt:lpwstr>
  </property>
  <property fmtid="{D5CDD505-2E9C-101B-9397-08002B2CF9AE}" pid="3" name="MediaServiceImageTags">
    <vt:lpwstr/>
  </property>
</Properties>
</file>