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227" w:rsidRPr="008645CC" w:rsidRDefault="00730227" w:rsidP="00730227">
      <w:pPr>
        <w:pStyle w:val="NormalWeb"/>
        <w:shd w:val="clear" w:color="auto" w:fill="FFFFFF"/>
        <w:spacing w:before="0" w:beforeAutospacing="0" w:after="0" w:afterAutospacing="0"/>
        <w:ind w:firstLine="375"/>
        <w:jc w:val="right"/>
        <w:rPr>
          <w:rFonts w:ascii="GHEA Grapalat" w:hAnsi="GHEA Grapalat" w:cs="Arial"/>
          <w:b/>
          <w:i/>
          <w:color w:val="333333"/>
          <w:sz w:val="22"/>
          <w:szCs w:val="22"/>
          <w:u w:val="single"/>
          <w:lang w:val="hy-AM"/>
        </w:rPr>
      </w:pPr>
      <w:r w:rsidRPr="008645CC">
        <w:rPr>
          <w:rFonts w:ascii="GHEA Grapalat" w:hAnsi="GHEA Grapalat" w:cs="Arial"/>
          <w:b/>
          <w:i/>
          <w:color w:val="333333"/>
          <w:sz w:val="22"/>
          <w:szCs w:val="22"/>
          <w:u w:val="single"/>
          <w:lang w:val="hy-AM"/>
        </w:rPr>
        <w:t>ՏԵՂԵԿԱՆՔ</w:t>
      </w:r>
      <w:r>
        <w:rPr>
          <w:rFonts w:ascii="GHEA Grapalat" w:hAnsi="GHEA Grapalat" w:cs="Arial"/>
          <w:b/>
          <w:i/>
          <w:color w:val="333333"/>
          <w:sz w:val="22"/>
          <w:szCs w:val="22"/>
          <w:u w:val="single"/>
          <w:lang w:val="hy-AM"/>
        </w:rPr>
        <w:t xml:space="preserve"> </w:t>
      </w:r>
      <w:r w:rsidRPr="008645CC">
        <w:rPr>
          <w:rFonts w:ascii="GHEA Grapalat" w:hAnsi="GHEA Grapalat" w:cs="Arial"/>
          <w:b/>
          <w:i/>
          <w:color w:val="333333"/>
          <w:sz w:val="22"/>
          <w:szCs w:val="22"/>
          <w:u w:val="single"/>
          <w:lang w:val="hy-AM"/>
        </w:rPr>
        <w:t>ՓՈՓՈԽՎՈՂ</w:t>
      </w:r>
      <w:r>
        <w:rPr>
          <w:rFonts w:ascii="GHEA Grapalat" w:hAnsi="GHEA Grapalat" w:cs="Arial"/>
          <w:b/>
          <w:i/>
          <w:color w:val="333333"/>
          <w:sz w:val="22"/>
          <w:szCs w:val="22"/>
          <w:u w:val="single"/>
          <w:lang w:val="hy-AM"/>
        </w:rPr>
        <w:t xml:space="preserve"> </w:t>
      </w:r>
      <w:r w:rsidRPr="008645CC">
        <w:rPr>
          <w:rFonts w:ascii="GHEA Grapalat" w:hAnsi="GHEA Grapalat" w:cs="Arial"/>
          <w:b/>
          <w:i/>
          <w:color w:val="333333"/>
          <w:sz w:val="22"/>
          <w:szCs w:val="22"/>
          <w:u w:val="single"/>
          <w:lang w:val="hy-AM"/>
        </w:rPr>
        <w:t>ՀՈԴՎԱԾՆԵՐԻ</w:t>
      </w:r>
      <w:r>
        <w:rPr>
          <w:rFonts w:ascii="GHEA Grapalat" w:hAnsi="GHEA Grapalat" w:cs="Arial"/>
          <w:b/>
          <w:i/>
          <w:color w:val="333333"/>
          <w:sz w:val="22"/>
          <w:szCs w:val="22"/>
          <w:u w:val="single"/>
          <w:lang w:val="hy-AM"/>
        </w:rPr>
        <w:t xml:space="preserve"> </w:t>
      </w:r>
      <w:r w:rsidRPr="008645CC">
        <w:rPr>
          <w:rFonts w:ascii="GHEA Grapalat" w:hAnsi="GHEA Grapalat" w:cs="Arial"/>
          <w:b/>
          <w:i/>
          <w:color w:val="333333"/>
          <w:sz w:val="22"/>
          <w:szCs w:val="22"/>
          <w:u w:val="single"/>
          <w:lang w:val="hy-AM"/>
        </w:rPr>
        <w:t>ՎԵՐԱԲԵՐՅԱԼ</w:t>
      </w:r>
    </w:p>
    <w:p w:rsidR="00A760F2" w:rsidRDefault="00A760F2" w:rsidP="00A760F2">
      <w:pPr>
        <w:pStyle w:val="NormalWeb"/>
        <w:shd w:val="clear" w:color="auto" w:fill="FFFFFF"/>
        <w:spacing w:before="0" w:beforeAutospacing="0" w:after="0" w:afterAutospacing="0"/>
        <w:ind w:firstLine="375"/>
        <w:jc w:val="center"/>
        <w:rPr>
          <w:rStyle w:val="Strong"/>
          <w:rFonts w:ascii="Arial" w:hAnsi="Arial" w:cs="Arial"/>
          <w:color w:val="333333"/>
          <w:sz w:val="27"/>
          <w:szCs w:val="27"/>
        </w:rPr>
      </w:pPr>
    </w:p>
    <w:p w:rsidR="00A760F2" w:rsidRDefault="00A760F2" w:rsidP="00A760F2">
      <w:pPr>
        <w:pStyle w:val="NormalWeb"/>
        <w:shd w:val="clear" w:color="auto" w:fill="FFFFFF"/>
        <w:spacing w:before="0" w:beforeAutospacing="0" w:after="0" w:afterAutospacing="0"/>
        <w:rPr>
          <w:rStyle w:val="Strong"/>
          <w:rFonts w:ascii="GHEA Grapalat" w:hAnsi="GHEA Grapalat" w:cs="Arial"/>
          <w:color w:val="333333"/>
          <w:sz w:val="27"/>
          <w:szCs w:val="27"/>
        </w:rPr>
      </w:pPr>
    </w:p>
    <w:p w:rsidR="00A760F2" w:rsidRDefault="00A760F2" w:rsidP="00A760F2">
      <w:pPr>
        <w:pStyle w:val="NormalWeb"/>
        <w:shd w:val="clear" w:color="auto" w:fill="FFFFFF"/>
        <w:spacing w:before="0" w:beforeAutospacing="0" w:after="0" w:afterAutospacing="0"/>
        <w:ind w:firstLine="375"/>
        <w:jc w:val="center"/>
      </w:pPr>
      <w:r>
        <w:rPr>
          <w:rStyle w:val="Strong"/>
          <w:rFonts w:ascii="GHEA Grapalat" w:hAnsi="GHEA Grapalat" w:cs="Arial"/>
          <w:color w:val="333333"/>
        </w:rPr>
        <w:t>ՀԱՅԱՍՏԱՆԻ ՀԱՆՐԱՊԵՏՈՒԹՅԱՆ</w:t>
      </w:r>
    </w:p>
    <w:p w:rsidR="00A760F2" w:rsidRDefault="00A760F2" w:rsidP="00A760F2">
      <w:pPr>
        <w:pStyle w:val="NormalWeb"/>
        <w:shd w:val="clear" w:color="auto" w:fill="FFFFFF"/>
        <w:spacing w:before="0" w:beforeAutospacing="0" w:after="0" w:afterAutospacing="0"/>
        <w:jc w:val="center"/>
        <w:rPr>
          <w:rFonts w:ascii="GHEA Grapalat" w:hAnsi="GHEA Grapalat" w:cs="Arial"/>
          <w:color w:val="333333"/>
        </w:rPr>
      </w:pPr>
      <w:r>
        <w:rPr>
          <w:rFonts w:ascii="Calibri" w:hAnsi="Calibri" w:cs="Calibri"/>
          <w:color w:val="333333"/>
        </w:rPr>
        <w:t> </w:t>
      </w:r>
    </w:p>
    <w:p w:rsidR="00A760F2" w:rsidRDefault="00A760F2" w:rsidP="00A760F2">
      <w:pPr>
        <w:pStyle w:val="NormalWeb"/>
        <w:spacing w:before="0" w:beforeAutospacing="0" w:after="0" w:afterAutospacing="0"/>
        <w:jc w:val="center"/>
        <w:rPr>
          <w:rFonts w:ascii="GHEA Grapalat" w:hAnsi="GHEA Grapalat" w:cs="Arial"/>
          <w:color w:val="333333"/>
          <w:shd w:val="clear" w:color="auto" w:fill="FFFFFF"/>
        </w:rPr>
      </w:pPr>
      <w:r>
        <w:rPr>
          <w:rFonts w:ascii="GHEA Grapalat" w:hAnsi="GHEA Grapalat" w:cs="Arial"/>
          <w:b/>
          <w:bCs/>
          <w:color w:val="333333"/>
          <w:shd w:val="clear" w:color="auto" w:fill="FFFFFF"/>
        </w:rPr>
        <w:t>Օ Ր Ե Ն Ք Ը</w:t>
      </w:r>
    </w:p>
    <w:p w:rsidR="00A760F2" w:rsidRDefault="00A760F2" w:rsidP="00A760F2">
      <w:pPr>
        <w:pStyle w:val="NormalWeb"/>
        <w:shd w:val="clear" w:color="auto" w:fill="FFFFFF"/>
        <w:spacing w:before="0" w:beforeAutospacing="0" w:after="0" w:afterAutospacing="0"/>
        <w:ind w:firstLine="375"/>
        <w:jc w:val="right"/>
        <w:rPr>
          <w:rFonts w:ascii="GHEA Grapalat" w:hAnsi="GHEA Grapalat" w:cs="Arial"/>
          <w:color w:val="333333"/>
        </w:rPr>
      </w:pPr>
      <w:r>
        <w:rPr>
          <w:rFonts w:ascii="Calibri" w:hAnsi="Calibri" w:cs="Calibri"/>
          <w:color w:val="333333"/>
        </w:rPr>
        <w:t> </w:t>
      </w:r>
    </w:p>
    <w:p w:rsidR="00A760F2" w:rsidRDefault="00A760F2" w:rsidP="00A760F2">
      <w:pPr>
        <w:pStyle w:val="NormalWeb"/>
        <w:shd w:val="clear" w:color="auto" w:fill="FFFFFF"/>
        <w:spacing w:before="0" w:beforeAutospacing="0" w:after="0" w:afterAutospacing="0"/>
        <w:ind w:firstLine="375"/>
        <w:jc w:val="right"/>
        <w:rPr>
          <w:rFonts w:ascii="GHEA Grapalat" w:hAnsi="GHEA Grapalat" w:cs="Arial"/>
          <w:color w:val="333333"/>
        </w:rPr>
      </w:pPr>
      <w:r>
        <w:rPr>
          <w:rFonts w:ascii="GHEA Grapalat" w:hAnsi="GHEA Grapalat" w:cs="Arial"/>
          <w:b/>
          <w:bCs/>
          <w:color w:val="333333"/>
        </w:rPr>
        <w:t>Ընդունված է 2025 թվականի սեպտեմբերի 11-ին</w:t>
      </w:r>
    </w:p>
    <w:p w:rsidR="00A760F2" w:rsidRDefault="00A760F2" w:rsidP="00A760F2">
      <w:pPr>
        <w:pStyle w:val="NormalWeb"/>
        <w:shd w:val="clear" w:color="auto" w:fill="FFFFFF"/>
        <w:spacing w:before="0" w:beforeAutospacing="0" w:after="0" w:afterAutospacing="0"/>
        <w:ind w:firstLine="375"/>
        <w:jc w:val="right"/>
        <w:rPr>
          <w:rFonts w:ascii="GHEA Grapalat" w:hAnsi="GHEA Grapalat" w:cs="Arial"/>
          <w:color w:val="333333"/>
        </w:rPr>
      </w:pPr>
      <w:r>
        <w:rPr>
          <w:rFonts w:ascii="Calibri" w:hAnsi="Calibri" w:cs="Calibri"/>
          <w:color w:val="333333"/>
        </w:rPr>
        <w:t> </w:t>
      </w:r>
    </w:p>
    <w:p w:rsidR="00A760F2" w:rsidRDefault="00A760F2" w:rsidP="00A760F2">
      <w:pPr>
        <w:pStyle w:val="NormalWeb"/>
        <w:shd w:val="clear" w:color="auto" w:fill="FFFFFF"/>
        <w:spacing w:before="0" w:beforeAutospacing="0" w:after="0" w:afterAutospacing="0"/>
        <w:jc w:val="center"/>
        <w:rPr>
          <w:rFonts w:ascii="GHEA Grapalat" w:hAnsi="GHEA Grapalat" w:cs="Arial"/>
          <w:color w:val="333333"/>
        </w:rPr>
      </w:pPr>
      <w:r>
        <w:rPr>
          <w:rStyle w:val="Strong"/>
          <w:rFonts w:ascii="GHEA Grapalat" w:hAnsi="GHEA Grapalat" w:cs="Arial"/>
          <w:color w:val="333333"/>
        </w:rPr>
        <w:t>ԲԱՐՁՐԱԳՈՒՅՆ ԿՐԹՈՒԹՅԱՆ ԵՎ ԳԻՏՈՒԹՅԱՆ ՄԱՍԻՆ</w:t>
      </w:r>
    </w:p>
    <w:p w:rsidR="00A760F2" w:rsidRDefault="00A760F2" w:rsidP="00A760F2">
      <w:pPr>
        <w:pStyle w:val="NormalWeb"/>
        <w:shd w:val="clear" w:color="auto" w:fill="FFFFFF"/>
        <w:spacing w:before="0" w:beforeAutospacing="0" w:after="0" w:afterAutospacing="0"/>
        <w:jc w:val="center"/>
        <w:rPr>
          <w:rStyle w:val="Strong"/>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388"/>
      </w:tblGrid>
      <w:tr w:rsidR="00A760F2" w:rsidTr="00A760F2">
        <w:trPr>
          <w:tblCellSpacing w:w="6" w:type="dxa"/>
        </w:trPr>
        <w:tc>
          <w:tcPr>
            <w:tcW w:w="1620" w:type="dxa"/>
            <w:shd w:val="clear" w:color="auto" w:fill="FFFFFF"/>
            <w:hideMark/>
          </w:tcPr>
          <w:p w:rsidR="00A760F2" w:rsidRDefault="00A760F2">
            <w:pPr>
              <w:spacing w:after="0" w:line="240" w:lineRule="auto"/>
              <w:jc w:val="center"/>
              <w:rPr>
                <w:rFonts w:eastAsia="Times New Roman"/>
                <w:sz w:val="24"/>
                <w:szCs w:val="24"/>
              </w:rPr>
            </w:pPr>
            <w:r>
              <w:rPr>
                <w:rFonts w:ascii="GHEA Grapalat" w:eastAsia="Times New Roman" w:hAnsi="GHEA Grapalat" w:cs="Arial"/>
                <w:b/>
                <w:bCs/>
                <w:color w:val="333333"/>
                <w:sz w:val="24"/>
                <w:szCs w:val="24"/>
              </w:rPr>
              <w:t>Հոդված 23.</w:t>
            </w:r>
          </w:p>
        </w:tc>
        <w:tc>
          <w:tcPr>
            <w:tcW w:w="0" w:type="auto"/>
            <w:shd w:val="clear" w:color="auto" w:fill="FFFFFF"/>
            <w:hideMark/>
          </w:tcPr>
          <w:p w:rsidR="00A760F2" w:rsidRDefault="00A760F2">
            <w:pPr>
              <w:spacing w:after="0" w:line="240" w:lineRule="auto"/>
              <w:rPr>
                <w:rFonts w:ascii="GHEA Grapalat" w:eastAsia="Times New Roman" w:hAnsi="GHEA Grapalat" w:cs="Arial"/>
                <w:color w:val="333333"/>
                <w:sz w:val="24"/>
                <w:szCs w:val="24"/>
              </w:rPr>
            </w:pPr>
            <w:r>
              <w:rPr>
                <w:rFonts w:ascii="GHEA Grapalat" w:eastAsia="Times New Roman" w:hAnsi="GHEA Grapalat" w:cs="Arial"/>
                <w:b/>
                <w:bCs/>
                <w:color w:val="333333"/>
                <w:sz w:val="24"/>
                <w:szCs w:val="24"/>
              </w:rPr>
              <w:t>Բուհի և գիտական կազմակերպության աշխատողները, նրանց իրավունքներն ու պարտականությունները</w:t>
            </w:r>
          </w:p>
        </w:tc>
      </w:tr>
    </w:tbl>
    <w:p w:rsidR="00A760F2" w:rsidRDefault="00A760F2" w:rsidP="00A760F2">
      <w:pPr>
        <w:shd w:val="clear" w:color="auto" w:fill="FFFFFF"/>
        <w:spacing w:after="0" w:line="240" w:lineRule="auto"/>
        <w:ind w:firstLine="375"/>
        <w:rPr>
          <w:rFonts w:ascii="GHEA Grapalat" w:eastAsia="Times New Roman" w:hAnsi="GHEA Grapalat" w:cs="Arial"/>
          <w:color w:val="333333"/>
          <w:sz w:val="24"/>
          <w:szCs w:val="24"/>
        </w:rPr>
      </w:pPr>
      <w:r>
        <w:rPr>
          <w:rFonts w:ascii="Calibri" w:eastAsia="Times New Roman" w:hAnsi="Calibri" w:cs="Calibri"/>
          <w:color w:val="333333"/>
          <w:sz w:val="24"/>
          <w:szCs w:val="24"/>
        </w:rPr>
        <w:t> </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 Բուհի և գիտական կազմակերպության աշխատողների ընտրության, նշանակման (աշխատանքի ընդունման), առաջխաղացման և վերանշանակման չափանիշներն ու պայմանները, իրավունքներն ու պարտականությունները և դրանց առնչվող դրույթներն ամրագրվում են բուհի և գիտական կազմակերպության կանոնադրությամբ, ներքին կարգապահական կանոններով և ներքին այլ իրավական ակտերով՝ սույն հոդվածի ընդհանուր դրույթներին և այլ իրավական ակտերին համապատասխան` հիմք ընդունելով սույն օրենքով սահմանված առանձնահատկությունները, ինչպես նաև Հայաստանի Հանրապետության աշխատանքային օրենսգրքի պահանջները: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2. Բուհում սահմանվում են ակադեմիական, իսկ գիտական կազմակերպությունում՝ գիտական և ճարտարագիտատեխնիկական կազմի, ինչպես նաև ուսումնաօժանդակ, արտադրական, վարչական և այլ կազմի հաստիքներ: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3. Ակադեմիական կազմի աշխատողների տարակարգերը և պաշտոնեական նվազագույն պահանջները սահմանվում են ակադեմիական կոչումների շնորհման կարգով` Կառավարության որոշմամբ:</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4. Գիտական և ճարտարագիտատեխնիկական կազմի աշխատողների տարակարգերը, ներառյալ պատվավոր առաջատար և պատվավոր գլխավոր գիտաշխատող տարակարգերը, սահմանվում են գիտական կադրերի ատեստավորման կարգով: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5. Հանրային հետազոտական համալսարանների կազմում գործող գիտական կազմակերպություններում գիտական կադրերն ատեստավորման արդյունքով պատվավոր առաջատար կամ պատվավոր գլխավոր գիտաշխատողի տարակարգ ստանալուց հետո ենթակա չեն ատեստավորման: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6. Ելնելով իր առանձնահատկություններից՝ բուհը կամ գիտական կազմակերպությունը կարող է սահմանել ակադեմիական կազմի այլ պաշտոններ։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7. Բուհի կանոնադրությամբ ամրագրվում են նաև ռեկտորի տեղակալների (պրոռեկտորների, ռազմաուսումնական հաստատության պետի տեղակալների), </w:t>
      </w:r>
      <w:r>
        <w:rPr>
          <w:rFonts w:ascii="GHEA Grapalat" w:eastAsia="Times New Roman" w:hAnsi="GHEA Grapalat" w:cs="Arial"/>
          <w:color w:val="333333"/>
          <w:sz w:val="24"/>
          <w:szCs w:val="24"/>
        </w:rPr>
        <w:lastRenderedPageBreak/>
        <w:t>կառուցվածքային միավորների ղեկավարների պաշտոնների իրավունքներն ու պարտականությունները: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8. Վարչական պաշտոն զբաղեցնող անձինք կարող են համատեղությամբ իրականացնել նաև ակադեմիական աշխատանք` իրենց մասնագիտությանը և որակավորմանը համապատասխան: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9. Վարչական պաշտոն զբաղեցնող անձը բուհում չի կարող զբաղեցնել այլ վարչական պաշտոն, բացառությամբ կառավարման խորհրդի կամ ակադեմիական խորհրդի անդամի:</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10. Բուհի կանոնադրությամբ հաստատված ակադեմիական կառուցվածքային միավորի ղեկավար պաշտոնների աշխատանքը համարվում է ակադեմիական աշխատանք:</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11. Բուհի ակադեմիական կառուցվածքային միավորի ղեկավարը պետք է ունենա դրա ուղղվածությանը համապատասխան կամ հարակից մասնագիտությամբ գիտական աստիճան: Նույն անձն իրավունք ունի այդ պաշտոնն զբաղեցնելու հինգ տարի ժամկետով՝ ոչ ավելի, քան երկու անգամ անընդմեջ, այդ թվում՝ կառուցվածքային փոփոխության դեպքում։ Բուհի ակադեմիական կառուցվածքային միավորի ղեկավարի հիմնական լիազորությունները սահմանվում են բուհի կանոնադրությամբ, իսկ գործառնական բնույթի լիազորությունները` տվյալ ակադեմիական միավորի կանոնադրությամբ:</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12. Բուհի ընտրովի պաշտոններն են` ռեկտոր, ռազմաուսումնական հաստատության պետի ուսումնական գծով տեղակալ, ակադեմիական կառուցվածքային միավորի ղեկավար: Գիտական կազմակերպությունում ընտրովի պաշտոն է գիտական կազմակերպության ղեկավարի պաշտոնը: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13. Բուհում ակադեմիական կազմի թափուր պաշտոնների տեղակալումն իրականացվում է բուհի սահմանած կարգով, մրցութային եղանակով՝ երեքից հինգ տարի ժամկետով, իսկ ռազմաուսումնական հաստատության ակադեմիական կազմի թափուր պաշտոնների դեպքում՝ մինչև երեք տարի ժամկետով: Ակադեմիական կազմի գործունեության արդյունքների գնահատման հիման վրա նրանց հետ աշխատանքային հարաբերությունները կարող են շարունակվել հինգ տարի ժամկետով՝ առանց մրցութային ընտրության: Մրցույթի արդյունքով ակադեմիական կազմի թափուր պաշտոնը չհամալրվելու դեպքում բուհի ռեկտորը կառուցվածքային միավորների կամ կրթական ծրագրի ղեկավարի առաջարկությամբ կարող է պաշտոնի անձնագրով ներկայացվող պահանջները բավարարող անձի հետ կնքել աշխատանքային պայմանագիր, բայց ոչ ավելի, քան մեկ տարի ժամկետով։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14. Բուհի և գիտական կազմակերպության ակադեմիական կազմի աշխատողների համար հնարավորություն է ստեղծվում բարձրագույն կրթության և գիտության կառավարման համակարգում ունենալու անհատական թվային տիրույթ, որի միջոցով նրանք կառավարում են իրենց անհատական տվյալները, դիմում են պետական ֆինանսավորման ծրագրերի և հետևում են իրենց մասնակցությամբ ծրագրերի ընթացքին: Հանրային բուհի և հանրային գիտական </w:t>
      </w:r>
      <w:r>
        <w:rPr>
          <w:rFonts w:ascii="GHEA Grapalat" w:eastAsia="Times New Roman" w:hAnsi="GHEA Grapalat" w:cs="Arial"/>
          <w:color w:val="333333"/>
          <w:sz w:val="24"/>
          <w:szCs w:val="24"/>
        </w:rPr>
        <w:lastRenderedPageBreak/>
        <w:t>կազմակերպության ակադեմիական կազմի աշխատողների համար նշված համակարգում գրանցումը պարտադիր է:</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15. Բուհերը կարող են ներգրավել նաև հրավիրյալ դասախոսի կամ հետազոտողի` որոշակի սահմանված ժամկետում դասախոսություն կարդալու կամ իր մասնագիտական ոլորտում հետազոտություն իրականացնելու համար` հիմք ընդունելով տվյալ անձի՝ արտադրության կամ հետազոտության ոլորտում ձեռքբերումները: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16. Հրավիրյալ դասախոսի կամ հետազոտողի վարձատրության չափը նշված ժամանակահատվածի համար սահմանվում է բուհի համապատասխան ակադեմիական ստորաբաժանման գիտական խորհրդի երաշխավորությամբ:</w:t>
      </w:r>
    </w:p>
    <w:p w:rsidR="0003294C" w:rsidRPr="0003294C" w:rsidRDefault="0003294C" w:rsidP="00A760F2">
      <w:pPr>
        <w:shd w:val="clear" w:color="auto" w:fill="FFFFFF"/>
        <w:spacing w:after="0" w:line="240" w:lineRule="auto"/>
        <w:ind w:firstLine="375"/>
        <w:jc w:val="both"/>
        <w:rPr>
          <w:rFonts w:ascii="Arial" w:hAnsi="Arial" w:cs="Arial"/>
          <w:strike/>
          <w:color w:val="333333"/>
          <w:shd w:val="clear" w:color="auto" w:fill="FFFFFF"/>
        </w:rPr>
      </w:pPr>
      <w:r w:rsidRPr="0003294C">
        <w:rPr>
          <w:rFonts w:ascii="Arial" w:hAnsi="Arial" w:cs="Arial"/>
          <w:strike/>
          <w:color w:val="333333"/>
          <w:shd w:val="clear" w:color="auto" w:fill="FFFFFF"/>
        </w:rPr>
        <w:t>17. Հանրային բուհում վարչական, ինչպես նաև ակադեմիական ղեկավար պաշտոնում նշանակված կամ ընտրության արդյունքով վարչական պաշտոնում (ներառյալ հետազոտական համալսարանի կազմում գործող գիտական կազմակերպության ղեկավարի և ակադեմիական կառուցվածքային միավորների ղեկավարների և տեղակալների պաշտոնները) նշանակված (ընտրված) անձի լիազորությունները դադարեցվում են ռեկտորի որոշմամբ, եթե լրացել է նրա 65 տարին:</w:t>
      </w:r>
    </w:p>
    <w:p w:rsidR="0003294C" w:rsidRPr="0003294C" w:rsidRDefault="00EE6958" w:rsidP="00A760F2">
      <w:pPr>
        <w:shd w:val="clear" w:color="auto" w:fill="FFFFFF"/>
        <w:spacing w:after="0" w:line="240" w:lineRule="auto"/>
        <w:ind w:firstLine="375"/>
        <w:jc w:val="both"/>
        <w:rPr>
          <w:rFonts w:ascii="GHEA Grapalat" w:eastAsia="Times New Roman" w:hAnsi="GHEA Grapalat" w:cs="Arial"/>
          <w:color w:val="FF0000"/>
          <w:sz w:val="24"/>
          <w:szCs w:val="24"/>
        </w:rPr>
      </w:pPr>
      <w:r>
        <w:rPr>
          <w:rFonts w:ascii="GHEA Grapalat" w:hAnsi="GHEA Grapalat" w:cs="Arial"/>
          <w:color w:val="FF0000"/>
          <w:sz w:val="24"/>
          <w:szCs w:val="24"/>
          <w:shd w:val="clear" w:color="auto" w:fill="FFFFFF"/>
          <w:lang w:val="hy-AM"/>
        </w:rPr>
        <w:t xml:space="preserve">17. </w:t>
      </w:r>
      <w:bookmarkStart w:id="0" w:name="_GoBack"/>
      <w:bookmarkEnd w:id="0"/>
      <w:r w:rsidR="0003294C" w:rsidRPr="0003294C">
        <w:rPr>
          <w:rFonts w:ascii="GHEA Grapalat" w:hAnsi="GHEA Grapalat" w:cs="Arial"/>
          <w:color w:val="FF0000"/>
          <w:sz w:val="24"/>
          <w:szCs w:val="24"/>
          <w:shd w:val="clear" w:color="auto" w:fill="FFFFFF"/>
        </w:rPr>
        <w:t>Հանրային բուհում ակադեմիական կամ վարչական կառուցվածքային ստորաբաժանումների ղեկավար պաշտոններում (ներառյալ հետազոտական համալսարանի կազմում գործող գիտական կազմակերպության ղեկավարի</w:t>
      </w:r>
      <w:r w:rsidR="0003294C" w:rsidRPr="0003294C">
        <w:rPr>
          <w:rStyle w:val="gmaildefault"/>
          <w:rFonts w:ascii="GHEA Grapalat" w:hAnsi="GHEA Grapalat" w:cs="Arial"/>
          <w:color w:val="FF0000"/>
          <w:sz w:val="24"/>
          <w:szCs w:val="24"/>
          <w:shd w:val="clear" w:color="auto" w:fill="FFFFFF"/>
        </w:rPr>
        <w:t>, ղեկավարի</w:t>
      </w:r>
      <w:r w:rsidR="0003294C" w:rsidRPr="0003294C">
        <w:rPr>
          <w:rStyle w:val="gmaildefault"/>
          <w:rFonts w:ascii="Calibri" w:hAnsi="Calibri" w:cs="Calibri"/>
          <w:color w:val="FF0000"/>
          <w:sz w:val="24"/>
          <w:szCs w:val="24"/>
          <w:shd w:val="clear" w:color="auto" w:fill="FFFFFF"/>
        </w:rPr>
        <w:t> </w:t>
      </w:r>
      <w:r w:rsidR="0003294C" w:rsidRPr="0003294C">
        <w:rPr>
          <w:rFonts w:ascii="GHEA Grapalat" w:hAnsi="GHEA Grapalat" w:cs="Arial"/>
          <w:color w:val="FF0000"/>
          <w:sz w:val="24"/>
          <w:szCs w:val="24"/>
          <w:shd w:val="clear" w:color="auto" w:fill="FFFFFF"/>
        </w:rPr>
        <w:t>տեղակալների և դրա ակադեմիական կառուցվածքային միավորների ղեկավարների</w:t>
      </w:r>
      <w:r w:rsidR="0003294C" w:rsidRPr="0003294C">
        <w:rPr>
          <w:rStyle w:val="gmaildefault"/>
          <w:rFonts w:ascii="Calibri" w:hAnsi="Calibri" w:cs="Calibri"/>
          <w:color w:val="FF0000"/>
          <w:sz w:val="24"/>
          <w:szCs w:val="24"/>
          <w:shd w:val="clear" w:color="auto" w:fill="FFFFFF"/>
        </w:rPr>
        <w:t> </w:t>
      </w:r>
      <w:r w:rsidR="0003294C" w:rsidRPr="0003294C">
        <w:rPr>
          <w:rFonts w:ascii="GHEA Grapalat" w:hAnsi="GHEA Grapalat" w:cs="Arial"/>
          <w:color w:val="FF0000"/>
          <w:sz w:val="24"/>
          <w:szCs w:val="24"/>
          <w:shd w:val="clear" w:color="auto" w:fill="FFFFFF"/>
        </w:rPr>
        <w:t>պաշտոնները) ընտրված (նշանակված) անձի լիազորությունները դադարեցվում են ռեկտորի որոշմամբ, եթե լրացել է նրա 65 տարին</w:t>
      </w:r>
    </w:p>
    <w:p w:rsidR="0003294C" w:rsidRPr="0003294C" w:rsidRDefault="0003294C" w:rsidP="00A760F2">
      <w:pPr>
        <w:shd w:val="clear" w:color="auto" w:fill="FFFFFF"/>
        <w:spacing w:after="0" w:line="240" w:lineRule="auto"/>
        <w:ind w:firstLine="375"/>
        <w:jc w:val="both"/>
        <w:rPr>
          <w:rFonts w:ascii="GHEA Grapalat" w:eastAsia="Times New Roman" w:hAnsi="GHEA Grapalat" w:cs="Arial"/>
          <w:color w:val="FF0000"/>
          <w:sz w:val="24"/>
          <w:szCs w:val="24"/>
        </w:rPr>
      </w:pP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18. Բուհի կամ գիտական կազմակերպության ակադեմիական կամ գիտական կազմի աշխատողն իրավունք ունի՝</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 իր հայեցողությամբ կրթական ծրագրի շրջանակում կազմելու դասընթացի կամ ակադեմիական մոդուլի բովանդակությունը, ընտրելու դասավանդման և ուսումնառության մեթոդներ, գիտական հետազոտությունների թեմաներ և դրանք իրականացնելու իր ընտրած մեթոդներով` տվյալ մակարդակում որակավորումների ազգային շրջանակով և, առկայության դեպքում, ոլորտային որակավորումների շրջանակով սահմանված նկարագրերին և մասնագիտական կրթական ծրագրի բովանդակությանն ու վերջնարդյունքներին համապատասխան.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2) ընտրելու իր հետաքրքրություններին և ստեղծագործական ունակություններին համապատասխան գիտատեխնոլոգիական գործունեության ձևեր, ուղղություններ և միջոցներ.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3) գիտական համատեղ գործունեություն ծավալելու նպատակով միավորվելու այլ գիտական աշխատողների հետ և կազմակերպելու ժամանակավոր գիտական խմբեր.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4) պատճառաբանված հրաժարվելու այն հիմնարար կամ կիրառական գիտական հետազոտություններին կամ փորձարարական մշակումներին մասնակցելուց, որոնք կարող են բացասական ազդեցություն թողնել մարդու, </w:t>
      </w:r>
      <w:r>
        <w:rPr>
          <w:rFonts w:ascii="GHEA Grapalat" w:eastAsia="Times New Roman" w:hAnsi="GHEA Grapalat" w:cs="Arial"/>
          <w:color w:val="333333"/>
          <w:sz w:val="24"/>
          <w:szCs w:val="24"/>
        </w:rPr>
        <w:lastRenderedPageBreak/>
        <w:t>հասարակության կամ շրջակա միջավայրի վրա կամ հակասում են ակադեմիական էթիկայի չափանիշներին.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5) վարձատրվելու կամ եկամուտ ստանալու իր հեղինակած կամ իր մասնակցությամբ ստացված գիտատեխնոլոգիական կամ նորարարական գործունեության արդյունքի (մտավոր սեփականության) իրացումից.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6) մասնակցելու պետական բյուջեից և օրենքով չարգելված այլ աղբյուրներից ֆինանսավորվող հետազոտական մրցույթներին.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7) ազատորեն օգտագործելու, տարածելու և փոխանակելու գիտական տեղեկատվություն, տպագրելու և հրապարակելու սեփական հետազոտությունների արդյունքները, եթե դրանք չեն պարունակում օրենսդրությամբ նախատեսված պետական, ծառայողական, առևտրային և այլ գաղտնիք համարվող տեղեկատվություն.</w:t>
      </w:r>
    </w:p>
    <w:p w:rsidR="00A760F2" w:rsidRDefault="00A760F2" w:rsidP="00A760F2">
      <w:pPr>
        <w:pStyle w:val="NormalWeb"/>
        <w:shd w:val="clear" w:color="auto" w:fill="FFFFFF"/>
        <w:spacing w:before="0" w:beforeAutospacing="0" w:after="0" w:afterAutospacing="0"/>
        <w:rPr>
          <w:rStyle w:val="Strong"/>
          <w:lang w:val="hy-AM"/>
        </w:rPr>
      </w:pPr>
      <w:r>
        <w:rPr>
          <w:rFonts w:ascii="GHEA Grapalat" w:hAnsi="GHEA Grapalat" w:cs="Arial"/>
          <w:color w:val="333333"/>
        </w:rPr>
        <w:t>------------------</w:t>
      </w:r>
      <w:r>
        <w:rPr>
          <w:rStyle w:val="Strong"/>
          <w:rFonts w:ascii="GHEA Grapalat" w:hAnsi="GHEA Grapalat" w:cs="Arial"/>
          <w:color w:val="333333"/>
          <w:lang w:val="hy-AM"/>
        </w:rPr>
        <w:t xml:space="preserve"> </w:t>
      </w:r>
    </w:p>
    <w:p w:rsidR="00A760F2" w:rsidRDefault="00A760F2" w:rsidP="00A760F2">
      <w:pPr>
        <w:shd w:val="clear" w:color="auto" w:fill="FFFFFF"/>
        <w:spacing w:after="0" w:line="240" w:lineRule="auto"/>
        <w:ind w:firstLine="375"/>
        <w:jc w:val="both"/>
        <w:rPr>
          <w:rFonts w:eastAsia="Times New Roman"/>
          <w:kern w:val="0"/>
          <w:sz w:val="24"/>
          <w:szCs w:val="24"/>
          <w14:ligatures w14:val="none"/>
        </w:rPr>
      </w:pPr>
      <w:r>
        <w:rPr>
          <w:rFonts w:ascii="GHEA Grapalat" w:eastAsia="Times New Roman" w:hAnsi="GHEA Grapalat" w:cs="Arial"/>
          <w:color w:val="333333"/>
          <w:kern w:val="0"/>
          <w:sz w:val="24"/>
          <w:szCs w:val="24"/>
          <w14:ligatures w14:val="none"/>
        </w:rPr>
        <w:t>------------------------------</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388"/>
      </w:tblGrid>
      <w:tr w:rsidR="00A760F2" w:rsidTr="00A760F2">
        <w:trPr>
          <w:tblCellSpacing w:w="6" w:type="dxa"/>
        </w:trPr>
        <w:tc>
          <w:tcPr>
            <w:tcW w:w="1620" w:type="dxa"/>
            <w:shd w:val="clear" w:color="auto" w:fill="FFFFFF"/>
          </w:tcPr>
          <w:p w:rsidR="00A760F2" w:rsidRDefault="00A760F2">
            <w:pPr>
              <w:spacing w:after="0" w:line="240" w:lineRule="auto"/>
              <w:jc w:val="both"/>
              <w:rPr>
                <w:rFonts w:ascii="GHEA Grapalat" w:eastAsia="Times New Roman" w:hAnsi="GHEA Grapalat" w:cs="Arial"/>
                <w:b/>
                <w:bCs/>
                <w:color w:val="333333"/>
                <w:kern w:val="0"/>
                <w:sz w:val="24"/>
                <w:szCs w:val="24"/>
                <w14:ligatures w14:val="none"/>
              </w:rPr>
            </w:pPr>
          </w:p>
          <w:p w:rsidR="00A760F2" w:rsidRDefault="00A760F2">
            <w:pPr>
              <w:spacing w:after="0" w:line="240" w:lineRule="auto"/>
              <w:jc w:val="both"/>
              <w:rPr>
                <w:rFonts w:ascii="GHEA Grapalat" w:eastAsia="Times New Roman" w:hAnsi="GHEA Grapalat" w:cs="Arial"/>
                <w:b/>
                <w:bCs/>
                <w:color w:val="333333"/>
                <w:kern w:val="0"/>
                <w:sz w:val="24"/>
                <w:szCs w:val="24"/>
                <w14:ligatures w14:val="none"/>
              </w:rPr>
            </w:pPr>
          </w:p>
          <w:p w:rsidR="00A760F2" w:rsidRDefault="00A760F2">
            <w:pPr>
              <w:spacing w:after="0" w:line="240" w:lineRule="auto"/>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Հոդված 33</w:t>
            </w:r>
            <w:r>
              <w:rPr>
                <w:rFonts w:ascii="Cambria Math" w:eastAsia="Times New Roman" w:hAnsi="Cambria Math" w:cs="Cambria Math"/>
                <w:b/>
                <w:bCs/>
                <w:color w:val="333333"/>
                <w:kern w:val="0"/>
                <w:sz w:val="24"/>
                <w:szCs w:val="24"/>
                <w14:ligatures w14:val="none"/>
              </w:rPr>
              <w:t>․</w:t>
            </w:r>
          </w:p>
        </w:tc>
        <w:tc>
          <w:tcPr>
            <w:tcW w:w="0" w:type="auto"/>
            <w:shd w:val="clear" w:color="auto" w:fill="FFFFFF"/>
          </w:tcPr>
          <w:p w:rsidR="00A760F2" w:rsidRDefault="00A760F2">
            <w:pPr>
              <w:spacing w:after="0" w:line="240" w:lineRule="auto"/>
              <w:jc w:val="both"/>
              <w:rPr>
                <w:rFonts w:ascii="GHEA Grapalat" w:eastAsia="Times New Roman" w:hAnsi="GHEA Grapalat" w:cs="Arial"/>
                <w:b/>
                <w:bCs/>
                <w:color w:val="333333"/>
                <w:kern w:val="0"/>
                <w:sz w:val="24"/>
                <w:szCs w:val="24"/>
                <w14:ligatures w14:val="none"/>
              </w:rPr>
            </w:pPr>
          </w:p>
          <w:p w:rsidR="00A760F2" w:rsidRDefault="00A760F2">
            <w:pPr>
              <w:spacing w:after="0" w:line="240" w:lineRule="auto"/>
              <w:jc w:val="both"/>
              <w:rPr>
                <w:rFonts w:ascii="GHEA Grapalat" w:eastAsia="Times New Roman" w:hAnsi="GHEA Grapalat" w:cs="Arial"/>
                <w:b/>
                <w:bCs/>
                <w:color w:val="333333"/>
                <w:kern w:val="0"/>
                <w:sz w:val="24"/>
                <w:szCs w:val="24"/>
                <w14:ligatures w14:val="none"/>
              </w:rPr>
            </w:pPr>
          </w:p>
          <w:p w:rsidR="00A760F2" w:rsidRDefault="00A760F2">
            <w:pPr>
              <w:spacing w:after="0" w:line="240" w:lineRule="auto"/>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Էթիկայի և իրավունքի պաշտպանության բուհական գրասենյակը</w:t>
            </w:r>
          </w:p>
        </w:tc>
      </w:tr>
    </w:tbl>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Calibri" w:eastAsia="Times New Roman" w:hAnsi="Calibri" w:cs="Calibri"/>
          <w:color w:val="333333"/>
          <w:kern w:val="0"/>
          <w:sz w:val="24"/>
          <w:szCs w:val="24"/>
          <w14:ligatures w14:val="none"/>
        </w:rPr>
        <w:t> </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 Յուրաքանչյուր լիցենզավորված բուհ իր կառուցվածքում պետք է ունենա էթիկայի և իրավունքի պաշտպանության գրասենյակ (այսուհետ` Էթիկայի գրասենյակ), որը պետք է ստանա, գնահատի և առաջարկի լուծումներ ուսանողների, ակադեմիական կազմի և աշխատակազմի բողոքների դեպքում, որոնք վերաբերում են ակադեմիական, գործառնական, էթիկական կամ բարեվարքությանն առնչվող հարցերին: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2. Էթիկայի գրասենյակի աշխատանքը հիմնված է անկողմնակալության, արդարության և իրավազորության սկզբունքների վրա:</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3. Էթիկայի գրասենյակի քննարկման ենթակա հարցերից են`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 ակադեմիական խնդիրները, որոնք վերաբերում են գնահատման վեճերին, դասավանդման, դասապրոցեսի անցկացման կամ կրթության գործընթացի կազմակերպման հետ կապված այլ հարցերի</w:t>
      </w:r>
      <w:r>
        <w:rPr>
          <w:rFonts w:ascii="Cambria Math" w:eastAsia="Times New Roman" w:hAnsi="Cambria Math" w:cs="Cambria Math"/>
          <w:color w:val="333333"/>
          <w:kern w:val="0"/>
          <w:sz w:val="24"/>
          <w:szCs w:val="24"/>
          <w14:ligatures w14:val="none"/>
        </w:rPr>
        <w:t>․</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2) վարչարարական խնդիրները, ներառյալ ընդունելությունը, ֆինանսական աջակցությունը կամ բուհական այլ ծառայություններ</w:t>
      </w:r>
      <w:r>
        <w:rPr>
          <w:rFonts w:ascii="Cambria Math" w:eastAsia="Times New Roman" w:hAnsi="Cambria Math" w:cs="Cambria Math"/>
          <w:color w:val="333333"/>
          <w:kern w:val="0"/>
          <w:sz w:val="24"/>
          <w:szCs w:val="24"/>
          <w14:ligatures w14:val="none"/>
        </w:rPr>
        <w:t>․</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3) էթիկական խնդիրները, ներառյալ ակադեմիական էթիկայի հարցերը, խտրականության դրսևորումները, ոտնձգությունները կամ իրավունքի անտեսումը.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4) ենթակառուցվածքների կամ գույքային պայմանների խնդիրները, որոնք խոչընդոտում են անձնական հարմարավետությունը կամ կրթական գործընթացը.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5) կանոնադրությամբ սահմանված այլ հարցեր: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 xml:space="preserve">4. Դիմումները էթիկայի գրասենյակ են ներկայացվում գրավոր, էլեկտրոնային եղանակով կամ բուհի կողմից վարվող այլ ուղիներով` անվանական կամ անանուն` պայմանով, որ դրանք պարունակում են բավարար հիմնավորումներ, որոնք </w:t>
      </w:r>
      <w:r>
        <w:rPr>
          <w:rFonts w:ascii="GHEA Grapalat" w:eastAsia="Times New Roman" w:hAnsi="GHEA Grapalat" w:cs="Arial"/>
          <w:color w:val="333333"/>
          <w:kern w:val="0"/>
          <w:sz w:val="24"/>
          <w:szCs w:val="24"/>
          <w14:ligatures w14:val="none"/>
        </w:rPr>
        <w:lastRenderedPageBreak/>
        <w:t>գրասենյակը քննարկում է կանոնադրությամբ սահմանված ժամկետներում և որոշում է համապատասխան գործողության տեսակը: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5. Էթիկայի գրասենյակի գործառույթներն են`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 ապահովել քննարկվող հարցի անկողմնակալ լուծումը` համաձայն բուհի կանոնադրության և ընթացակարգերի.</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2) անհրաժեշտության դեպքում քննարկվող հարցին լուծում տվող մարմնի կողմից այն չլուծվելու դեպքում դիմել վերադաս իրավասու բուհական մարմիններ, կամ իրավիճակից կախված` առաջարկել դիմումատուին դիմել օրենքներով սահմանված այլ պատասխանատու մարմիններ.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3) աշխատողին կամ ուսանողին տալ խորհրդատվություն ակադեմիական էթիկայի տեսանկյունից խնդրահարույց հետազոտության կամ մշակումների աշխատանքներին մասնակցելու վերաբերյալ.</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4) տեղեկացնել բարձրագույն կրթության և գիտության կոմիտեին կամ բուհին` գիտական աստիճանի շնորհման կամ պաշտոնին նշանակելու որոշումը չեղարկելու անհրաժեշտության մասին` աստիճանի շնորհման գործընթացի ժամանակ էթիկայի նորմերի խախտում հայտնաբերելու դեպքում.</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5) բուհի սահմանած այլ գործառույթներ: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6. Էթիկայի գրասենյակին հասցեագրված բոլոր բողոքները պետք է քննվեն անանունության սկզբունքի խիստ պահպանմամբ` ներգրավված բոլոր կողմերի իրավունքներն ու գաղտնիությունը ապահովելու նպատակով: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7. Կողմնապահությունը բողոքների քննարկման ժամանակ արգելվում է և կարող է հանգեցնել կանոնադրությամբ սահմանված կարգապահական տույժերի:</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8. Բուհը էթիկայի գրասենյակի միջոցով պարտավոր է վարել բողոքների ներքին գրանցամատյան` ապահովելով դրա գաղտնիությունը և համապատասխանությունը տվյալների պաշտպանությանը վերաբերող օրենսդրությանը: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9. Յուրաքանչյուր տարի բարձրագույն կրթության և գիտության կառավարման միասնական հարթակում բուհը տեղադրում է բողոքների և դրանց տրված լուծումների վերաբերյալ ամփոփ տեղեկատվություն, որի ձևաչափը հաստատում է Լիազոր մարմինը: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10. Որակի արտաքին ապահովման մշտադիտարկման շրջանակում Մասնագիտացված կառույցը կարող է իրականացնել էթիկայի գրասենյակի աշխատանքի կազմակերպման արդյունավետության ստուգումներ: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11. Էթիկայի գրասենյակի աշխատանքի անհամապատասխանությունը հավատարմագրման կարգով սահմանված չափանիշներին և դրա վերաբերյալ նախազգուշացումից հետո խնդիրը չլուծելը կարող են հանգեցնել բուհի հավատարմագրումից զրկվելու:</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12. Բողոք ներկայացնող անձինք կարող են էթիկայի գրասենյակի որոշումները բողոքարկել բուհի հոգաբարձուների խորհրդում:</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 xml:space="preserve">13. Էթիկայի գրասենյակի կառուցվածքը, բյուջեն, ձևավորման և կառավարման կարգը, ինչպես նաև լիազորությունների և գործառույթների իրականացման </w:t>
      </w:r>
      <w:r>
        <w:rPr>
          <w:rFonts w:ascii="GHEA Grapalat" w:eastAsia="Times New Roman" w:hAnsi="GHEA Grapalat" w:cs="Arial"/>
          <w:color w:val="333333"/>
          <w:kern w:val="0"/>
          <w:sz w:val="24"/>
          <w:szCs w:val="24"/>
          <w14:ligatures w14:val="none"/>
        </w:rPr>
        <w:lastRenderedPageBreak/>
        <w:t>ընթացակարգերը սահմանող ներքին իրավական ակտերը հաստատում է հոգաբարձուների խորհուրդը: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14. Էթիկայի գրասենյակի ղեկավարի պաշտոնը ընտրովի պաշտոն է:</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 xml:space="preserve">15. Էթիկայի գրասենյակի կառուցվածքը, տրամադրվող բյուջեն և ներքին իրավական ակտերը պետք է նպաստեն էթիկայի </w:t>
      </w:r>
      <w:r>
        <w:rPr>
          <w:rFonts w:ascii="GHEA Grapalat" w:eastAsia="Times New Roman" w:hAnsi="GHEA Grapalat" w:cs="Arial"/>
          <w:strike/>
          <w:color w:val="333333"/>
          <w:kern w:val="0"/>
          <w:sz w:val="24"/>
          <w:szCs w:val="24"/>
          <w14:ligatures w14:val="none"/>
        </w:rPr>
        <w:t>կոմիտեի</w:t>
      </w:r>
      <w:r>
        <w:rPr>
          <w:rFonts w:ascii="GHEA Grapalat" w:eastAsia="Times New Roman" w:hAnsi="GHEA Grapalat" w:cs="Arial"/>
          <w:color w:val="FF0000"/>
          <w:kern w:val="0"/>
          <w:sz w:val="24"/>
          <w:szCs w:val="24"/>
          <w14:ligatures w14:val="none"/>
        </w:rPr>
        <w:t xml:space="preserve">գրասենյակի </w:t>
      </w:r>
      <w:r>
        <w:rPr>
          <w:rFonts w:ascii="GHEA Grapalat" w:eastAsia="Times New Roman" w:hAnsi="GHEA Grapalat" w:cs="Arial"/>
          <w:color w:val="333333"/>
          <w:kern w:val="0"/>
          <w:sz w:val="24"/>
          <w:szCs w:val="24"/>
          <w14:ligatures w14:val="none"/>
        </w:rPr>
        <w:t>անխափան աշխատանքին:</w:t>
      </w:r>
    </w:p>
    <w:p w:rsidR="00A760F2" w:rsidRDefault="00A760F2" w:rsidP="00A760F2">
      <w:pPr>
        <w:pStyle w:val="NormalWeb"/>
        <w:shd w:val="clear" w:color="auto" w:fill="FFFFFF"/>
        <w:spacing w:before="0" w:beforeAutospacing="0" w:after="0" w:afterAutospacing="0"/>
        <w:jc w:val="center"/>
        <w:rPr>
          <w:rStyle w:val="Strong"/>
        </w:rPr>
      </w:pPr>
    </w:p>
    <w:p w:rsidR="00A760F2" w:rsidRDefault="00A760F2" w:rsidP="00A760F2">
      <w:pPr>
        <w:shd w:val="clear" w:color="auto" w:fill="FFFFFF"/>
        <w:spacing w:after="0" w:line="240" w:lineRule="auto"/>
        <w:jc w:val="center"/>
        <w:rPr>
          <w:rFonts w:eastAsia="Times New Roman"/>
          <w:kern w:val="0"/>
          <w:sz w:val="24"/>
          <w:szCs w:val="24"/>
          <w14:ligatures w14:val="none"/>
        </w:rPr>
      </w:pPr>
      <w:r>
        <w:rPr>
          <w:rFonts w:ascii="GHEA Grapalat" w:eastAsia="Times New Roman" w:hAnsi="GHEA Grapalat" w:cs="Arial"/>
          <w:b/>
          <w:bCs/>
          <w:color w:val="333333"/>
          <w:kern w:val="0"/>
          <w:sz w:val="24"/>
          <w:szCs w:val="24"/>
          <w14:ligatures w14:val="none"/>
        </w:rPr>
        <w:t>ԳԼՈՒԽ 7</w:t>
      </w:r>
    </w:p>
    <w:p w:rsidR="00A760F2" w:rsidRDefault="00A760F2" w:rsidP="00A760F2">
      <w:pPr>
        <w:shd w:val="clear" w:color="auto" w:fill="FFFFFF"/>
        <w:spacing w:after="0" w:line="240" w:lineRule="auto"/>
        <w:jc w:val="center"/>
        <w:rPr>
          <w:rFonts w:ascii="GHEA Grapalat" w:eastAsia="Times New Roman" w:hAnsi="GHEA Grapalat" w:cs="Arial"/>
          <w:color w:val="333333"/>
          <w:kern w:val="0"/>
          <w:sz w:val="24"/>
          <w:szCs w:val="24"/>
          <w14:ligatures w14:val="none"/>
        </w:rPr>
      </w:pPr>
    </w:p>
    <w:p w:rsidR="00A760F2" w:rsidRDefault="00A760F2" w:rsidP="00A760F2">
      <w:pPr>
        <w:shd w:val="clear" w:color="auto" w:fill="FFFFFF"/>
        <w:spacing w:after="0" w:line="240" w:lineRule="auto"/>
        <w:jc w:val="center"/>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ԵԶՐԱՓԱԿԻՉ ՄԱՍ ԵՎ ԱՆՑՈՒՄԱՅԻՆ ԴՐՈՒՅԹՆԵՐ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Calibri" w:eastAsia="Times New Roman" w:hAnsi="Calibri" w:cs="Calibri"/>
          <w:color w:val="333333"/>
          <w:kern w:val="0"/>
          <w:sz w:val="24"/>
          <w:szCs w:val="24"/>
          <w14:ligatures w14:val="none"/>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388"/>
      </w:tblGrid>
      <w:tr w:rsidR="00A760F2" w:rsidTr="00A760F2">
        <w:trPr>
          <w:tblCellSpacing w:w="6" w:type="dxa"/>
        </w:trPr>
        <w:tc>
          <w:tcPr>
            <w:tcW w:w="1620" w:type="dxa"/>
            <w:shd w:val="clear" w:color="auto" w:fill="FFFFFF"/>
            <w:hideMark/>
          </w:tcPr>
          <w:p w:rsidR="00A760F2" w:rsidRDefault="00A760F2">
            <w:pPr>
              <w:spacing w:after="0" w:line="240" w:lineRule="auto"/>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Հոդված 43</w:t>
            </w:r>
            <w:r>
              <w:rPr>
                <w:rFonts w:ascii="Cambria Math" w:eastAsia="Times New Roman" w:hAnsi="Cambria Math" w:cs="Cambria Math"/>
                <w:b/>
                <w:bCs/>
                <w:color w:val="333333"/>
                <w:kern w:val="0"/>
                <w:sz w:val="24"/>
                <w:szCs w:val="24"/>
                <w14:ligatures w14:val="none"/>
              </w:rPr>
              <w:t>․</w:t>
            </w:r>
          </w:p>
        </w:tc>
        <w:tc>
          <w:tcPr>
            <w:tcW w:w="0" w:type="auto"/>
            <w:shd w:val="clear" w:color="auto" w:fill="FFFFFF"/>
            <w:hideMark/>
          </w:tcPr>
          <w:p w:rsidR="00A760F2" w:rsidRDefault="00A760F2">
            <w:pPr>
              <w:spacing w:after="0" w:line="240" w:lineRule="auto"/>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Եզրափակիչ մաս</w:t>
            </w:r>
          </w:p>
        </w:tc>
      </w:tr>
    </w:tbl>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Calibri" w:eastAsia="Times New Roman" w:hAnsi="Calibri" w:cs="Calibri"/>
          <w:color w:val="333333"/>
          <w:kern w:val="0"/>
          <w:sz w:val="24"/>
          <w:szCs w:val="24"/>
          <w14:ligatures w14:val="none"/>
        </w:rPr>
        <w:t> </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 Սույն օրենքն ուժի մեջ է մտնում պաշտոնական հրապարակման օրվան հաջորդող տասներորդ օրը, բացառությամբ այն կարգավորումների, որոնց համար սահմանված են ուժի մեջ մտնելու այլ ժամկետներ: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2. Սույն օրենքի 3-րդ հոդվածի 1-ին մասի 2-րդ կետի «գ» ենթակետն ուժի մեջ է մտնում 2030 թվականի հուլիսի 1-ից: Մինչև 2029 թվականի հուլիսի 1-ը գործող մասնավոր բուհերը վերակազմակերպվում (վերակազմավորվում) կամ հիմնադրվում են որպես ոչ առևտրային կազմակերպություններ և դիմում են բուհի և կրթական ծրագրերի լիցենզավորման համար: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3. Սույն օրենքի 10-րդ հոդվածով նախատեսված ուսումնառության գործընթացների կազմակերպումը բուհերում ներդնել 2027 թվականի սեպտեմբերի 1-ից, մինչև այդ բուհ ընդունված ուսանողների ուսումնառության հետ կապված իրավահարաբերությունները շարունակում են կարգավորվել «Բարձրագույն և հետբուհական մասնագիտական կրթության մասին» օրենքի 21-րդ հոդվածի 1-ին մասի 10-րդ կետի և «Կրթության մասին» օրենքի 14-րդ հոդվածի 6-րդ մասի դրույթների հիման վրա ընդունված իրավական ակտերով: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4. Սույն օրենքի 11-րդ հոդվածի 1-ին մասի 3-րդ կետով նախատեսված ուսումնառության գործընթացի կազմակերպումը ներդնել 2026 թվականից: Մինչև սույն մասն ուժի մեջ մտնելը գիտության թեկնածուի և գիտության դոկտորի գիտական աստիճանների հայցման համար սահմանված կարգով ու ժամկետներում ասպիրանտուրա ընդունված կամ հայցորդ կամ դոկտորանտ ձևակերպված անձանց համար գիտական աստիճանի շնորհման գործընթացը շարունակվում է կարգավորվել «Գիտական և գիտատեխնիկական գործունեության մասին» 2000 թվականի դեկտեմբերի 5-ի ՀՕ-119 օրենքի 16-րդ հոդվածի դրույթների հիման վրա ընդունված իրավական ակտերով: Սույն մասն ուժի մեջ մտնելու պահից «Գիտական և գիտատեխնիկական գործունեության մասին» 2000 թվականի դեկտեմբերի 5-ի ՀՕ-119 օրենքի 16-րդ հոդվածի 3-րդ մասի իմաստով՝ գիտությունների դոկտորի գիտական աստիճանի հայցման համար թեմաների հաստատումը դադարեցվում է:</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lastRenderedPageBreak/>
        <w:t>5. Սույն օրենքի 11-րդ հոդվածի 5-րդ մասն ուժի մեջ է մտնում 2026 թվականի սեպտեմբերի 1-ից: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6. Սույն օրենքի 15-րդ հոդվածով սահմանված Մասնագիտացված կառույցն ստեղծվում է մինչև 2027 թվականի հունվարի 1-ը:</w:t>
      </w:r>
    </w:p>
    <w:p w:rsidR="00D82D31" w:rsidRPr="00F053A6" w:rsidRDefault="00A760F2" w:rsidP="00F053A6">
      <w:pPr>
        <w:shd w:val="clear" w:color="auto" w:fill="FFFFFF"/>
        <w:spacing w:after="0" w:line="240" w:lineRule="auto"/>
        <w:ind w:firstLine="375"/>
        <w:jc w:val="both"/>
        <w:rPr>
          <w:rFonts w:ascii="GHEA Grapalat" w:eastAsia="Times New Roman" w:hAnsi="GHEA Grapalat" w:cs="Arial"/>
          <w:color w:val="FF0000"/>
          <w:kern w:val="0"/>
          <w:sz w:val="24"/>
          <w:szCs w:val="24"/>
          <w:lang w:val="en-GB"/>
          <w14:ligatures w14:val="none"/>
        </w:rPr>
      </w:pPr>
      <w:r>
        <w:rPr>
          <w:rFonts w:ascii="GHEA Grapalat" w:eastAsia="Times New Roman" w:hAnsi="GHEA Grapalat" w:cs="Arial"/>
          <w:color w:val="333333"/>
          <w:kern w:val="0"/>
          <w:sz w:val="24"/>
          <w:szCs w:val="24"/>
          <w14:ligatures w14:val="none"/>
        </w:rPr>
        <w:t>7.</w:t>
      </w:r>
      <w:r>
        <w:rPr>
          <w:rFonts w:ascii="GHEA Grapalat" w:hAnsi="GHEA Grapalat" w:cs="Arial"/>
          <w:color w:val="333333"/>
          <w:sz w:val="24"/>
          <w:szCs w:val="24"/>
          <w:shd w:val="clear" w:color="auto" w:fill="FFFFFF"/>
        </w:rPr>
        <w:t xml:space="preserve">Սույն օրենքի 21-րդ հոդվածի </w:t>
      </w:r>
      <w:r>
        <w:rPr>
          <w:rFonts w:ascii="GHEA Grapalat" w:hAnsi="GHEA Grapalat" w:cs="Arial"/>
          <w:color w:val="FF0000"/>
          <w:sz w:val="24"/>
          <w:szCs w:val="24"/>
          <w:shd w:val="clear" w:color="auto" w:fill="FFFFFF"/>
        </w:rPr>
        <w:t xml:space="preserve">6-րդ </w:t>
      </w:r>
      <w:r>
        <w:rPr>
          <w:rFonts w:ascii="GHEA Grapalat" w:hAnsi="GHEA Grapalat" w:cs="Arial"/>
          <w:strike/>
          <w:color w:val="333333"/>
          <w:sz w:val="24"/>
          <w:szCs w:val="24"/>
          <w:shd w:val="clear" w:color="auto" w:fill="FFFFFF"/>
        </w:rPr>
        <w:t>5-րդ</w:t>
      </w:r>
      <w:r>
        <w:rPr>
          <w:rFonts w:ascii="GHEA Grapalat" w:hAnsi="GHEA Grapalat" w:cs="Arial"/>
          <w:color w:val="333333"/>
          <w:sz w:val="24"/>
          <w:szCs w:val="24"/>
          <w:shd w:val="clear" w:color="auto" w:fill="FFFFFF"/>
        </w:rPr>
        <w:t xml:space="preserve"> մասով սահմանված պահանջները հրապարակվում են 2027 թվականի հունվարի առաջին տասնօրյակում, իսկ </w:t>
      </w:r>
      <w:r>
        <w:rPr>
          <w:rFonts w:ascii="GHEA Grapalat" w:hAnsi="GHEA Grapalat" w:cs="Arial"/>
          <w:strike/>
          <w:color w:val="333333"/>
          <w:sz w:val="24"/>
          <w:szCs w:val="24"/>
          <w:shd w:val="clear" w:color="auto" w:fill="FFFFFF"/>
        </w:rPr>
        <w:t>նույն</w:t>
      </w:r>
      <w:r>
        <w:rPr>
          <w:rFonts w:ascii="GHEA Grapalat" w:hAnsi="GHEA Grapalat" w:cs="Arial"/>
          <w:color w:val="333333"/>
          <w:sz w:val="24"/>
          <w:szCs w:val="24"/>
          <w:shd w:val="clear" w:color="auto" w:fill="FFFFFF"/>
        </w:rPr>
        <w:t xml:space="preserve"> </w:t>
      </w:r>
      <w:r>
        <w:rPr>
          <w:rFonts w:ascii="GHEA Grapalat" w:eastAsia="Times New Roman" w:hAnsi="GHEA Grapalat" w:cs="Arial"/>
          <w:color w:val="FF0000"/>
          <w:kern w:val="0"/>
          <w:sz w:val="24"/>
          <w:szCs w:val="24"/>
          <w:lang w:val="hy-AM"/>
          <w14:ligatures w14:val="none"/>
        </w:rPr>
        <w:t>նույն հոդվածի 4-րդ</w:t>
      </w:r>
      <w:r>
        <w:rPr>
          <w:rFonts w:ascii="GHEA Grapalat" w:eastAsia="Times New Roman" w:hAnsi="GHEA Grapalat" w:cs="Arial"/>
          <w:color w:val="333333"/>
          <w:kern w:val="0"/>
          <w:sz w:val="24"/>
          <w:szCs w:val="24"/>
          <w:lang w:val="hy-AM"/>
          <w14:ligatures w14:val="none"/>
        </w:rPr>
        <w:t xml:space="preserve"> </w:t>
      </w:r>
      <w:r>
        <w:rPr>
          <w:rFonts w:ascii="GHEA Grapalat" w:hAnsi="GHEA Grapalat" w:cs="Arial"/>
          <w:color w:val="333333"/>
          <w:sz w:val="24"/>
          <w:szCs w:val="24"/>
          <w:shd w:val="clear" w:color="auto" w:fill="FFFFFF"/>
        </w:rPr>
        <w:t xml:space="preserve">մասով նախատեսվող ընդունելությունը կազմակերպվում է 2029-2030 թվականների ուսումնական տարվանից: Մինչև սույն մասն ուժի մեջ մտնելը </w:t>
      </w:r>
      <w:r w:rsidR="005A38A6" w:rsidRPr="00B6477C">
        <w:rPr>
          <w:rFonts w:ascii="Arial" w:hAnsi="Arial" w:cs="Arial"/>
          <w:color w:val="FF0000"/>
          <w:sz w:val="24"/>
          <w:szCs w:val="24"/>
          <w:shd w:val="clear" w:color="auto" w:fill="FFFFFF"/>
        </w:rPr>
        <w:t xml:space="preserve">համապատասխան ուսումնական </w:t>
      </w:r>
      <w:r w:rsidR="00E047E1" w:rsidRPr="00B6477C">
        <w:rPr>
          <w:rFonts w:ascii="Arial" w:hAnsi="Arial" w:cs="Arial"/>
          <w:color w:val="FF0000"/>
          <w:sz w:val="24"/>
          <w:szCs w:val="24"/>
          <w:shd w:val="clear" w:color="auto" w:fill="FFFFFF"/>
        </w:rPr>
        <w:t>տարիների</w:t>
      </w:r>
      <w:r w:rsidR="005A38A6" w:rsidRPr="00B6477C">
        <w:rPr>
          <w:rFonts w:ascii="Arial" w:hAnsi="Arial" w:cs="Arial"/>
          <w:color w:val="FF0000"/>
          <w:sz w:val="24"/>
          <w:szCs w:val="24"/>
          <w:shd w:val="clear" w:color="auto" w:fill="FFFFFF"/>
        </w:rPr>
        <w:t xml:space="preserve"> </w:t>
      </w:r>
      <w:r w:rsidR="00E047E1" w:rsidRPr="00B6477C">
        <w:rPr>
          <w:rFonts w:ascii="Arial" w:hAnsi="Arial" w:cs="Arial"/>
          <w:color w:val="FF0000"/>
          <w:sz w:val="24"/>
          <w:szCs w:val="24"/>
          <w:shd w:val="clear" w:color="auto" w:fill="FFFFFF"/>
        </w:rPr>
        <w:t xml:space="preserve">համար </w:t>
      </w:r>
      <w:r w:rsidR="005A38A6" w:rsidRPr="00B6477C">
        <w:rPr>
          <w:rFonts w:ascii="Arial" w:hAnsi="Arial" w:cs="Arial"/>
          <w:color w:val="FF0000"/>
          <w:sz w:val="24"/>
          <w:szCs w:val="24"/>
          <w:shd w:val="clear" w:color="auto" w:fill="FFFFFF"/>
        </w:rPr>
        <w:t>բակալավրի ու անընդհատ և ինտեգրացված կրթական ծրագրերով (առկա, հեռակա) մասնագիտությունների և ընդունելության քննությունների ցանկը, ինչպես նաև</w:t>
      </w:r>
      <w:r w:rsidR="00E047E1" w:rsidRPr="00B6477C">
        <w:rPr>
          <w:rFonts w:ascii="Arial" w:hAnsi="Arial" w:cs="Arial"/>
          <w:color w:val="FF0000"/>
          <w:sz w:val="24"/>
          <w:szCs w:val="24"/>
          <w:shd w:val="clear" w:color="auto" w:fill="FFFFFF"/>
        </w:rPr>
        <w:t xml:space="preserve"> առկա ուսուցմամբ </w:t>
      </w:r>
      <w:r w:rsidR="00B53F7F" w:rsidRPr="00B6477C">
        <w:rPr>
          <w:rFonts w:ascii="Arial" w:hAnsi="Arial" w:cs="Arial"/>
          <w:color w:val="FF0000"/>
          <w:sz w:val="24"/>
          <w:szCs w:val="24"/>
          <w:shd w:val="clear" w:color="auto" w:fill="FFFFFF"/>
        </w:rPr>
        <w:t>պետության կողմից ուսման վարձի լրիվ փոխհատուցմամբ ընդունելության տեղերը</w:t>
      </w:r>
      <w:r w:rsidR="00B53F7F" w:rsidRPr="00F42C99">
        <w:rPr>
          <w:rFonts w:ascii="GHEA Grapalat" w:hAnsi="GHEA Grapalat" w:cs="Arial"/>
          <w:color w:val="FF0000"/>
          <w:sz w:val="24"/>
          <w:szCs w:val="24"/>
          <w:shd w:val="clear" w:color="auto" w:fill="FFFFFF"/>
        </w:rPr>
        <w:t xml:space="preserve"> </w:t>
      </w:r>
      <w:r w:rsidR="00E047E1" w:rsidRPr="00B6477C">
        <w:rPr>
          <w:rFonts w:ascii="Arial" w:hAnsi="Arial" w:cs="Arial"/>
          <w:color w:val="FF0000"/>
          <w:sz w:val="24"/>
          <w:szCs w:val="24"/>
          <w:shd w:val="clear" w:color="auto" w:fill="FFFFFF"/>
        </w:rPr>
        <w:t>ըստ կրթական մակարդակների</w:t>
      </w:r>
      <w:r w:rsidR="0079412D" w:rsidRPr="00B6477C">
        <w:rPr>
          <w:rFonts w:ascii="Arial" w:hAnsi="Arial" w:cs="Arial"/>
          <w:color w:val="FF0000"/>
          <w:sz w:val="24"/>
          <w:szCs w:val="24"/>
          <w:shd w:val="clear" w:color="auto" w:fill="FFFFFF"/>
        </w:rPr>
        <w:t xml:space="preserve"> (այդ թվում՝ կինիկական օրդինատուրայի)</w:t>
      </w:r>
      <w:r w:rsidR="00A8746A" w:rsidRPr="00B6477C">
        <w:rPr>
          <w:rFonts w:ascii="Arial" w:hAnsi="Arial" w:cs="Arial"/>
          <w:color w:val="FF0000"/>
          <w:sz w:val="24"/>
          <w:szCs w:val="24"/>
          <w:shd w:val="clear" w:color="auto" w:fill="FFFFFF"/>
        </w:rPr>
        <w:t>,</w:t>
      </w:r>
      <w:r w:rsidR="00E047E1" w:rsidRPr="00B6477C">
        <w:rPr>
          <w:rFonts w:ascii="Arial" w:hAnsi="Arial" w:cs="Arial"/>
          <w:color w:val="FF0000"/>
          <w:sz w:val="24"/>
          <w:szCs w:val="24"/>
          <w:shd w:val="clear" w:color="auto" w:fill="FFFFFF"/>
        </w:rPr>
        <w:t xml:space="preserve"> </w:t>
      </w:r>
      <w:r w:rsidR="00A8746A" w:rsidRPr="00B6477C">
        <w:rPr>
          <w:rFonts w:ascii="Arial" w:hAnsi="Arial" w:cs="Arial"/>
          <w:color w:val="FF0000"/>
          <w:sz w:val="24"/>
          <w:szCs w:val="24"/>
          <w:shd w:val="clear" w:color="auto" w:fill="FFFFFF"/>
        </w:rPr>
        <w:t xml:space="preserve">ըստ </w:t>
      </w:r>
      <w:r w:rsidR="00362F6B" w:rsidRPr="00B6477C">
        <w:rPr>
          <w:rFonts w:ascii="Arial" w:hAnsi="Arial" w:cs="Arial"/>
          <w:color w:val="FF0000"/>
          <w:sz w:val="24"/>
          <w:szCs w:val="24"/>
          <w:shd w:val="clear" w:color="auto" w:fill="FFFFFF"/>
        </w:rPr>
        <w:t>մասնագիտությունների</w:t>
      </w:r>
      <w:r w:rsidR="00A8746A" w:rsidRPr="00B6477C">
        <w:rPr>
          <w:rFonts w:ascii="Arial" w:hAnsi="Arial" w:cs="Arial"/>
          <w:color w:val="FF0000"/>
          <w:sz w:val="24"/>
          <w:szCs w:val="24"/>
          <w:shd w:val="clear" w:color="auto" w:fill="FFFFFF"/>
        </w:rPr>
        <w:t xml:space="preserve"> </w:t>
      </w:r>
      <w:r w:rsidR="00E047E1" w:rsidRPr="00B6477C">
        <w:rPr>
          <w:rFonts w:ascii="Arial" w:hAnsi="Arial" w:cs="Arial"/>
          <w:color w:val="FF0000"/>
          <w:sz w:val="24"/>
          <w:szCs w:val="24"/>
          <w:shd w:val="clear" w:color="auto" w:fill="FFFFFF"/>
        </w:rPr>
        <w:t xml:space="preserve">և </w:t>
      </w:r>
      <w:r w:rsidR="00A8746A" w:rsidRPr="00B6477C">
        <w:rPr>
          <w:rFonts w:ascii="Arial" w:hAnsi="Arial" w:cs="Arial"/>
          <w:color w:val="FF0000"/>
          <w:sz w:val="24"/>
          <w:szCs w:val="24"/>
          <w:shd w:val="clear" w:color="auto" w:fill="FFFFFF"/>
        </w:rPr>
        <w:t>հաստատությունների</w:t>
      </w:r>
      <w:r w:rsidR="00E047E1" w:rsidRPr="00B6477C">
        <w:rPr>
          <w:rFonts w:ascii="Arial" w:hAnsi="Arial" w:cs="Arial"/>
          <w:color w:val="FF0000"/>
          <w:sz w:val="24"/>
          <w:szCs w:val="24"/>
          <w:shd w:val="clear" w:color="auto" w:fill="FFFFFF"/>
        </w:rPr>
        <w:t xml:space="preserve"> </w:t>
      </w:r>
      <w:r w:rsidR="00E047E1">
        <w:rPr>
          <w:rFonts w:ascii="GHEA Grapalat" w:hAnsi="GHEA Grapalat" w:cs="Arial"/>
          <w:color w:val="333333"/>
          <w:sz w:val="24"/>
          <w:szCs w:val="24"/>
          <w:shd w:val="clear" w:color="auto" w:fill="FFFFFF"/>
        </w:rPr>
        <w:t xml:space="preserve">հաստատում է Կառավարությունը, իսկ </w:t>
      </w:r>
      <w:r>
        <w:rPr>
          <w:rFonts w:ascii="GHEA Grapalat" w:hAnsi="GHEA Grapalat" w:cs="Arial"/>
          <w:color w:val="333333"/>
          <w:sz w:val="24"/>
          <w:szCs w:val="24"/>
          <w:shd w:val="clear" w:color="auto" w:fill="FFFFFF"/>
        </w:rPr>
        <w:t xml:space="preserve">բուհ ընդունելության հետ կապված իրավահարաբերությունները շարունակվում են կարգավորվել «Բարձրագույն և հետբուհական մասնագիտական կրթության մասին» օրենքի 14-րդ հոդվածի 5-րդ մասի և 21-րդ հոդվածի 2-րդ մասի 11-րդ կետի և </w:t>
      </w:r>
      <w:r w:rsidR="0079412D" w:rsidRPr="00A8746A">
        <w:rPr>
          <w:rFonts w:ascii="GHEA Grapalat" w:hAnsi="GHEA Grapalat" w:cs="Arial"/>
          <w:color w:val="333333"/>
          <w:sz w:val="24"/>
          <w:szCs w:val="24"/>
          <w:shd w:val="clear" w:color="auto" w:fill="FFFFFF"/>
        </w:rPr>
        <w:t>«Կրթության մասին» օրենքի 15-րդ հոդվածի 5-րդ մասի դրույթների հիման վրա ընդունված իրավական ակտերով:</w:t>
      </w:r>
      <w:r w:rsidR="00F053A6">
        <w:rPr>
          <w:rFonts w:ascii="GHEA Grapalat" w:hAnsi="GHEA Grapalat" w:cs="Arial"/>
          <w:color w:val="333333"/>
          <w:sz w:val="24"/>
          <w:szCs w:val="24"/>
          <w:shd w:val="clear" w:color="auto" w:fill="FFFFFF"/>
        </w:rPr>
        <w:t xml:space="preserve"> </w:t>
      </w:r>
    </w:p>
    <w:p w:rsidR="00A760F2" w:rsidRPr="00B6477C" w:rsidRDefault="00A760F2" w:rsidP="00802636">
      <w:pPr>
        <w:shd w:val="clear" w:color="auto" w:fill="FFFFFF"/>
        <w:spacing w:after="0" w:line="240" w:lineRule="auto"/>
        <w:ind w:firstLine="375"/>
        <w:jc w:val="both"/>
        <w:rPr>
          <w:rFonts w:ascii="GHEA Grapalat" w:hAnsi="GHEA Grapalat" w:cs="Arial"/>
          <w:color w:val="FF0000"/>
          <w:sz w:val="24"/>
          <w:szCs w:val="24"/>
          <w:shd w:val="clear" w:color="auto" w:fill="FFFFFF"/>
        </w:rPr>
      </w:pPr>
      <w:r w:rsidRPr="00B6477C">
        <w:rPr>
          <w:rFonts w:ascii="GHEA Grapalat" w:hAnsi="GHEA Grapalat" w:cs="Arial"/>
          <w:color w:val="FF0000"/>
          <w:sz w:val="24"/>
          <w:szCs w:val="24"/>
          <w:shd w:val="clear" w:color="auto" w:fill="FFFFFF"/>
          <w:lang w:val="hy-AM"/>
        </w:rPr>
        <w:t>7</w:t>
      </w:r>
      <w:r w:rsidRPr="00B6477C">
        <w:rPr>
          <w:rFonts w:ascii="MS Gothic" w:eastAsia="MS Gothic" w:hAnsi="MS Gothic" w:cs="MS Gothic" w:hint="eastAsia"/>
          <w:color w:val="FF0000"/>
          <w:sz w:val="24"/>
          <w:szCs w:val="24"/>
          <w:shd w:val="clear" w:color="auto" w:fill="FFFFFF"/>
        </w:rPr>
        <w:t>․</w:t>
      </w:r>
      <w:r w:rsidRPr="00B6477C">
        <w:rPr>
          <w:rFonts w:ascii="GHEA Grapalat" w:hAnsi="GHEA Grapalat" w:cs="Arial"/>
          <w:color w:val="FF0000"/>
          <w:sz w:val="24"/>
          <w:szCs w:val="24"/>
          <w:shd w:val="clear" w:color="auto" w:fill="FFFFFF"/>
        </w:rPr>
        <w:t>1</w:t>
      </w:r>
      <w:r w:rsidR="00B6477C" w:rsidRPr="00B6477C">
        <w:rPr>
          <w:rFonts w:ascii="GHEA Grapalat" w:hAnsi="GHEA Grapalat" w:cs="Arial"/>
          <w:color w:val="FF0000"/>
          <w:sz w:val="24"/>
          <w:szCs w:val="24"/>
          <w:shd w:val="clear" w:color="auto" w:fill="FFFFFF"/>
          <w:lang w:val="hy-AM"/>
        </w:rPr>
        <w:t>.</w:t>
      </w:r>
      <w:r w:rsidRPr="00B6477C">
        <w:rPr>
          <w:rFonts w:ascii="GHEA Grapalat" w:hAnsi="GHEA Grapalat" w:cs="Arial"/>
          <w:color w:val="FF0000"/>
          <w:sz w:val="24"/>
          <w:szCs w:val="24"/>
          <w:shd w:val="clear" w:color="auto" w:fill="FFFFFF"/>
        </w:rPr>
        <w:t xml:space="preserve"> Մինչև սույն օրենքի 10-րդ հոդվածի 13-րդ մասով նախատեսված մասնակի բեռնվածությամբ ուսումնառության գործընթացների՝ սույն օրենքի 43-րդ հոդվածի 3-րդ մասով սահմանված ժամկետներում ներդրումն ու կազմակերպումը՝ բուհերում</w:t>
      </w:r>
      <w:r w:rsidRPr="00B6477C">
        <w:rPr>
          <w:rFonts w:ascii="Calibri" w:hAnsi="Calibri" w:cs="Calibri"/>
          <w:color w:val="FF0000"/>
          <w:sz w:val="24"/>
          <w:szCs w:val="24"/>
          <w:shd w:val="clear" w:color="auto" w:fill="FFFFFF"/>
        </w:rPr>
        <w:t> </w:t>
      </w:r>
      <w:r w:rsidRPr="00B6477C">
        <w:rPr>
          <w:rFonts w:ascii="GHEA Grapalat" w:hAnsi="GHEA Grapalat" w:cs="Arial"/>
          <w:color w:val="FF0000"/>
          <w:sz w:val="24"/>
          <w:szCs w:val="24"/>
          <w:shd w:val="clear" w:color="auto" w:fill="FFFFFF"/>
        </w:rPr>
        <w:t>հեռակա ուսուցման ընդունելության հետ կապված հարաբերությունները շարունակվում են կարգավորվել «Կրթության մասին» օրենքի 14-րդ հոդվածի 8-րդ մասի,</w:t>
      </w:r>
      <w:r w:rsidR="002263A9" w:rsidRPr="00B6477C">
        <w:rPr>
          <w:rFonts w:ascii="GHEA Grapalat" w:hAnsi="GHEA Grapalat" w:cs="Arial"/>
          <w:color w:val="FF0000"/>
          <w:sz w:val="24"/>
          <w:szCs w:val="24"/>
          <w:shd w:val="clear" w:color="auto" w:fill="FFFFFF"/>
        </w:rPr>
        <w:t xml:space="preserve"> </w:t>
      </w:r>
      <w:r w:rsidRPr="00B6477C">
        <w:rPr>
          <w:rFonts w:ascii="GHEA Grapalat" w:hAnsi="GHEA Grapalat" w:cs="Arial"/>
          <w:color w:val="FF0000"/>
          <w:sz w:val="24"/>
          <w:szCs w:val="24"/>
          <w:shd w:val="clear" w:color="auto" w:fill="FFFFFF"/>
        </w:rPr>
        <w:t xml:space="preserve"> 37-րդ հոդվածի 1-ին մասի 9-րդ կետի դրույթների հիման ընդուն</w:t>
      </w:r>
      <w:r w:rsidR="00F42C99" w:rsidRPr="00B6477C">
        <w:rPr>
          <w:rFonts w:ascii="GHEA Grapalat" w:hAnsi="GHEA Grapalat" w:cs="Arial"/>
          <w:color w:val="FF0000"/>
          <w:sz w:val="24"/>
          <w:szCs w:val="24"/>
          <w:shd w:val="clear" w:color="auto" w:fill="FFFFFF"/>
        </w:rPr>
        <w:t>վ</w:t>
      </w:r>
      <w:r w:rsidRPr="00B6477C">
        <w:rPr>
          <w:rFonts w:ascii="GHEA Grapalat" w:hAnsi="GHEA Grapalat" w:cs="Arial"/>
          <w:color w:val="FF0000"/>
          <w:sz w:val="24"/>
          <w:szCs w:val="24"/>
          <w:shd w:val="clear" w:color="auto" w:fill="FFFFFF"/>
        </w:rPr>
        <w:t>ած իրավական ակտերով։</w:t>
      </w:r>
      <w:r w:rsidR="00802636" w:rsidRPr="00B6477C">
        <w:rPr>
          <w:rFonts w:ascii="GHEA Grapalat" w:hAnsi="GHEA Grapalat" w:cs="Arial"/>
          <w:color w:val="FF0000"/>
          <w:sz w:val="24"/>
          <w:szCs w:val="24"/>
          <w:shd w:val="clear" w:color="auto" w:fill="FFFFFF"/>
        </w:rPr>
        <w:t xml:space="preserve">   </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8. Սույն օրենքի 24-րդ հոդվածի 3-րդ մասն ուժի մեջ է մտնում 2027 թվականի հունվարի 1-ից: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9. Սույն օրենքի 28-րդ հոդվածի 3-րդ և 4-րդ մասերն ուժի մեջ են մտնում 2029-2030 թվականների ուսումնական տարվանից. նշված ժամանակահատվածից նշված մասերը կիրարկվում են Կառավարության որոշմամբ խոշորացված հանրային բուհերի դեպքում:</w:t>
      </w:r>
    </w:p>
    <w:p w:rsidR="00A760F2" w:rsidRDefault="00A760F2" w:rsidP="00A760F2">
      <w:pPr>
        <w:shd w:val="clear" w:color="auto" w:fill="FFFFFF"/>
        <w:spacing w:after="0" w:line="240" w:lineRule="auto"/>
        <w:ind w:firstLine="375"/>
        <w:jc w:val="both"/>
        <w:rPr>
          <w:rFonts w:ascii="GHEA Grapalat" w:eastAsia="Times New Roman" w:hAnsi="GHEA Grapalat" w:cs="Arial"/>
          <w:color w:val="FF0000"/>
          <w:kern w:val="0"/>
          <w:sz w:val="28"/>
          <w:szCs w:val="28"/>
          <w:lang w:val="hy-AM"/>
          <w14:ligatures w14:val="none"/>
        </w:rPr>
      </w:pPr>
      <w:r w:rsidRPr="00B6477C">
        <w:rPr>
          <w:rFonts w:ascii="GHEA Grapalat" w:hAnsi="GHEA Grapalat" w:cs="Arial"/>
          <w:color w:val="FF0000"/>
          <w:sz w:val="24"/>
          <w:szCs w:val="24"/>
          <w:shd w:val="clear" w:color="auto" w:fill="FFFFFF"/>
        </w:rPr>
        <w:t>«9.1 Սույն օրենքի 31-րդ հոդվածի 2-րդ, 4-րդ, 5-րդ,  8-րդ և 9-րդ մասերը կիրարկվում են Կառավարության որոշմամբ խոշորացված հանրային բուհերի դեպքում: Մինչև այդ բուերի ռեկտորների ընտրության  հետ կապված իրավահարաբերությունները շարունակում են կարգավորվել</w:t>
      </w:r>
      <w:r w:rsidRPr="00B6477C">
        <w:rPr>
          <w:rFonts w:ascii="Calibri" w:hAnsi="Calibri" w:cs="Calibri"/>
          <w:color w:val="FF0000"/>
          <w:sz w:val="24"/>
          <w:szCs w:val="24"/>
          <w:shd w:val="clear" w:color="auto" w:fill="FFFFFF"/>
        </w:rPr>
        <w:t> </w:t>
      </w:r>
      <w:r w:rsidRPr="00B6477C">
        <w:rPr>
          <w:rFonts w:ascii="GHEA Grapalat" w:hAnsi="GHEA Grapalat" w:cs="Arial"/>
          <w:color w:val="FF0000"/>
          <w:sz w:val="24"/>
          <w:szCs w:val="24"/>
          <w:shd w:val="clear" w:color="auto" w:fill="FFFFFF"/>
        </w:rPr>
        <w:t>բուհերի կանոնադրություններով սահմանված կարգով և պահանջներով»։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10. Սույն օրենքի 39-րդ հոդվածի 2-րդ մասի 1-ին կետն ուժի մեջ է մտնում 2027 թվականի հունվարի 1-ից: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 xml:space="preserve">11. Սույն օրենքն ուժի մեջ մտնելու պահից ուժը կորցրած ճանաչել «Բարձրագույն և հետբուհական մասնագիտական կրթության մասին» 2004 թվականի դեկտեմբերի 14-ի ՀՕ-62-Ն օրենքը, բացառությամբ այդ օրենքի 6-րդ հոդվածի 4-րդ և 4.1-4.3-րդ մասերի, </w:t>
      </w:r>
      <w:r w:rsidRPr="005D09DC">
        <w:rPr>
          <w:rFonts w:ascii="GHEA Grapalat" w:eastAsia="Times New Roman" w:hAnsi="GHEA Grapalat" w:cs="Arial"/>
          <w:strike/>
          <w:color w:val="333333"/>
          <w:kern w:val="0"/>
          <w:sz w:val="24"/>
          <w:szCs w:val="24"/>
          <w:lang w:val="hy-AM"/>
          <w14:ligatures w14:val="none"/>
        </w:rPr>
        <w:t>8-րդ հոդվածի 2-րդ մասի 21-րդ կետի</w:t>
      </w:r>
      <w:r>
        <w:rPr>
          <w:rFonts w:ascii="GHEA Grapalat" w:eastAsia="Times New Roman" w:hAnsi="GHEA Grapalat" w:cs="Arial"/>
          <w:color w:val="333333"/>
          <w:kern w:val="0"/>
          <w:sz w:val="24"/>
          <w:szCs w:val="24"/>
          <w:lang w:val="hy-AM"/>
          <w14:ligatures w14:val="none"/>
        </w:rPr>
        <w:t xml:space="preserve">, 14-րդ </w:t>
      </w:r>
      <w:r>
        <w:rPr>
          <w:rFonts w:ascii="GHEA Grapalat" w:eastAsia="Times New Roman" w:hAnsi="GHEA Grapalat" w:cs="Arial"/>
          <w:color w:val="333333"/>
          <w:kern w:val="0"/>
          <w:sz w:val="24"/>
          <w:szCs w:val="24"/>
          <w:lang w:val="hy-AM"/>
          <w14:ligatures w14:val="none"/>
        </w:rPr>
        <w:lastRenderedPageBreak/>
        <w:t>հոդվածի, 21-րդ հոդվածի 1-ին մասի 12-րդ կետի և 2-րդ մասի 10-րդ կետի դրույթների, որոնք շարունակում են գործել մինչև 2027 թվականի հունվարի 1-ը: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12. Սույն օրենքն ուժի մեջ մտնելու պահից ուժը կորցրած ճանաչել «Գիտական և գիտատեխնիկական գործունեության մասին» 2000 թվականի դեկտեմբերի 5-ի ՀՕ-119 օրենքը: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13. Սույն օրենքն ուժի մեջ մտնելու պահից ուժը կորցրած ճանաչել «Հայաստանի Հանրապետության գիտությունների ազգային ակադեմիայի մասին» 2011 թվականի ապրիլի 14-ի ՀՕ-135-Ն օրենքը: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14. Սույն օրենքն ուժի մեջ մտնելու պահից ուժը կորցրած ճանաչել «Գիտական և գիտատեխնիկական փորձաքննության մասին» 2015 թվականի ապրիլի 7-ի ՀՕ-23-Ն օրենքը: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15. Կրոնական բարձրագույն ուսումնական հաստատությունների դեպքում չեն գործում սույն օրենքի 4-րդ հոդվածի 1-ին մասի 19-րդ կետով սահմանվող՝ բարձրագույն կրթության և գիտության ոլորտների աշխարհիկ բնույթին վերաբերող սկզբունքը, ինչպես նաև 14-րդ հոդվածի 11-րդ մասով նախատեսված սահմանափակումը: Կրոնական բարձրագույն ուսումնական հաստատությունների կողմից առաջարկվող կրթական ծրագրերը պետք է ուղղված լինեն հոգևոր ծառայության կադրեր պատրաստելուն: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16. Հայաստանի Հանրապետությունում բուհերի միջազգային վարկանիշավորման աղյուսակների առաջին հիսնյակում գտնվող բուհերի մասնաճյուղեր հիմնադրելիս Կառավարությունը կարող է սահմանել դրանց գործունեության համար սույն օրենքով սահմանված կազմակերպական-իրավական ձևին վերաբերող, ինչպես նաև սույն օրենքի 14-րդ հոդվածի 10-րդ մասի 1-ին և 4-րդ կետերով և 11-րդ մասով նախատեսված պայմաններից կամ սահմանափակումներից տարբերվող պայմաններ կամ սահմանափակումներ:</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388"/>
      </w:tblGrid>
      <w:tr w:rsidR="00A760F2" w:rsidTr="00A760F2">
        <w:trPr>
          <w:tblCellSpacing w:w="6" w:type="dxa"/>
        </w:trPr>
        <w:tc>
          <w:tcPr>
            <w:tcW w:w="1620" w:type="dxa"/>
            <w:shd w:val="clear" w:color="auto" w:fill="FFFFFF"/>
            <w:hideMark/>
          </w:tcPr>
          <w:p w:rsidR="00A760F2" w:rsidRDefault="00A760F2">
            <w:pPr>
              <w:spacing w:after="0" w:line="240" w:lineRule="auto"/>
              <w:jc w:val="center"/>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Հոդված 44</w:t>
            </w:r>
            <w:r>
              <w:rPr>
                <w:rFonts w:ascii="Cambria Math" w:eastAsia="Times New Roman" w:hAnsi="Cambria Math" w:cs="Cambria Math"/>
                <w:b/>
                <w:bCs/>
                <w:color w:val="333333"/>
                <w:kern w:val="0"/>
                <w:sz w:val="24"/>
                <w:szCs w:val="24"/>
                <w14:ligatures w14:val="none"/>
              </w:rPr>
              <w:t>․</w:t>
            </w:r>
          </w:p>
        </w:tc>
        <w:tc>
          <w:tcPr>
            <w:tcW w:w="0" w:type="auto"/>
            <w:shd w:val="clear" w:color="auto" w:fill="FFFFFF"/>
            <w:hideMark/>
          </w:tcPr>
          <w:p w:rsidR="00A760F2" w:rsidRDefault="00A760F2">
            <w:pPr>
              <w:spacing w:after="0" w:line="240" w:lineRule="auto"/>
              <w:rPr>
                <w:rFonts w:ascii="GHEA Grapalat" w:eastAsia="Times New Roman" w:hAnsi="GHEA Grapalat" w:cs="Arial"/>
                <w:color w:val="333333"/>
                <w:kern w:val="0"/>
                <w:sz w:val="24"/>
                <w:szCs w:val="24"/>
                <w14:ligatures w14:val="none"/>
              </w:rPr>
            </w:pPr>
            <w:r>
              <w:rPr>
                <w:rFonts w:ascii="GHEA Grapalat" w:eastAsia="Times New Roman" w:hAnsi="GHEA Grapalat" w:cs="Arial"/>
                <w:b/>
                <w:bCs/>
                <w:color w:val="333333"/>
                <w:kern w:val="0"/>
                <w:sz w:val="24"/>
                <w:szCs w:val="24"/>
                <w14:ligatures w14:val="none"/>
              </w:rPr>
              <w:t>Անցումային դրույթներ</w:t>
            </w:r>
          </w:p>
        </w:tc>
      </w:tr>
    </w:tbl>
    <w:p w:rsidR="00A760F2" w:rsidRDefault="00A760F2" w:rsidP="00A760F2">
      <w:pPr>
        <w:shd w:val="clear" w:color="auto" w:fill="FFFFFF"/>
        <w:spacing w:after="0" w:line="240" w:lineRule="auto"/>
        <w:ind w:firstLine="375"/>
        <w:rPr>
          <w:rFonts w:ascii="GHEA Grapalat" w:eastAsia="Times New Roman" w:hAnsi="GHEA Grapalat" w:cs="Arial"/>
          <w:color w:val="333333"/>
          <w:kern w:val="0"/>
          <w:sz w:val="24"/>
          <w:szCs w:val="24"/>
          <w14:ligatures w14:val="none"/>
        </w:rPr>
      </w:pPr>
      <w:r>
        <w:rPr>
          <w:rFonts w:ascii="Calibri" w:eastAsia="Times New Roman" w:hAnsi="Calibri" w:cs="Calibri"/>
          <w:color w:val="333333"/>
          <w:kern w:val="0"/>
          <w:sz w:val="24"/>
          <w:szCs w:val="24"/>
          <w14:ligatures w14:val="none"/>
        </w:rPr>
        <w:t> </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 Սույն օրենքն ուժի մեջ մտնելուց հետո բոլոր լիցենզավորված կրթական ծրագրեր իրականացնող բուհերը պարտավոր են օրենքով սահմանված կարգով, սույն օրենքի 14-րդ և 16-րդ հոդվածների դրույթներին համապատասխան, մինչև 2028 թվականը դիմել բուհի և ծրագրային լիցենզավորման համար: Համապատասխան լիցենզիա ստացած բուհերը համարվում են առաջին անգամ լիցենզավորված և ենթակա են հավատարմագրման սույն օրենքի 19-րդ հոդվածով սահմանված ժամանակահատվածում և պայմաններով: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2. Մինչև Կառավարության 2011 թվականի հունիսի 30-ի 978-Ն որոշման ընդունումը շնորհված հավատարմագրման վկայականները վավեր են մինչև 2027 թվականի դեկտեմբերի 31-ը: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 xml:space="preserve">3. Մինչև սույն օրենքն ուժի մեջ մտնելը լիցենզիա ունեցող կրթական ծրագրերը, բացառությամբ Կառավարության 2011 թվականի հունիսի 30-ի 978-Ն որոշմամբ սահմանված կարգով ծրագրային հավատարմագրում չանցած բժշկական մասնագիտություններով որակավորում շնորհող ծրագրերի, սույն օրենքն ուժի մեջ մտնելուց հետո համարվում են նախահավատարմագրված, և </w:t>
      </w:r>
      <w:r>
        <w:rPr>
          <w:rFonts w:ascii="GHEA Grapalat" w:eastAsia="Times New Roman" w:hAnsi="GHEA Grapalat" w:cs="Arial"/>
          <w:color w:val="333333"/>
          <w:kern w:val="0"/>
          <w:sz w:val="24"/>
          <w:szCs w:val="24"/>
          <w14:ligatures w14:val="none"/>
        </w:rPr>
        <w:lastRenderedPageBreak/>
        <w:t>դրանց շրջանավարտներին շնորհված որակավորումները ճանաչվում են պետության կողմից: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4. Սույն օրենքն ուժի մեջ մտնելու պահից գիտությունների թեկնածուի և գիտությունների դոկտորի գիտական աստիճանները հավասարեցվում են սույն օրենքի 11-րդ հոդվածի 1-ին մասի 3-րդ կետին համապատասխան շնորհված դոկտորի գիտական աստիճանին:</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5. Սույն օրենքի 27-րդ հոդվածի դրույթներին համապատասխան՝ գիտական կազմակերպությունների հոգաբարձուների խորհուրդները ձևավորվում են սույն օրենքն ուժի մեջ մտնելուց հետո՝ ութ ամսվա ընթացքում</w:t>
      </w:r>
      <w:r>
        <w:rPr>
          <w:rFonts w:ascii="GHEA Grapalat" w:eastAsia="Times New Roman" w:hAnsi="GHEA Grapalat" w:cs="Arial"/>
          <w:color w:val="FF0000"/>
          <w:kern w:val="0"/>
          <w:sz w:val="28"/>
          <w:szCs w:val="28"/>
          <w:lang w:val="hy-AM"/>
          <w14:ligatures w14:val="none"/>
        </w:rPr>
        <w:t xml:space="preserve">, </w:t>
      </w:r>
      <w:r w:rsidRPr="00B6477C">
        <w:rPr>
          <w:rFonts w:ascii="GHEA Grapalat" w:eastAsia="Times New Roman" w:hAnsi="GHEA Grapalat" w:cs="Arial"/>
          <w:color w:val="FF0000"/>
          <w:kern w:val="0"/>
          <w:sz w:val="24"/>
          <w:szCs w:val="24"/>
          <w:lang w:val="hy-AM"/>
          <w14:ligatures w14:val="none"/>
        </w:rPr>
        <w:t>իսկ սույն օրենքի 27-րդ հոդվածի  7-րդ մասը գործելու է  2028 թվականից</w:t>
      </w:r>
      <w:r>
        <w:rPr>
          <w:rFonts w:ascii="GHEA Grapalat" w:eastAsia="Times New Roman" w:hAnsi="GHEA Grapalat" w:cs="Arial"/>
          <w:color w:val="333333"/>
          <w:kern w:val="0"/>
          <w:sz w:val="24"/>
          <w:szCs w:val="24"/>
          <w:lang w:val="hy-AM"/>
          <w14:ligatures w14:val="none"/>
        </w:rPr>
        <w:t xml:space="preserve"> </w:t>
      </w:r>
      <w:r>
        <w:rPr>
          <w:rFonts w:ascii="GHEA Grapalat" w:eastAsia="Times New Roman" w:hAnsi="GHEA Grapalat" w:cs="Arial"/>
          <w:color w:val="333333"/>
          <w:kern w:val="0"/>
          <w:sz w:val="24"/>
          <w:szCs w:val="24"/>
          <w14:ligatures w14:val="none"/>
        </w:rPr>
        <w:t>:</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6. Մինչև սույն օրենքի 43-րդ հոդվածի 9-րդ մասով նախատեսված պայմաններն ուժի մեջ մտնելը`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1) հանրային բուհի հոգաբարձուների խորհուրդը ձևավորվում է բուհի ակադեմիական կազմից, ուսանողության ներկայացուցիչներից, ինչպես նաև հիմնադրի և Լիազոր մարմնի ներկայացուցիչներից.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2) հանրային բուհի հոգաբարձուների խորհրդի անդամներից հինգին առաջադրում է Լիազոր մարմինը, իսկ հինգին՝ հիմնադիրը.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3) հանրային բուհի հոգաբարձուների խորհրդի անդամներից տասին բուհի կանոնադրությամբ սահմանված կարգով ներկայացնում է բուհը, որոնցից հինգին՝ ակադեմիական կազմի ներկայացուցիչներից (ներառյալ բուհի կառուցվածքում գործող գիտական կազմակերպություններից՝ առավելագույնս ապահովելով բուհի տարբեր ակադեմիական միավորների ներկայացվածությունը), իսկ հինգին՝ ուսանողական ներկայացուցչական մարմնի ներկայացուցիչներից:</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7. Սույն օրենքի 26-րդ հոդվածի 7-րդ մասը պարտադիր չէ սույն հոդվածի 6-րդ մասի հիմքով ձևավորվող հոգաբարձուների խորհրդի հիմնադրի և Լիազոր մարմնի ներկայացուցիչների համար:</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8. Սույն օրենքի 9-րդ հոդվածով հանրային գիտական կազմակերպությունների պատվավոր առաջատար և պատվավոր գլխավոր գիտաշխատողներին վերաբերող դրույթները գործելու են 2027 թվականից: Մինչև այդ, սույն օրենքն ուժի մեջ մտնելուց հետո՝ վեց ամսվա ընթացքում, հաստատվում է Ակադեմիայի կանոնադրությունը, և սահմանված ժամկետներում կազմակերպվում է Ակադեմիայի նոր անդամների ընտրությունը և ձևավորվում Ակադեմիայի հոգաբարձուների խորհուրդը՝ նախագահությունը, որի անդամներն առաջադրվում են Ակադեմիայի կողմից՝ սույն օրենքի 9-րդ հոդվածի 6-րդ մասի պահանջները բավարարող անձանցից: Ակադեմիայի նախագահությունը կազմակերպում է Ակադեմիայի նախագահի ընտրությունը, նախագահի ներկայացմամբ հաստատում Ակադեմիայի կառուցվածքն ու ղեկավար կազմը՝ սույն օրենքով Ակադեմիային վերապահված գործառույթները կազմակերպելու և իրականացնելու նպատակով:</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14:ligatures w14:val="none"/>
        </w:rPr>
      </w:pPr>
      <w:r>
        <w:rPr>
          <w:rFonts w:ascii="GHEA Grapalat" w:eastAsia="Times New Roman" w:hAnsi="GHEA Grapalat" w:cs="Arial"/>
          <w:color w:val="333333"/>
          <w:kern w:val="0"/>
          <w:sz w:val="24"/>
          <w:szCs w:val="24"/>
          <w14:ligatures w14:val="none"/>
        </w:rPr>
        <w:t xml:space="preserve">9. Սույն օրենքն ուժի մեջ մտնելու պահից Ակադեմիայի համակարգի կազմակերպություններն անցնում են կրթության և գիտության ոլորտների պետական կառավարման լիազոր մարմնի ենթակայության տակ, որոնց վրա չեն </w:t>
      </w:r>
      <w:r>
        <w:rPr>
          <w:rFonts w:ascii="GHEA Grapalat" w:eastAsia="Times New Roman" w:hAnsi="GHEA Grapalat" w:cs="Arial"/>
          <w:color w:val="333333"/>
          <w:kern w:val="0"/>
          <w:sz w:val="24"/>
          <w:szCs w:val="24"/>
          <w14:ligatures w14:val="none"/>
        </w:rPr>
        <w:lastRenderedPageBreak/>
        <w:t>տարածվում սույն օրենքի 8-րդ հոդվածի 2-րդ մասի 2-րդ կետի և 27-րդ հոդվածի 19-րդ մասի կարգավորումները մինչև Կառավարության որոշմամբ և սույն օրենքի կարգավորումներով համապատասխան խոշորացված հանրային հետազոտական համալսարանների կազմում ներառվելը կամ սույն օրենքով սահմանված գիտական կազմակերպությունների տեսակներին համապատասխանեցվելը: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14:ligatures w14:val="none"/>
        </w:rPr>
        <w:t>10. Սույն օրենքի 31-րդ հոդվածի 3-րդ մասով սահմանված երկու անգամ անընդմեջ ընտրվելու սահմանափակումը գործում է սույն օրենքն ուժի մեջ մտնելուց հետո և չի տարածվում մինչև այդ ընտրված ռեկտորների վրա</w:t>
      </w:r>
      <w:r>
        <w:rPr>
          <w:rFonts w:ascii="GHEA Grapalat" w:eastAsia="Times New Roman" w:hAnsi="GHEA Grapalat" w:cs="Arial"/>
          <w:color w:val="333333"/>
          <w:kern w:val="0"/>
          <w:sz w:val="24"/>
          <w:szCs w:val="24"/>
          <w:lang w:val="hy-AM"/>
          <w14:ligatures w14:val="none"/>
        </w:rPr>
        <w:t>։</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11. Սույն օրենքն ուժի մեջ մտնելուց հետո բոլոր լիցենզավորված կրթական ծրագրերը և լիցենզավորված կրթական ծրագրեր իրականացնող բուհերը համարվում են նախահավատարմագրված և պարտավոր են սույն օրենքով սահմանված կարգով և ժամկետներում անցնել ինստիտուցիոնալ և ծրագրային հավատարմագրում:</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12. Խոշորացված հետազոտական համալսարանների ձևավորման ժամանակ բուհին կամ գիտական կազմակերպությանը սեփականության իրավունքով պատկանող գույքը բուհի կամ գիտական կազմակերպության վերակազմավորման արդյունքով համապատասխանաբար անցնում է հանրային բուհի կամ հանրային գիտական կազմակերպության տնօրինմանը:</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13. Ակադեմիական քաղաքի տարածքից դուրս արգելվում է բուհական նոր ենթակառուցվածքների ստեղծումը, եթե դա պայմանավորված չէ ենթակառուցվածքի բաղադրիչի կոնկրետ բնակլիմայական կամ աշխարհագրական առանձնահատկություններով: Մինչև սույն օրենքն ուժի մեջ մտնելը լիցենզիա ունեցող բուհերը իրենց գործունեությունը կարող են շարունակել իրենց տրված լիցենզիայում նշված գործունեության վայրում: Սույն օրենքն ուժի մեջ մտնելուց հետո կրթական ենթակառուցվածքների ընդլայնում հնարավոր է միայն Կառավարության հաստատած ակադեմիական քաղաքի հայեցակարգի հետ համապատասխանության պարագայում, որի վերաբերյալ եզրակացությունը տալիս է Լիազոր մարմինը` «Ակադեմիական քաղաք» հիմնադրամի կարծիքի հիման վրա:</w:t>
      </w:r>
    </w:p>
    <w:p w:rsidR="00A760F2" w:rsidRDefault="00A760F2" w:rsidP="00A760F2">
      <w:pPr>
        <w:shd w:val="clear" w:color="auto" w:fill="FFFFFF"/>
        <w:spacing w:after="0" w:line="240" w:lineRule="auto"/>
        <w:ind w:firstLine="375"/>
        <w:jc w:val="both"/>
        <w:rPr>
          <w:rFonts w:ascii="GHEA Grapalat" w:eastAsia="Times New Roman" w:hAnsi="GHEA Grapalat" w:cs="Arial"/>
          <w:color w:val="333333"/>
          <w:kern w:val="0"/>
          <w:sz w:val="24"/>
          <w:szCs w:val="24"/>
          <w:lang w:val="hy-AM"/>
          <w14:ligatures w14:val="none"/>
        </w:rPr>
      </w:pPr>
      <w:r>
        <w:rPr>
          <w:rFonts w:ascii="GHEA Grapalat" w:eastAsia="Times New Roman" w:hAnsi="GHEA Grapalat" w:cs="Arial"/>
          <w:color w:val="333333"/>
          <w:kern w:val="0"/>
          <w:sz w:val="24"/>
          <w:szCs w:val="24"/>
          <w:lang w:val="hy-AM"/>
          <w14:ligatures w14:val="none"/>
        </w:rPr>
        <w:t>14. Ակադեմիական քաղաք տեղափոխված հանրային բուհերին և գիտական կազմակերպություններին անհատույց տրամադրված անշարժ գույքը սեփականության իրավունքով տրամադրվում է «Ակադեմիական քաղաք» հիմնադրամին տրամադրված գույքի շահագործումն իրականացնելու համար՝ համաձայն Կառավարության հաստատած գույքի շահագործման ռազմավարության, որը մշակվում է միջազգային հեղինակավոր ընկերությունների խորհրդատվությամբ: Ենթակառուցվածքների շահագործումից առաջացող ամբողջ եկամուտն ուղղվում է «Ակադեմիական քաղաք» ծրագրի իրականացմանը կամ «Ակադեմիական քաղաք» հիմնադրամի անձեռնմխելի կապիտալի համալրմանը:</w:t>
      </w:r>
    </w:p>
    <w:p w:rsidR="00301D21" w:rsidRPr="00B6477C" w:rsidRDefault="00A760F2" w:rsidP="00B6477C">
      <w:pPr>
        <w:shd w:val="clear" w:color="auto" w:fill="FFFFFF"/>
        <w:spacing w:after="0" w:line="240" w:lineRule="auto"/>
        <w:ind w:firstLine="375"/>
        <w:jc w:val="both"/>
        <w:rPr>
          <w:lang w:val="hy-AM"/>
        </w:rPr>
      </w:pPr>
      <w:r>
        <w:rPr>
          <w:rFonts w:ascii="GHEA Grapalat" w:eastAsia="Times New Roman" w:hAnsi="GHEA Grapalat" w:cs="Arial"/>
          <w:color w:val="333333"/>
          <w:kern w:val="0"/>
          <w:sz w:val="24"/>
          <w:szCs w:val="24"/>
          <w:lang w:val="hy-AM"/>
          <w14:ligatures w14:val="none"/>
        </w:rPr>
        <w:t xml:space="preserve">15. Բուհերում ընտրական անկախ մարմնի ձևավորումից հետո՝ երեք ամսվա ընթացքում, կազմակերպվում են նոր ուսանողական ներկայացուցչական մարմնի և ակադեմիական խորհրդի ընտրություններ։ Գործող ուսանողական </w:t>
      </w:r>
      <w:r>
        <w:rPr>
          <w:rFonts w:ascii="GHEA Grapalat" w:eastAsia="Times New Roman" w:hAnsi="GHEA Grapalat" w:cs="Arial"/>
          <w:color w:val="333333"/>
          <w:kern w:val="0"/>
          <w:sz w:val="24"/>
          <w:szCs w:val="24"/>
          <w:lang w:val="hy-AM"/>
          <w14:ligatures w14:val="none"/>
        </w:rPr>
        <w:lastRenderedPageBreak/>
        <w:t>խորհուրդների և գիտական խորհուրդների գործունեությունը դադարում է համապատասխան ընտրությունների ավարտից հետո՝ տասներորդ օրը:</w:t>
      </w:r>
    </w:p>
    <w:sectPr w:rsidR="00301D21" w:rsidRPr="00B647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2C4"/>
    <w:rsid w:val="000036DC"/>
    <w:rsid w:val="0003294C"/>
    <w:rsid w:val="00054BC0"/>
    <w:rsid w:val="001022C8"/>
    <w:rsid w:val="00205BD9"/>
    <w:rsid w:val="002263A9"/>
    <w:rsid w:val="002C6BC0"/>
    <w:rsid w:val="00301D21"/>
    <w:rsid w:val="00362F6B"/>
    <w:rsid w:val="003E3C3B"/>
    <w:rsid w:val="005A38A6"/>
    <w:rsid w:val="005D09DC"/>
    <w:rsid w:val="00730227"/>
    <w:rsid w:val="007447CA"/>
    <w:rsid w:val="0079412D"/>
    <w:rsid w:val="00802636"/>
    <w:rsid w:val="009942C4"/>
    <w:rsid w:val="00A73B1A"/>
    <w:rsid w:val="00A760F2"/>
    <w:rsid w:val="00A8746A"/>
    <w:rsid w:val="00B53F7F"/>
    <w:rsid w:val="00B6477C"/>
    <w:rsid w:val="00BB7C54"/>
    <w:rsid w:val="00BD3F5E"/>
    <w:rsid w:val="00BF04AC"/>
    <w:rsid w:val="00D77D1C"/>
    <w:rsid w:val="00D82D31"/>
    <w:rsid w:val="00E047E1"/>
    <w:rsid w:val="00EC7482"/>
    <w:rsid w:val="00EE6958"/>
    <w:rsid w:val="00F053A6"/>
    <w:rsid w:val="00F42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FBABF"/>
  <w15:chartTrackingRefBased/>
  <w15:docId w15:val="{8029DAE0-B2DC-4E3F-8E4C-EE549E63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0F2"/>
    <w:pPr>
      <w:spacing w:line="256" w:lineRule="auto"/>
    </w:pPr>
    <w:rPr>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A760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760F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30227"/>
    <w:rPr>
      <w:rFonts w:ascii="Times New Roman" w:eastAsia="Times New Roman" w:hAnsi="Times New Roman" w:cs="Times New Roman"/>
      <w:sz w:val="24"/>
      <w:szCs w:val="24"/>
      <w:lang w:val="en-US"/>
    </w:rPr>
  </w:style>
  <w:style w:type="character" w:customStyle="1" w:styleId="gmaildefault">
    <w:name w:val="gmail_default"/>
    <w:basedOn w:val="DefaultParagraphFont"/>
    <w:rsid w:val="00032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86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3430</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https:/mul2-edu.gov.am/tasks/1998460/oneclick?token=b8779852ff5afcae8fa5d52761eba8b2</cp:keywords>
  <dc:description/>
  <cp:lastModifiedBy>Sedrak Simonyan</cp:lastModifiedBy>
  <cp:revision>2</cp:revision>
  <dcterms:created xsi:type="dcterms:W3CDTF">2026-03-03T14:01:00Z</dcterms:created>
  <dcterms:modified xsi:type="dcterms:W3CDTF">2026-03-03T14:01:00Z</dcterms:modified>
</cp:coreProperties>
</file>