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0AC342" w14:textId="77777777" w:rsidR="002A2158" w:rsidRPr="004F3081" w:rsidRDefault="002A2158" w:rsidP="002A2158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  <w:r w:rsidRPr="004F3081">
        <w:rPr>
          <w:rFonts w:ascii="GHEA Grapalat" w:hAnsi="GHEA Grapalat" w:cs="Sylfaen"/>
          <w:b/>
          <w:sz w:val="24"/>
          <w:szCs w:val="24"/>
          <w:lang w:eastAsia="ru-RU"/>
        </w:rPr>
        <w:t>ՀԻՄՆԱՎՈՐՈՒՄ</w:t>
      </w:r>
    </w:p>
    <w:p w14:paraId="16D29108" w14:textId="6D0930AB" w:rsidR="00F240F0" w:rsidRPr="00F240F0" w:rsidRDefault="00F240F0" w:rsidP="00F240F0">
      <w:pPr>
        <w:pStyle w:val="ListParagraph"/>
        <w:ind w:left="261"/>
        <w:jc w:val="center"/>
        <w:rPr>
          <w:rFonts w:ascii="GHEA Grapalat" w:hAnsi="GHEA Grapalat" w:cs="Sylfaen"/>
          <w:b/>
          <w:noProof/>
          <w:sz w:val="24"/>
          <w:szCs w:val="24"/>
          <w:lang w:val="af-ZA" w:eastAsia="ru-RU"/>
        </w:rPr>
      </w:pP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>«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ՀԱՅԱՍՏԱՆԻ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ՀԱՆՐԱՊԵՏՈՒԹՅԱՆ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2026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ԹՎԱԿԱՆԻ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ՊԵՏԱԿԱՆ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ԲՅՈՒՋԵԻ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ՄԱՍԻՆ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»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ՕՐԵՆՔՈՒՄ</w:t>
      </w:r>
      <w:r w:rsidR="00A4672E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ԵՎ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ՀԱՅԱՍՏԱՆԻ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ՀԱՆՐԱՊԵՏՈՒԹՅԱՆ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ԿԱՌԱՎԱՐՈՒԹՅԱՆ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2025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ԹՎԱԿԱՆԻ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ԴԵԿՏԵՄԲԵՐԻ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25-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Ի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N 1910-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Ն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ՈՐՈՇՄԱՆ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ՄԵՋ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ՓՈՓՈԽՈՒԹՅՈՒՆՆԵՐ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ԿԱՏԱՐԵԼՈՒ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ՄԱՍԻՆ</w:t>
      </w:r>
    </w:p>
    <w:p w14:paraId="1B8D5F48" w14:textId="77777777" w:rsidR="007B5450" w:rsidRPr="007B5450" w:rsidRDefault="002A2158" w:rsidP="001F4A56">
      <w:pPr>
        <w:widowControl w:val="0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60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</w:rPr>
      </w:pPr>
      <w:r w:rsidRPr="004F3081">
        <w:rPr>
          <w:rFonts w:ascii="GHEA Grapalat" w:hAnsi="GHEA Grapalat" w:cs="GHEA Mariam"/>
          <w:b/>
          <w:sz w:val="24"/>
          <w:szCs w:val="24"/>
        </w:rPr>
        <w:t>Ընթացիկ</w:t>
      </w:r>
      <w:r w:rsidRPr="004F3081">
        <w:rPr>
          <w:rFonts w:ascii="GHEA Grapalat" w:hAnsi="GHEA Grapalat"/>
          <w:b/>
          <w:sz w:val="24"/>
          <w:szCs w:val="24"/>
        </w:rPr>
        <w:t xml:space="preserve"> իրավիճակը և իրավական ակտի ընդունման անհրաժեշտությունը, ա</w:t>
      </w:r>
      <w:r w:rsidRPr="004F3081">
        <w:rPr>
          <w:rFonts w:ascii="GHEA Grapalat" w:hAnsi="GHEA Grapalat" w:cs="Sylfaen"/>
          <w:b/>
          <w:sz w:val="24"/>
          <w:szCs w:val="24"/>
        </w:rPr>
        <w:t>ռաջարկվող կարգավորման բնույթը</w:t>
      </w:r>
    </w:p>
    <w:p w14:paraId="1F8DC1A1" w14:textId="7D930202" w:rsidR="000418D7" w:rsidRDefault="000418D7" w:rsidP="000418D7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Հայաստանի Հանրապետության կառավարության որոշման նախագծի ընդունումը պայմանավորված է 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թիվ ԵԴ2/5718/02/24 գործով Վճռաբեկ դատարանի 30</w:t>
      </w:r>
      <w:r w:rsidRPr="000418D7">
        <w:rPr>
          <w:rFonts w:ascii="Cambria Math" w:eastAsia="Times New Roman" w:hAnsi="Cambria Math" w:cs="Cambria Math"/>
          <w:color w:val="000000"/>
          <w:sz w:val="24"/>
          <w:szCs w:val="24"/>
          <w:lang w:eastAsia="ru-RU"/>
        </w:rPr>
        <w:t>․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03</w:t>
      </w:r>
      <w:r w:rsidRPr="000418D7">
        <w:rPr>
          <w:rFonts w:ascii="Cambria Math" w:eastAsia="Times New Roman" w:hAnsi="Cambria Math" w:cs="Cambria Math"/>
          <w:color w:val="000000"/>
          <w:sz w:val="24"/>
          <w:szCs w:val="24"/>
          <w:lang w:eastAsia="ru-RU"/>
        </w:rPr>
        <w:t>․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2026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թվականի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որոշմամբ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«Արբիտրաժի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և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հաշտարարության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հայաստանյան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կենտրոն»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հիմնադրամի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(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այսուհետ՝ Հիմնադրամ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)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վրա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դրված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ֆինանսական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պարտավորությա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ն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մարման անհրաժեշտությամբ։</w:t>
      </w:r>
    </w:p>
    <w:p w14:paraId="2B9D3EB4" w14:textId="3BFE0626" w:rsidR="000418D7" w:rsidRDefault="000418D7" w:rsidP="000418D7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Վճռաբեկ դատարանի 30</w:t>
      </w:r>
      <w:r w:rsidRPr="000418D7">
        <w:rPr>
          <w:rFonts w:ascii="Cambria Math" w:eastAsia="Times New Roman" w:hAnsi="Cambria Math" w:cs="Cambria Math"/>
          <w:color w:val="000000"/>
          <w:sz w:val="24"/>
          <w:szCs w:val="24"/>
          <w:lang w:eastAsia="ru-RU"/>
        </w:rPr>
        <w:t>․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03</w:t>
      </w:r>
      <w:r w:rsidRPr="000418D7">
        <w:rPr>
          <w:rFonts w:ascii="Cambria Math" w:eastAsia="Times New Roman" w:hAnsi="Cambria Math" w:cs="Cambria Math"/>
          <w:color w:val="000000"/>
          <w:sz w:val="24"/>
          <w:szCs w:val="24"/>
          <w:lang w:eastAsia="ru-RU"/>
        </w:rPr>
        <w:t>․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2026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թվականի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որոշմամբ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Հիմնադրամի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մասնակցությամբ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աշխատանքային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վեճը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վերջնական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լուծվել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է՝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քննվե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լով դատական երեք ատյաններում՝ 2024 թվականի օգոստոսի 7-ից մինչև 2026 թվականի մարտի 30 -ը (ընդհանուր՝ շուրջ 20 ամիս)։ Աշխատանքային վեճի հիմքում Հիմնադրամի նախկին տնօրեն Տաթևիկ Մատինյանի 2024 թվականի հուլիսի 3-ի հրամանն է արբիտրաժային գործերի կառավարիչ Մարիամ Մելիքյանին աշխատանքից ազատելու վերաբերյալ։ ՀՀ Երևան քաղաքի առաջին ատյանի ընդհանուր իրավասության քաղաքացիական դատարանի 2025 թվականի մարտի 18-ին հրապարակված վճռով հայցը բավարարվել է ամբողջությամբ՝ անվավեր է ճանաչվել աշխատանքից ազատելու մասին հրամանը և Հիմնադրամին պարտավորեցվել է վճարել հարկադիր պարապուրդի ժամանակահատվածի համար հատուցում միջին աշխատավարձի չափով` հարկադիր պարապուրդի ամբողջ ժամանակահատվածի համար և աշխատանքում չվերականգնելու դիմաց հատուցում՝ միջին աշխատավարձի 12-ապատիկի չափով։ Վճռի դեմ Հիմնադրամը 2025 թվականի ապրիլի 7-ին ներկայացրել է վերաքննիչ բողոք։ 2025 թվականի հուլիսի 18-ին վերաքննիչ դատարանի որոշմամբ Հիմնադրամի անունից ներկայացված վերաքննիչ բողոքը մասնակի բավարարվել է։ Վերաքննիչ դատարանի որոշմամբ նվազեցվել 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lastRenderedPageBreak/>
        <w:t>է Հիմնադրամի 2 պարտավորությունների ծավալը, իսկ մնացած մասով դատական ակտը մնացել է անփոփոխ։ Մասնավորապես, Հիմնադրամին պարտավորեցվել է վճարել հարկադիր պարապուրդի հատուցում` միջին աշխատավարձի չափով՝ 03</w:t>
      </w:r>
      <w:r w:rsidRPr="000418D7">
        <w:rPr>
          <w:rFonts w:ascii="Cambria Math" w:eastAsia="Times New Roman" w:hAnsi="Cambria Math" w:cs="Cambria Math"/>
          <w:color w:val="000000"/>
          <w:sz w:val="24"/>
          <w:szCs w:val="24"/>
          <w:lang w:eastAsia="ru-RU"/>
        </w:rPr>
        <w:t>․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07</w:t>
      </w:r>
      <w:r w:rsidRPr="000418D7">
        <w:rPr>
          <w:rFonts w:ascii="Cambria Math" w:eastAsia="Times New Roman" w:hAnsi="Cambria Math" w:cs="Cambria Math"/>
          <w:color w:val="000000"/>
          <w:sz w:val="24"/>
          <w:szCs w:val="24"/>
          <w:lang w:eastAsia="ru-RU"/>
        </w:rPr>
        <w:t>․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2024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թվականից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մինչև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03</w:t>
      </w:r>
      <w:r w:rsidRPr="000418D7">
        <w:rPr>
          <w:rFonts w:ascii="Cambria Math" w:eastAsia="Times New Roman" w:hAnsi="Cambria Math" w:cs="Cambria Math"/>
          <w:color w:val="000000"/>
          <w:sz w:val="24"/>
          <w:szCs w:val="24"/>
          <w:lang w:eastAsia="ru-RU"/>
        </w:rPr>
        <w:t>․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10</w:t>
      </w:r>
      <w:r w:rsidRPr="000418D7">
        <w:rPr>
          <w:rFonts w:ascii="Cambria Math" w:eastAsia="Times New Roman" w:hAnsi="Cambria Math" w:cs="Cambria Math"/>
          <w:color w:val="000000"/>
          <w:sz w:val="24"/>
          <w:szCs w:val="24"/>
          <w:lang w:eastAsia="ru-RU"/>
        </w:rPr>
        <w:t>․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2024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թվականը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(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ընդամե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նը 3 ամիս ժամանակահատվածի համար) և աշխատանքում չվերականգնելու դիմաց հատուցում՝ միջին աշխատավարձի 1-ապատիկի չափով։ Վերաքննիչ դատարանի որոշման դեմ Մարիամ Սասունիկի Մելիքյանը 2025 թվականի օգոստոսի 6-ին ներկայացրել է Վճռաբեկ բողոք։ Վճռաբեկ դատարանի 2026 թվականի մարտի 30 -ի որոշմամբ բողոքը բավարարվել է մասնակիորեն։ Մասնավորապես՝ Հիմնադրամին պարտավորեցվել է վճարել հարկադիր պարապուրդի հատուցում ամբողջ ժամանակահատվածի համար (21 ամիս) միջին աշխատավարձի չափով և աշխատանքում չվերականգնելու դիմաց հատուցում՝ միջին աշխատավարձի մեկապատիկի չափով։ Ամփոփելով՝ Վճռաբեկ դատարանի վերջնական որոշման հիման վրա Հիմնադրամի վրա դրվել է զգալի չափի դրամական պարտավորություն և տվյալ որոշման հիման վրա կատարված հաշվարկների արդյունքում Հիմնադրամի կողմից վճարման ենթակա գումարի չափը կազմում է 17,501,7</w:t>
      </w:r>
      <w:r w:rsidR="00A4672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92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ՀՀ դրամ՝</w:t>
      </w:r>
      <w:r w:rsidR="00A145F3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ներառյալ հարկերը (միջին ամսական աշխատավարձը կազմել է 795 </w:t>
      </w:r>
      <w:r w:rsidRPr="000418D7">
        <w:rPr>
          <w:rFonts w:ascii="Cambria Math" w:eastAsia="Times New Roman" w:hAnsi="Cambria Math" w:cs="Cambria Math"/>
          <w:color w:val="000000"/>
          <w:sz w:val="24"/>
          <w:szCs w:val="24"/>
          <w:lang w:eastAsia="ru-RU"/>
        </w:rPr>
        <w:t>․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536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ՀՀ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դրամ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,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իսկ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21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ամսվա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հարկադիր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պարապուրդի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ժամանակահատվածի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չափը՝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16,706,25</w:t>
      </w:r>
      <w:r w:rsidR="00A4672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6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ՀՀ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դրամ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,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իսկ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աշխատանքում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չվերականգնելու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դիմաց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հատուցումը՝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միջին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ամսական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աշխատավարձի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չափով՝</w:t>
      </w:r>
      <w:r w:rsidR="00A145F3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795,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536 ՀՀ դրամ)։ </w:t>
      </w:r>
    </w:p>
    <w:p w14:paraId="1D232F48" w14:textId="6155FA42" w:rsidR="00A145F3" w:rsidRDefault="000418D7" w:rsidP="000418D7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Հաշվի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առնելով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ՀՀ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արդարադատության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նախարարության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և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Հիմնադրամի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միջև</w:t>
      </w:r>
      <w:r w:rsidR="00A145F3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202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6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թվականի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հունվ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արի 20-ին կնքված «Պետության կողմից դրամաշնորհի ձևով տրամադրվող ֆինանսական աջակցության գումարների օգտագործման մասին» թիվ ՀՀԱՆԴՄ -04/2026 պայմանագրով սահմանված ֆինանսական աջակցության չափը՝ Հիմնադրամի Հոգաբարձուների խորհրդի 2026 թվականի հունվարի 26-ի № 2 որոշմամբ՝ Հիմնադրամի 2026 թվականի տարեկան բյուջեի չափ է սահմանվել 14</w:t>
      </w:r>
      <w:r w:rsidR="00A145F3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0,000,000 ՀՀ դրամ (ներառյալ ԱԱՀ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)։ Ի կատարումն ՀՀ արդարադատության նախարարության և Հիմնադրամի միջև 202</w:t>
      </w:r>
      <w:r w:rsidR="00A145F3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6 թվականի հունվարի 20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-ին կնքված «Պետության կողմից դրամաշնորհի ձևով տրամադրվող ֆինանսական աջակցության գումարների օգտագործման մասին» թիվ ՀՀԱՆԴՄ -04 /2026 պայմանագրով ստանձնած պարտավորությունների՝ Հիմնադրամի տնօրենի 2026 թվականի 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lastRenderedPageBreak/>
        <w:t xml:space="preserve">փետրվարի 3-ի № ՏՈ001/26 որոշմամբ հաստատված բյուջեի բացվածքի համաձայն՝ 140,000,000 ՀՀ դրամը բաշխվել է հետևյալ տողերով ՝ </w:t>
      </w:r>
    </w:p>
    <w:p w14:paraId="48F1A51E" w14:textId="77777777" w:rsidR="00A145F3" w:rsidRDefault="000418D7" w:rsidP="000418D7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▪ 90,743,467 ՀՀ դրամ՝ աշխատավարձ և պարգևատրում , </w:t>
      </w:r>
    </w:p>
    <w:p w14:paraId="6FB8E26E" w14:textId="77777777" w:rsidR="00A145F3" w:rsidRDefault="000418D7" w:rsidP="000418D7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▪ 24,923,200 ՀՀ դրամ՝ վարչական ծախսեր, </w:t>
      </w:r>
    </w:p>
    <w:p w14:paraId="699A1A22" w14:textId="77777777" w:rsidR="00A145F3" w:rsidRDefault="000418D7" w:rsidP="000418D7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▪ 1,000,000 ՀՀ դրամ՝ ներկայացուցչական ծախսեր,</w:t>
      </w:r>
    </w:p>
    <w:p w14:paraId="586CE51F" w14:textId="08316270" w:rsidR="000418D7" w:rsidRDefault="000418D7" w:rsidP="000418D7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▪ 23,333,333 ՀՀ դրամ՝ ԱԱՀ ։</w:t>
      </w:r>
    </w:p>
    <w:p w14:paraId="5B53B334" w14:textId="77777777" w:rsidR="00A145F3" w:rsidRDefault="000418D7" w:rsidP="000418D7">
      <w:pPr>
        <w:spacing w:after="0" w:line="360" w:lineRule="auto"/>
        <w:ind w:firstLine="720"/>
        <w:jc w:val="both"/>
        <w:rPr>
          <w:rFonts w:ascii="Cambria Math" w:eastAsia="Times New Roman" w:hAnsi="Cambria Math" w:cs="Cambria Math"/>
          <w:color w:val="000000"/>
          <w:sz w:val="24"/>
          <w:szCs w:val="24"/>
          <w:lang w:eastAsia="ru-RU"/>
        </w:rPr>
      </w:pP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Ընդ որում, դրամաշնորհային պայմանագրի հիման վրա Հիմնադրամին Արդարադատության նախարարության կողմից 2026 թվականի ընթացքում կատարվել են հետևյալ փոխանցումները </w:t>
      </w:r>
      <w:r w:rsidRPr="000418D7">
        <w:rPr>
          <w:rFonts w:ascii="Cambria Math" w:eastAsia="Times New Roman" w:hAnsi="Cambria Math" w:cs="Cambria Math"/>
          <w:color w:val="000000"/>
          <w:sz w:val="24"/>
          <w:szCs w:val="24"/>
          <w:lang w:eastAsia="ru-RU"/>
        </w:rPr>
        <w:t>․</w:t>
      </w:r>
    </w:p>
    <w:p w14:paraId="22FA33CF" w14:textId="77777777" w:rsidR="00A145F3" w:rsidRDefault="000418D7" w:rsidP="000418D7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▪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Հունվար՝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9,333,333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ՀՀ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դրամ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, </w:t>
      </w:r>
    </w:p>
    <w:p w14:paraId="4E6F174F" w14:textId="77777777" w:rsidR="00A145F3" w:rsidRDefault="000418D7" w:rsidP="000418D7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▪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Փետրվար՝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9,333,333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ՀՀ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դրամ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, </w:t>
      </w:r>
    </w:p>
    <w:p w14:paraId="402EB58C" w14:textId="77777777" w:rsidR="00A145F3" w:rsidRDefault="000418D7" w:rsidP="000418D7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▪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Մարտ՝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9,333,333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ՀՀ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դրամ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,</w:t>
      </w:r>
    </w:p>
    <w:p w14:paraId="6FF274E3" w14:textId="77777777" w:rsidR="00A145F3" w:rsidRDefault="000418D7" w:rsidP="000418D7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▪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Ապրիլ՝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11,666,600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ՀՀ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դրամ։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</w:p>
    <w:p w14:paraId="30762487" w14:textId="7A3C4BA8" w:rsidR="000418D7" w:rsidRDefault="000418D7" w:rsidP="000418D7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02</w:t>
      </w:r>
      <w:r w:rsidRPr="000418D7">
        <w:rPr>
          <w:rFonts w:ascii="Cambria Math" w:eastAsia="Times New Roman" w:hAnsi="Cambria Math" w:cs="Cambria Math"/>
          <w:color w:val="000000"/>
          <w:sz w:val="24"/>
          <w:szCs w:val="24"/>
          <w:lang w:eastAsia="ru-RU"/>
        </w:rPr>
        <w:t>․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04</w:t>
      </w:r>
      <w:r w:rsidRPr="000418D7">
        <w:rPr>
          <w:rFonts w:ascii="Cambria Math" w:eastAsia="Times New Roman" w:hAnsi="Cambria Math" w:cs="Cambria Math"/>
          <w:color w:val="000000"/>
          <w:sz w:val="24"/>
          <w:szCs w:val="24"/>
          <w:lang w:eastAsia="ru-RU"/>
        </w:rPr>
        <w:t>․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2026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թվականի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դրությամբ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A145F3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Հիմնադրամի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հաշվին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առկա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դրամաշնորհային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միջոցները կազմում են 12,668,953 ՀՀ դրամ։ Նշված միջոցները պետք է ուղղվեն ապրիլ ամսվա աշխատավարձի և վարչական ծախսերի մարմանը։ Ինչ վերաբերում է արբիտրաժային և հաշտարարական գործերի քննության արդյունքում ստացված գումարներին, ապա, դրանք ևս բավարար չեն, և պետք է ուղղվեն 2026 թվականի սեպտեմբերին անցկացվող «Միջազգային Արբիտրաժային օրեր» միջոցառմանը։ Հիմնադրամի ներկայացված բյուջեի և դրա բացվածքի վերլուծությունը ցույց է տալիս, որ տվյալ ծավալի ֆինանսական պարտավորության կատարումը Հիմնադրամի համար կառաջացնի լուրջ ֆինանսական դժվարություններ և կարող է վտանգել Հիմնադրամի բնականոն գործունեությունը, ինչպես նաև նրա կողմից իրականացվող գործառույթների շարունակականությունը։ Մասնավորապես, Հիմնադրամի դրամական միջոցների նկատմամբ Հարկադիր կատարումն ապահովող ծառայության կողմից 17,501,7</w:t>
      </w:r>
      <w:r w:rsidR="00A4672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92</w:t>
      </w:r>
      <w:bookmarkStart w:id="0" w:name="_GoBack"/>
      <w:bookmarkEnd w:id="0"/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ՀՀ դրամի չափով արգելանք կիրառելու դեպքում Հիմնադրամը շուրջ 2 ամիս չի կարող վճարել աշխատավարձեր, կատարել արբիտրների և հաշտարարների վարձատրություն, ինչպես նաև վարչական ծախսեր։ Արդյունքում, վտանգված է </w:t>
      </w:r>
      <w:r w:rsidR="00A145F3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Հիմնադրամի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ընթացիկ գործունեությունը, </w:t>
      </w:r>
      <w:r w:rsidR="00A145F3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lastRenderedPageBreak/>
        <w:t xml:space="preserve">ինչըն 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առկա 70 արբիտրաժային և 100-ից ավել հաշտարարության գործերի պայմաններում, անթույլատրելի է։</w:t>
      </w:r>
    </w:p>
    <w:p w14:paraId="1A847DD1" w14:textId="7FE4A7DD" w:rsidR="000418D7" w:rsidRDefault="00A145F3" w:rsidP="000418D7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 xml:space="preserve">Միևնույն ժամանակ, </w:t>
      </w:r>
      <w:r w:rsidR="000418D7"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«Արբիտրաժի</w:t>
      </w:r>
      <w:r w:rsidR="000418D7"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0418D7"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և</w:t>
      </w:r>
      <w:r w:rsidR="000418D7"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0418D7"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հաշտարարության</w:t>
      </w:r>
      <w:r w:rsidR="000418D7"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0418D7"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հայաստանյան</w:t>
      </w:r>
      <w:r w:rsidR="000418D7"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0418D7"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կենտրոն»</w:t>
      </w:r>
      <w:r w:rsidR="000418D7"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0418D7"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հիմնադրամը</w:t>
      </w:r>
      <w:r w:rsidR="000418D7"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0418D7"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իր</w:t>
      </w:r>
      <w:r w:rsidR="000418D7"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2023</w:t>
      </w:r>
      <w:r w:rsidR="000418D7" w:rsidRPr="000418D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թ</w:t>
      </w:r>
      <w:r w:rsidR="000418D7" w:rsidRPr="000418D7">
        <w:rPr>
          <w:rFonts w:ascii="Cambria Math" w:eastAsia="Times New Roman" w:hAnsi="Cambria Math" w:cs="Cambria Math"/>
          <w:color w:val="000000"/>
          <w:sz w:val="24"/>
          <w:szCs w:val="24"/>
          <w:lang w:eastAsia="ru-RU"/>
        </w:rPr>
        <w:t>․</w:t>
      </w:r>
      <w:r w:rsidR="000418D7"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գործունեության արդյունքներից ելնելով՝ 01.12.2023թ.-ից, համաձայն Հայաստանի Հանրապետության հարկային օրենսգրքի 59 -րդ հոդվածի 1-ին մասի 4-րդ կետի, 2 -րդ մասի 3-րդ կետի, 2.1 -ին մասի 3-րդ կետի և 3-րդ մասի համարվել է ավելացված արժեքի հարկ վճարող։ Ըստ Հայաստանի Հանրապետության կառավարության որոշումների՝ դրամաշնորհի պայմանագրով նախատեսված միջոցառումների տարեկան արդյունքները պետական մարմնի կողմից ընդունվելուց հետո իրավաբանական անձը միջոցառումների իրականացման արդյունքում առաջացած տնտեսումները (խնայողությունները) վերադարձնում է Հայաստանի Հանրապետության պետական բյուջե` ոչ ուշ, քան մինչև ընթացիկ տարվա դեկտեմբերի 20-ը։ «1093. Դատական և հանրային պաշտպանություն» ծրագրի «11008. Աջակցություն «Արբիտրաժի և հաշտարարության հայաստանյան կենտրոն» հիմնադրամի գործունեությանը» միջոցառման շրջանակներում դրամաշնորհ ստացած «Արբիտրաժի և հաշտարարության հայաստանյան կենտրոն» հիմնադրամը 2023 և 2024 թվականների դեկտեմբերի 20–ին հնարավորություն չի ունեցել ամփոփելու դեկտեմբեր ամսվա ծառայությունների գծով ծախսը, ինչպես նաև տնտեսումների գծով հաշվարկը, քանի որ ԱԱՀ-ի և ակցիզային հարկի միասնական հաշվարկները ներկայացվում են ՊԵԿ մինչև յուրաքանչյուր հաշվետու ժամանակաշրջանին հաջորդող ամսվա 20-ը ներառյալ, տվյալ դեպքում՝ մինչև հաջորդ տարվա հունվարի 20–ը։ Նկատի ունենալով, որ հաշվետու տարվա դեկտեմբեր ամսվա ձեռքբերված ծառայությունների դիմաց փաստաթղթերը, մասնավորապես՝ հարկային հաշիվները և հաշիվ վավերագրերը , մեծ մասամբ դուրս են գրվում հաջորդ տարվա հունվար ամսին, մինչև հաշվետու տարվա դեկտեմբերի 20–ը Հիմնադրամը չի ունեցել հնարավորություն կատարել այդ պարտավորությունը, ինչի արդյունքում ձեռքբերումների գծով ԱԱՀ գումարի գծով ձևավորվել է դեբետային մնացորդ հարկ վճարողի միասնական հաշվում։</w:t>
      </w:r>
    </w:p>
    <w:p w14:paraId="08291363" w14:textId="77777777" w:rsidR="002772FA" w:rsidRDefault="000418D7" w:rsidP="000418D7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Միասնական հաշվին առկա ԱԱՀ միջոցները ՀՀ պետական բյուջե վերադարձնելու կարգի, միջոցների և հնարավորության հարցը քննարկվել է ՀՀ </w:t>
      </w:r>
      <w:r w:rsidR="002772F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րդարադատության </w:t>
      </w:r>
      <w:r w:rsidR="002772F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lastRenderedPageBreak/>
        <w:t>ն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ախարարության հետ, այնուհետև պատրաստվել է գրություն՝ ուղղված ՀՀ </w:t>
      </w:r>
      <w:r w:rsidR="002772F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ֆ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ինանսների </w:t>
      </w:r>
      <w:r w:rsidR="002772F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ն</w:t>
      </w:r>
      <w:r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ախարարությանը, սակայն գրավոր պարզաբանում չստանալու հետևանքով, քայլեր չեն ձեռնարկվել ու մինչ օրս ԱԱՀ–ի գծով դեբետային գումարը առկա է Հիմնադրամի հարկային միասնական հաշվում։</w:t>
      </w:r>
    </w:p>
    <w:p w14:paraId="0A1148B6" w14:textId="34122C98" w:rsidR="002C343A" w:rsidRPr="002C343A" w:rsidRDefault="002772FA" w:rsidP="002772FA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Վերոգրյալով պայմանավորված, Կառավարության որոշման նախագծով առաջարկվում է  </w:t>
      </w:r>
      <w:r w:rsidR="000418D7"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ԱԱՀ–ի գծով ձևավորված միասնական հաշվում առկա միջոցներ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ն ուղղել</w:t>
      </w:r>
      <w:r w:rsidR="000418D7" w:rsidRPr="000418D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Դատական ակտով Հիմնադրամի վրա դրված պարտավորության կատարման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ը, </w:t>
      </w:r>
      <w:r w:rsidR="002C343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2026 </w:t>
      </w:r>
      <w:r w:rsidR="002C343A" w:rsidRPr="002C343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թվականի բյուջետային եկամուտները և ծախսերն ավելացնել 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17</w:t>
      </w:r>
      <w:r w:rsidR="002C343A" w:rsidRPr="002C343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,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501</w:t>
      </w:r>
      <w:r w:rsidR="002C343A" w:rsidRPr="002C343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.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8</w:t>
      </w:r>
      <w:r w:rsidR="002C343A" w:rsidRPr="002C343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հազ</w:t>
      </w:r>
      <w:r w:rsidR="002C343A" w:rsidRPr="002C343A">
        <w:rPr>
          <w:rFonts w:ascii="Cambria Math" w:eastAsia="Times New Roman" w:hAnsi="Cambria Math" w:cs="Cambria Math"/>
          <w:color w:val="000000"/>
          <w:sz w:val="24"/>
          <w:szCs w:val="24"/>
          <w:lang w:eastAsia="ru-RU"/>
        </w:rPr>
        <w:t>․</w:t>
      </w:r>
      <w:r w:rsidR="002C343A" w:rsidRPr="002C343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դրամով։ </w:t>
      </w:r>
    </w:p>
    <w:p w14:paraId="7FB3196A" w14:textId="2D96ECFF" w:rsidR="002A2158" w:rsidRPr="004F3081" w:rsidRDefault="002A2158" w:rsidP="00951769">
      <w:pPr>
        <w:spacing w:before="360"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</w:rPr>
      </w:pPr>
      <w:r w:rsidRPr="004F3081">
        <w:rPr>
          <w:rFonts w:ascii="GHEA Grapalat" w:hAnsi="GHEA Grapalat"/>
          <w:b/>
          <w:sz w:val="24"/>
          <w:szCs w:val="24"/>
        </w:rPr>
        <w:t>2</w:t>
      </w:r>
      <w:r w:rsidRPr="004F3081">
        <w:rPr>
          <w:rFonts w:ascii="Cambria Math" w:hAnsi="Cambria Math" w:cs="Cambria Math"/>
          <w:b/>
          <w:sz w:val="24"/>
          <w:szCs w:val="24"/>
        </w:rPr>
        <w:t>․</w:t>
      </w:r>
      <w:r w:rsidRPr="004F3081">
        <w:rPr>
          <w:rFonts w:ascii="GHEA Grapalat" w:hAnsi="GHEA Grapalat"/>
          <w:b/>
          <w:sz w:val="24"/>
          <w:szCs w:val="24"/>
        </w:rPr>
        <w:t xml:space="preserve"> Կարգավորման նպատակը, ակնկալվող արդյունքները</w:t>
      </w:r>
    </w:p>
    <w:p w14:paraId="07C79F59" w14:textId="18E4CFF9" w:rsidR="00951769" w:rsidRDefault="009C2194" w:rsidP="00951769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C2194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7B5450" w:rsidRPr="007B5450">
        <w:rPr>
          <w:rFonts w:ascii="GHEA Grapalat" w:hAnsi="GHEA Grapalat"/>
          <w:sz w:val="24"/>
          <w:szCs w:val="24"/>
          <w:lang w:val="hy-AM"/>
        </w:rPr>
        <w:t xml:space="preserve"> կառավարության որոշման նախագծի ընդունմա</w:t>
      </w:r>
      <w:r>
        <w:rPr>
          <w:rFonts w:ascii="GHEA Grapalat" w:hAnsi="GHEA Grapalat"/>
          <w:sz w:val="24"/>
          <w:szCs w:val="24"/>
          <w:lang w:val="hy-AM"/>
        </w:rPr>
        <w:t>մբ</w:t>
      </w:r>
      <w:r w:rsidR="007B5450" w:rsidRPr="007B5450">
        <w:rPr>
          <w:rFonts w:ascii="GHEA Grapalat" w:hAnsi="GHEA Grapalat"/>
          <w:sz w:val="24"/>
          <w:szCs w:val="24"/>
          <w:lang w:val="hy-AM"/>
        </w:rPr>
        <w:t xml:space="preserve"> կապահովվի</w:t>
      </w:r>
      <w:r w:rsidR="00323594">
        <w:rPr>
          <w:rFonts w:ascii="GHEA Grapalat" w:hAnsi="GHEA Grapalat"/>
          <w:sz w:val="24"/>
          <w:szCs w:val="24"/>
          <w:lang w:val="hy-AM"/>
        </w:rPr>
        <w:t xml:space="preserve"> </w:t>
      </w:r>
      <w:r w:rsidR="00470972" w:rsidRPr="00470972">
        <w:rPr>
          <w:rFonts w:ascii="GHEA Grapalat" w:hAnsi="GHEA Grapalat"/>
          <w:sz w:val="24"/>
          <w:szCs w:val="24"/>
          <w:lang w:val="hy-AM"/>
        </w:rPr>
        <w:t>ԵԴ2/5718/02/24 գործով Վճռաբեկ դատարանի 30</w:t>
      </w:r>
      <w:r w:rsidR="00470972" w:rsidRPr="00470972">
        <w:rPr>
          <w:rFonts w:ascii="Cambria Math" w:hAnsi="Cambria Math" w:cs="Cambria Math"/>
          <w:sz w:val="24"/>
          <w:szCs w:val="24"/>
          <w:lang w:val="hy-AM"/>
        </w:rPr>
        <w:t>․</w:t>
      </w:r>
      <w:r w:rsidR="00470972" w:rsidRPr="00470972">
        <w:rPr>
          <w:rFonts w:ascii="GHEA Grapalat" w:hAnsi="GHEA Grapalat"/>
          <w:sz w:val="24"/>
          <w:szCs w:val="24"/>
          <w:lang w:val="hy-AM"/>
        </w:rPr>
        <w:t>03</w:t>
      </w:r>
      <w:r w:rsidR="00470972" w:rsidRPr="00470972">
        <w:rPr>
          <w:rFonts w:ascii="Cambria Math" w:hAnsi="Cambria Math" w:cs="Cambria Math"/>
          <w:sz w:val="24"/>
          <w:szCs w:val="24"/>
          <w:lang w:val="hy-AM"/>
        </w:rPr>
        <w:t>․</w:t>
      </w:r>
      <w:r w:rsidR="00470972" w:rsidRPr="00470972">
        <w:rPr>
          <w:rFonts w:ascii="GHEA Grapalat" w:hAnsi="GHEA Grapalat"/>
          <w:sz w:val="24"/>
          <w:szCs w:val="24"/>
          <w:lang w:val="hy-AM"/>
        </w:rPr>
        <w:t>2026 թվականի որոշմա</w:t>
      </w:r>
      <w:r w:rsidR="00470972">
        <w:rPr>
          <w:rFonts w:ascii="GHEA Grapalat" w:hAnsi="GHEA Grapalat"/>
          <w:sz w:val="24"/>
          <w:szCs w:val="24"/>
          <w:lang w:val="hy-AM"/>
        </w:rPr>
        <w:t>ն կատարումը։</w:t>
      </w:r>
    </w:p>
    <w:p w14:paraId="712A2173" w14:textId="77777777" w:rsidR="00951769" w:rsidRDefault="00951769" w:rsidP="00951769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3DCE3613" w14:textId="7298F634" w:rsidR="002A2158" w:rsidRPr="00951769" w:rsidRDefault="002A2158" w:rsidP="00951769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51769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951769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  <w:r w:rsidRPr="0095176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Նախագծի</w:t>
      </w:r>
      <w:r w:rsidRPr="0095176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951769">
        <w:rPr>
          <w:rFonts w:ascii="GHEA Grapalat" w:hAnsi="GHEA Grapalat" w:cs="Sylfaen"/>
          <w:b/>
          <w:bCs/>
          <w:sz w:val="24"/>
          <w:szCs w:val="24"/>
          <w:lang w:val="hy-AM"/>
        </w:rPr>
        <w:t>մշակման</w:t>
      </w:r>
      <w:r w:rsidRPr="0095176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951769">
        <w:rPr>
          <w:rFonts w:ascii="GHEA Grapalat" w:hAnsi="GHEA Grapalat" w:cs="Sylfaen"/>
          <w:b/>
          <w:bCs/>
          <w:sz w:val="24"/>
          <w:szCs w:val="24"/>
          <w:lang w:val="hy-AM"/>
        </w:rPr>
        <w:t>գործընթացում</w:t>
      </w:r>
      <w:r w:rsidRPr="0095176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951769">
        <w:rPr>
          <w:rFonts w:ascii="GHEA Grapalat" w:hAnsi="GHEA Grapalat" w:cs="Sylfaen"/>
          <w:b/>
          <w:bCs/>
          <w:sz w:val="24"/>
          <w:szCs w:val="24"/>
          <w:lang w:val="hy-AM"/>
        </w:rPr>
        <w:t>ներգրավված</w:t>
      </w:r>
      <w:r w:rsidRPr="0095176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951769">
        <w:rPr>
          <w:rFonts w:ascii="GHEA Grapalat" w:hAnsi="GHEA Grapalat" w:cs="Sylfaen"/>
          <w:b/>
          <w:bCs/>
          <w:sz w:val="24"/>
          <w:szCs w:val="24"/>
          <w:lang w:val="hy-AM"/>
        </w:rPr>
        <w:t>ինստիտուտները</w:t>
      </w:r>
      <w:r w:rsidRPr="0095176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951769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95176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951769">
        <w:rPr>
          <w:rFonts w:ascii="GHEA Grapalat" w:hAnsi="GHEA Grapalat" w:cs="Sylfaen"/>
          <w:b/>
          <w:bCs/>
          <w:sz w:val="24"/>
          <w:szCs w:val="24"/>
          <w:lang w:val="hy-AM"/>
        </w:rPr>
        <w:t>անձինք</w:t>
      </w:r>
      <w:r w:rsidRPr="00951769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14:paraId="2AFD444E" w14:textId="77777777"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/>
          <w:sz w:val="24"/>
          <w:szCs w:val="24"/>
          <w:lang w:val="hy-AM"/>
        </w:rPr>
        <w:t>Նախագիծը մշակվել է Արդարադատության նախարարության կողմից։</w:t>
      </w:r>
    </w:p>
    <w:p w14:paraId="2C5967CF" w14:textId="77777777" w:rsidR="00951769" w:rsidRDefault="00951769" w:rsidP="00951769">
      <w:pPr>
        <w:pStyle w:val="ListParagraph"/>
        <w:shd w:val="clear" w:color="auto" w:fill="FFFFFF"/>
        <w:tabs>
          <w:tab w:val="left" w:pos="851"/>
          <w:tab w:val="left" w:pos="993"/>
        </w:tabs>
        <w:spacing w:before="480"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D6E8E35" w14:textId="71718DCA" w:rsidR="002A2158" w:rsidRPr="004F3081" w:rsidRDefault="002A2158" w:rsidP="00951769">
      <w:pPr>
        <w:pStyle w:val="ListParagraph"/>
        <w:shd w:val="clear" w:color="auto" w:fill="FFFFFF"/>
        <w:tabs>
          <w:tab w:val="left" w:pos="851"/>
          <w:tab w:val="left" w:pos="993"/>
        </w:tabs>
        <w:spacing w:before="480" w:after="0" w:line="360" w:lineRule="auto"/>
        <w:ind w:left="0" w:firstLine="567"/>
        <w:jc w:val="both"/>
        <w:rPr>
          <w:rStyle w:val="Strong"/>
          <w:rFonts w:ascii="GHEA Grapalat" w:hAnsi="GHEA Grapalat" w:cs="Arian AMU"/>
          <w:bCs/>
          <w:sz w:val="24"/>
          <w:szCs w:val="24"/>
          <w:bdr w:val="none" w:sz="0" w:space="0" w:color="auto" w:frame="1"/>
          <w:lang w:val="hy-AM" w:eastAsia="hy-AM"/>
        </w:rPr>
      </w:pPr>
      <w:r w:rsidRPr="004F3081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4F3081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 </w:t>
      </w:r>
      <w:r w:rsidRPr="004F3081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մասին.</w:t>
      </w:r>
    </w:p>
    <w:p w14:paraId="65523DA6" w14:textId="7112A43F" w:rsidR="002A2158" w:rsidRPr="004F3081" w:rsidRDefault="002A2158" w:rsidP="002A2158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4F3081">
        <w:rPr>
          <w:rFonts w:ascii="GHEA Grapalat" w:hAnsi="GHEA Grapalat"/>
          <w:sz w:val="24"/>
          <w:szCs w:val="24"/>
        </w:rPr>
        <w:t xml:space="preserve">Նախագծի ընդունման </w:t>
      </w:r>
      <w:r w:rsidR="008E63D3">
        <w:rPr>
          <w:rFonts w:ascii="GHEA Grapalat" w:hAnsi="GHEA Grapalat"/>
          <w:sz w:val="24"/>
          <w:szCs w:val="24"/>
        </w:rPr>
        <w:t xml:space="preserve">2026 թվականի </w:t>
      </w:r>
      <w:r w:rsidRPr="004F3081">
        <w:rPr>
          <w:rFonts w:ascii="GHEA Grapalat" w:hAnsi="GHEA Grapalat"/>
          <w:sz w:val="24"/>
          <w:szCs w:val="24"/>
        </w:rPr>
        <w:t>պետական բյուջեի եկամուտներ</w:t>
      </w:r>
      <w:r w:rsidR="008E63D3">
        <w:rPr>
          <w:rFonts w:ascii="GHEA Grapalat" w:hAnsi="GHEA Grapalat"/>
          <w:sz w:val="24"/>
          <w:szCs w:val="24"/>
        </w:rPr>
        <w:t xml:space="preserve">ը և ծախսերը կավելանան </w:t>
      </w:r>
      <w:r w:rsidRPr="004F3081">
        <w:rPr>
          <w:rFonts w:ascii="GHEA Grapalat" w:hAnsi="GHEA Grapalat"/>
          <w:sz w:val="24"/>
          <w:szCs w:val="24"/>
        </w:rPr>
        <w:t xml:space="preserve"> </w:t>
      </w:r>
      <w:r w:rsidR="00470972">
        <w:rPr>
          <w:rFonts w:ascii="GHEA Grapalat" w:hAnsi="GHEA Grapalat"/>
          <w:sz w:val="24"/>
          <w:szCs w:val="24"/>
        </w:rPr>
        <w:t>17</w:t>
      </w:r>
      <w:r w:rsidR="008E63D3" w:rsidRPr="008E63D3">
        <w:rPr>
          <w:rFonts w:ascii="GHEA Grapalat" w:hAnsi="GHEA Grapalat"/>
          <w:sz w:val="24"/>
          <w:szCs w:val="24"/>
        </w:rPr>
        <w:t>,</w:t>
      </w:r>
      <w:r w:rsidR="00470972">
        <w:rPr>
          <w:rFonts w:ascii="GHEA Grapalat" w:hAnsi="GHEA Grapalat"/>
          <w:sz w:val="24"/>
          <w:szCs w:val="24"/>
        </w:rPr>
        <w:t>501.8</w:t>
      </w:r>
      <w:r w:rsidR="008E63D3" w:rsidRPr="008E63D3">
        <w:rPr>
          <w:rFonts w:ascii="GHEA Grapalat" w:hAnsi="GHEA Grapalat"/>
          <w:sz w:val="24"/>
          <w:szCs w:val="24"/>
        </w:rPr>
        <w:t xml:space="preserve"> </w:t>
      </w:r>
      <w:r w:rsidR="008E63D3">
        <w:rPr>
          <w:rFonts w:ascii="GHEA Grapalat" w:hAnsi="GHEA Grapalat"/>
          <w:sz w:val="24"/>
          <w:szCs w:val="24"/>
        </w:rPr>
        <w:t xml:space="preserve"> հազ</w:t>
      </w:r>
      <w:r w:rsidR="008E63D3">
        <w:rPr>
          <w:rFonts w:ascii="Cambria Math" w:hAnsi="Cambria Math" w:cs="Cambria Math"/>
          <w:sz w:val="24"/>
          <w:szCs w:val="24"/>
        </w:rPr>
        <w:t>․</w:t>
      </w:r>
      <w:r w:rsidR="008E63D3">
        <w:rPr>
          <w:rFonts w:ascii="GHEA Grapalat" w:hAnsi="GHEA Grapalat"/>
          <w:sz w:val="24"/>
          <w:szCs w:val="24"/>
        </w:rPr>
        <w:t xml:space="preserve"> դրամով</w:t>
      </w:r>
      <w:r w:rsidRPr="004F3081">
        <w:rPr>
          <w:rFonts w:ascii="GHEA Grapalat" w:hAnsi="GHEA Grapalat"/>
          <w:sz w:val="24"/>
          <w:szCs w:val="24"/>
        </w:rPr>
        <w:t>:</w:t>
      </w:r>
    </w:p>
    <w:p w14:paraId="6783D9E1" w14:textId="77777777" w:rsidR="00951769" w:rsidRDefault="00951769" w:rsidP="007A2899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</w:p>
    <w:p w14:paraId="438DCD25" w14:textId="240B7B3F" w:rsidR="007A2899" w:rsidRDefault="002A2158" w:rsidP="007A2899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F3081">
        <w:rPr>
          <w:rFonts w:ascii="GHEA Grapalat" w:hAnsi="GHEA Grapalat"/>
          <w:b/>
          <w:lang w:val="hy-AM"/>
        </w:rPr>
        <w:t>5</w:t>
      </w:r>
      <w:r w:rsidRPr="004F3081">
        <w:rPr>
          <w:rFonts w:ascii="Cambria Math" w:eastAsia="MS Mincho" w:hAnsi="Cambria Math" w:cs="Cambria Math"/>
          <w:b/>
          <w:lang w:val="hy-AM"/>
        </w:rPr>
        <w:t>․</w:t>
      </w:r>
      <w:r w:rsidRPr="004F3081">
        <w:rPr>
          <w:rFonts w:ascii="GHEA Grapalat" w:hAnsi="GHEA Grapalat"/>
          <w:b/>
          <w:lang w:val="hy-AM"/>
        </w:rPr>
        <w:t xml:space="preserve"> Կապը ռազմավարական փաստաթղթերի հետ. Հայաստանի Հանրապետության վերափոխման ռազմավարություն 2050, Կառավարության 2021-2026թթ. ծրագիր, ոլորտային և/կամ այլ ռազմավարություններ </w:t>
      </w:r>
    </w:p>
    <w:p w14:paraId="1FF9001D" w14:textId="21C2953B" w:rsidR="00AA2BD6" w:rsidRPr="00AA2BD6" w:rsidRDefault="00AA2BD6" w:rsidP="00AA2BD6">
      <w:pPr>
        <w:tabs>
          <w:tab w:val="left" w:pos="720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</w:rPr>
      </w:pPr>
      <w:r w:rsidRPr="00AA2B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Նախագիծն առնչվում է Հայաստանի Հանրապետության կառավարության  2021-2026թթ. ծրագրի 5.2 «Մարդու իրավունքների պաշտպանություն» 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կետին։</w:t>
      </w:r>
    </w:p>
    <w:sectPr w:rsidR="00AA2BD6" w:rsidRPr="00AA2BD6" w:rsidSect="00236CCF">
      <w:footerReference w:type="default" r:id="rId8"/>
      <w:pgSz w:w="12240" w:h="15840"/>
      <w:pgMar w:top="851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5B4624" w14:textId="77777777" w:rsidR="00487BCC" w:rsidRDefault="00487BCC">
      <w:pPr>
        <w:spacing w:after="0" w:line="240" w:lineRule="auto"/>
      </w:pPr>
      <w:r>
        <w:separator/>
      </w:r>
    </w:p>
  </w:endnote>
  <w:endnote w:type="continuationSeparator" w:id="0">
    <w:p w14:paraId="6F571C52" w14:textId="77777777" w:rsidR="00487BCC" w:rsidRDefault="00487B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altName w:val="Sylfae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C14247" w14:textId="516FAD1E" w:rsidR="00104BBD" w:rsidRDefault="002A215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4672E">
      <w:rPr>
        <w:noProof/>
      </w:rPr>
      <w:t>5</w:t>
    </w:r>
    <w:r>
      <w:fldChar w:fldCharType="end"/>
    </w:r>
  </w:p>
  <w:p w14:paraId="0118602F" w14:textId="77777777" w:rsidR="00104BBD" w:rsidRDefault="00487B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5A5ED" w14:textId="77777777" w:rsidR="00487BCC" w:rsidRDefault="00487BCC">
      <w:pPr>
        <w:spacing w:after="0" w:line="240" w:lineRule="auto"/>
      </w:pPr>
      <w:r>
        <w:separator/>
      </w:r>
    </w:p>
  </w:footnote>
  <w:footnote w:type="continuationSeparator" w:id="0">
    <w:p w14:paraId="4EA77098" w14:textId="77777777" w:rsidR="00487BCC" w:rsidRDefault="00487B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40BCE"/>
    <w:multiLevelType w:val="hybridMultilevel"/>
    <w:tmpl w:val="FC3412B4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17443442"/>
    <w:multiLevelType w:val="hybridMultilevel"/>
    <w:tmpl w:val="981017FE"/>
    <w:lvl w:ilvl="0" w:tplc="20EC3E68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0FA5085"/>
    <w:multiLevelType w:val="hybridMultilevel"/>
    <w:tmpl w:val="5D7A9E02"/>
    <w:lvl w:ilvl="0" w:tplc="FA7E64AA">
      <w:start w:val="1"/>
      <w:numFmt w:val="decimal"/>
      <w:lvlText w:val="%1."/>
      <w:lvlJc w:val="left"/>
      <w:pPr>
        <w:ind w:left="261" w:hanging="360"/>
      </w:pPr>
      <w:rPr>
        <w:rFonts w:cs="GHEA Mariam" w:hint="default"/>
      </w:rPr>
    </w:lvl>
    <w:lvl w:ilvl="1" w:tplc="042B0019" w:tentative="1">
      <w:start w:val="1"/>
      <w:numFmt w:val="lowerLetter"/>
      <w:lvlText w:val="%2."/>
      <w:lvlJc w:val="left"/>
      <w:pPr>
        <w:ind w:left="981" w:hanging="360"/>
      </w:pPr>
      <w:rPr>
        <w:rFonts w:cs="Times New Roman"/>
      </w:rPr>
    </w:lvl>
    <w:lvl w:ilvl="2" w:tplc="042B001B" w:tentative="1">
      <w:start w:val="1"/>
      <w:numFmt w:val="lowerRoman"/>
      <w:lvlText w:val="%3."/>
      <w:lvlJc w:val="right"/>
      <w:pPr>
        <w:ind w:left="1701" w:hanging="180"/>
      </w:pPr>
      <w:rPr>
        <w:rFonts w:cs="Times New Roman"/>
      </w:rPr>
    </w:lvl>
    <w:lvl w:ilvl="3" w:tplc="042B000F" w:tentative="1">
      <w:start w:val="1"/>
      <w:numFmt w:val="decimal"/>
      <w:lvlText w:val="%4."/>
      <w:lvlJc w:val="left"/>
      <w:pPr>
        <w:ind w:left="2421" w:hanging="360"/>
      </w:pPr>
      <w:rPr>
        <w:rFonts w:cs="Times New Roman"/>
      </w:rPr>
    </w:lvl>
    <w:lvl w:ilvl="4" w:tplc="042B0019" w:tentative="1">
      <w:start w:val="1"/>
      <w:numFmt w:val="lowerLetter"/>
      <w:lvlText w:val="%5."/>
      <w:lvlJc w:val="left"/>
      <w:pPr>
        <w:ind w:left="3141" w:hanging="360"/>
      </w:pPr>
      <w:rPr>
        <w:rFonts w:cs="Times New Roman"/>
      </w:rPr>
    </w:lvl>
    <w:lvl w:ilvl="5" w:tplc="042B001B" w:tentative="1">
      <w:start w:val="1"/>
      <w:numFmt w:val="lowerRoman"/>
      <w:lvlText w:val="%6."/>
      <w:lvlJc w:val="right"/>
      <w:pPr>
        <w:ind w:left="3861" w:hanging="180"/>
      </w:pPr>
      <w:rPr>
        <w:rFonts w:cs="Times New Roman"/>
      </w:rPr>
    </w:lvl>
    <w:lvl w:ilvl="6" w:tplc="042B000F" w:tentative="1">
      <w:start w:val="1"/>
      <w:numFmt w:val="decimal"/>
      <w:lvlText w:val="%7."/>
      <w:lvlJc w:val="left"/>
      <w:pPr>
        <w:ind w:left="4581" w:hanging="360"/>
      </w:pPr>
      <w:rPr>
        <w:rFonts w:cs="Times New Roman"/>
      </w:rPr>
    </w:lvl>
    <w:lvl w:ilvl="7" w:tplc="042B0019" w:tentative="1">
      <w:start w:val="1"/>
      <w:numFmt w:val="lowerLetter"/>
      <w:lvlText w:val="%8."/>
      <w:lvlJc w:val="left"/>
      <w:pPr>
        <w:ind w:left="5301" w:hanging="360"/>
      </w:pPr>
      <w:rPr>
        <w:rFonts w:cs="Times New Roman"/>
      </w:rPr>
    </w:lvl>
    <w:lvl w:ilvl="8" w:tplc="042B001B" w:tentative="1">
      <w:start w:val="1"/>
      <w:numFmt w:val="lowerRoman"/>
      <w:lvlText w:val="%9."/>
      <w:lvlJc w:val="right"/>
      <w:pPr>
        <w:ind w:left="6021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158"/>
    <w:rsid w:val="00017E3A"/>
    <w:rsid w:val="0003372A"/>
    <w:rsid w:val="000418D7"/>
    <w:rsid w:val="00070C20"/>
    <w:rsid w:val="00076F4A"/>
    <w:rsid w:val="000B1BAE"/>
    <w:rsid w:val="000B6275"/>
    <w:rsid w:val="000C46BD"/>
    <w:rsid w:val="000C6EB5"/>
    <w:rsid w:val="000D22DE"/>
    <w:rsid w:val="001154F9"/>
    <w:rsid w:val="001215FD"/>
    <w:rsid w:val="00123F2E"/>
    <w:rsid w:val="00143D9C"/>
    <w:rsid w:val="001704FC"/>
    <w:rsid w:val="00190AD0"/>
    <w:rsid w:val="001F4A56"/>
    <w:rsid w:val="00215DE0"/>
    <w:rsid w:val="00224A34"/>
    <w:rsid w:val="002313C8"/>
    <w:rsid w:val="00236CCF"/>
    <w:rsid w:val="00272A02"/>
    <w:rsid w:val="002772FA"/>
    <w:rsid w:val="00280B2F"/>
    <w:rsid w:val="002A2158"/>
    <w:rsid w:val="002B0883"/>
    <w:rsid w:val="002C343A"/>
    <w:rsid w:val="00323594"/>
    <w:rsid w:val="00341D1E"/>
    <w:rsid w:val="00365113"/>
    <w:rsid w:val="003863A0"/>
    <w:rsid w:val="003948CE"/>
    <w:rsid w:val="003A08FA"/>
    <w:rsid w:val="003C06E8"/>
    <w:rsid w:val="004503F9"/>
    <w:rsid w:val="00470972"/>
    <w:rsid w:val="00471DE2"/>
    <w:rsid w:val="00487BCC"/>
    <w:rsid w:val="00490A23"/>
    <w:rsid w:val="004E3C49"/>
    <w:rsid w:val="00514687"/>
    <w:rsid w:val="005358BF"/>
    <w:rsid w:val="0054734B"/>
    <w:rsid w:val="005630FE"/>
    <w:rsid w:val="0059319F"/>
    <w:rsid w:val="005C41AE"/>
    <w:rsid w:val="005E05C1"/>
    <w:rsid w:val="00627CDE"/>
    <w:rsid w:val="0066414E"/>
    <w:rsid w:val="006817F9"/>
    <w:rsid w:val="006F3E45"/>
    <w:rsid w:val="00713721"/>
    <w:rsid w:val="007272FC"/>
    <w:rsid w:val="007452E5"/>
    <w:rsid w:val="00767009"/>
    <w:rsid w:val="00784C34"/>
    <w:rsid w:val="007A2899"/>
    <w:rsid w:val="007B5450"/>
    <w:rsid w:val="007C266E"/>
    <w:rsid w:val="007D3E70"/>
    <w:rsid w:val="007E60A4"/>
    <w:rsid w:val="00800EDB"/>
    <w:rsid w:val="00803A67"/>
    <w:rsid w:val="00820EF3"/>
    <w:rsid w:val="00821349"/>
    <w:rsid w:val="00844FA2"/>
    <w:rsid w:val="00856E47"/>
    <w:rsid w:val="00860C08"/>
    <w:rsid w:val="00861E61"/>
    <w:rsid w:val="00895DD1"/>
    <w:rsid w:val="008E63D3"/>
    <w:rsid w:val="008F26AF"/>
    <w:rsid w:val="00907C94"/>
    <w:rsid w:val="00951769"/>
    <w:rsid w:val="00953866"/>
    <w:rsid w:val="009B42B4"/>
    <w:rsid w:val="009C2194"/>
    <w:rsid w:val="009E7984"/>
    <w:rsid w:val="009F6274"/>
    <w:rsid w:val="00A145F3"/>
    <w:rsid w:val="00A14AD0"/>
    <w:rsid w:val="00A34FD6"/>
    <w:rsid w:val="00A4672E"/>
    <w:rsid w:val="00A67393"/>
    <w:rsid w:val="00A75452"/>
    <w:rsid w:val="00AA2BD6"/>
    <w:rsid w:val="00AA5224"/>
    <w:rsid w:val="00AA5874"/>
    <w:rsid w:val="00AC6A70"/>
    <w:rsid w:val="00AD57E2"/>
    <w:rsid w:val="00AF0160"/>
    <w:rsid w:val="00AF1560"/>
    <w:rsid w:val="00AF44F6"/>
    <w:rsid w:val="00B01C60"/>
    <w:rsid w:val="00B10476"/>
    <w:rsid w:val="00B50B6F"/>
    <w:rsid w:val="00BA02B1"/>
    <w:rsid w:val="00C04282"/>
    <w:rsid w:val="00C10706"/>
    <w:rsid w:val="00C20DC7"/>
    <w:rsid w:val="00C57882"/>
    <w:rsid w:val="00C86AF4"/>
    <w:rsid w:val="00CC01E5"/>
    <w:rsid w:val="00CC5D0C"/>
    <w:rsid w:val="00CF6F61"/>
    <w:rsid w:val="00D65578"/>
    <w:rsid w:val="00DC1B14"/>
    <w:rsid w:val="00DC50BC"/>
    <w:rsid w:val="00DD6499"/>
    <w:rsid w:val="00DE19D9"/>
    <w:rsid w:val="00DF3E21"/>
    <w:rsid w:val="00E4441A"/>
    <w:rsid w:val="00E7238B"/>
    <w:rsid w:val="00E85804"/>
    <w:rsid w:val="00EB60CA"/>
    <w:rsid w:val="00ED56A5"/>
    <w:rsid w:val="00EF4C65"/>
    <w:rsid w:val="00F22980"/>
    <w:rsid w:val="00F240F0"/>
    <w:rsid w:val="00F44D19"/>
    <w:rsid w:val="00F46507"/>
    <w:rsid w:val="00F73987"/>
    <w:rsid w:val="00FA09F1"/>
    <w:rsid w:val="00FD5D35"/>
    <w:rsid w:val="00FD6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211A6"/>
  <w15:chartTrackingRefBased/>
  <w15:docId w15:val="{595145B7-AA66-4277-89EB-D3D2C472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2158"/>
    <w:rPr>
      <w:rFonts w:eastAsiaTheme="minorEastAsia" w:cs="Times New Roman"/>
      <w:lang w:val="hy-AM" w:eastAsia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2A2158"/>
    <w:pPr>
      <w:spacing w:after="200" w:line="276" w:lineRule="auto"/>
      <w:ind w:left="720"/>
      <w:contextualSpacing/>
    </w:pPr>
    <w:rPr>
      <w:rFonts w:ascii="Calibri" w:hAnsi="Calibri"/>
      <w:lang w:val="en-US" w:eastAsia="en-US"/>
    </w:rPr>
  </w:style>
  <w:style w:type="character" w:styleId="Strong">
    <w:name w:val="Strong"/>
    <w:basedOn w:val="DefaultParagraphFont"/>
    <w:uiPriority w:val="22"/>
    <w:qFormat/>
    <w:rsid w:val="002A2158"/>
    <w:rPr>
      <w:rFonts w:cs="Times New Roman"/>
      <w:b/>
    </w:rPr>
  </w:style>
  <w:style w:type="paragraph" w:styleId="NormalWeb">
    <w:name w:val="Normal (Web)"/>
    <w:aliases w:val="Îáû÷íûé (âåá) Çíàê Çíàê,Çíàê Çíàê Çíàê Çíàê,Çíàê Çíàê1,Îáû÷íûé (âåá) Çíàê Çíàê Çíàê,Çíàê Çíàê Çíàê1 Çíàê Çíàê Çíàê Çíàê Çíàê,Çíàê1,webb,Çíàê,Char Char Char,Char Char Char Char"/>
    <w:basedOn w:val="Normal"/>
    <w:link w:val="NormalWebChar"/>
    <w:uiPriority w:val="99"/>
    <w:unhideWhenUsed/>
    <w:qFormat/>
    <w:rsid w:val="002A21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Îáû÷íûé (âåá) Çíàê Çíàê Char,Çíàê Çíàê Çíàê Çíàê Char,Çíàê Çíàê1 Char,Îáû÷íûé (âåá) Çíàê Çíàê Çíàê Char,Çíàê Çíàê Çíàê1 Çíàê Çíàê Çíàê Çíàê Çíàê Char,Çíàê1 Char,webb Char,Çíàê Char,Char Char Char Char1,Char Char Char Char Char"/>
    <w:link w:val="NormalWeb"/>
    <w:uiPriority w:val="99"/>
    <w:locked/>
    <w:rsid w:val="002A2158"/>
    <w:rPr>
      <w:rFonts w:ascii="Times New Roman" w:eastAsiaTheme="minorEastAsia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locked/>
    <w:rsid w:val="002A2158"/>
    <w:rPr>
      <w:rFonts w:ascii="Calibri" w:eastAsiaTheme="minorEastAsia" w:hAnsi="Calibri" w:cs="Times New Roman"/>
    </w:rPr>
  </w:style>
  <w:style w:type="paragraph" w:styleId="BodyText">
    <w:name w:val="Body Text"/>
    <w:basedOn w:val="Normal"/>
    <w:link w:val="BodyTextChar"/>
    <w:uiPriority w:val="99"/>
    <w:rsid w:val="002A2158"/>
    <w:pPr>
      <w:spacing w:after="0" w:line="240" w:lineRule="auto"/>
      <w:jc w:val="center"/>
    </w:pPr>
    <w:rPr>
      <w:rFonts w:ascii="Times Armenian" w:hAnsi="Times Armenian"/>
      <w:bCs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2A2158"/>
    <w:rPr>
      <w:rFonts w:ascii="Times Armenian" w:eastAsiaTheme="minorEastAsia" w:hAnsi="Times Armenian" w:cs="Times New Roman"/>
      <w:bCs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2158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A2158"/>
    <w:rPr>
      <w:rFonts w:ascii="Calibri" w:eastAsiaTheme="minorEastAsia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3E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E45"/>
    <w:rPr>
      <w:rFonts w:ascii="Segoe UI" w:eastAsiaTheme="minorEastAsia" w:hAnsi="Segoe UI" w:cs="Segoe UI"/>
      <w:sz w:val="18"/>
      <w:szCs w:val="18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0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94F46D-D7D8-450D-8D71-596FE5175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1028</TotalTime>
  <Pages>5</Pages>
  <Words>1306</Words>
  <Characters>7445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/>
  <dc:description/>
  <cp:lastModifiedBy>Zara Margaryan</cp:lastModifiedBy>
  <cp:revision>46</cp:revision>
  <cp:lastPrinted>2024-01-26T10:59:00Z</cp:lastPrinted>
  <dcterms:created xsi:type="dcterms:W3CDTF">2024-02-05T05:24:00Z</dcterms:created>
  <dcterms:modified xsi:type="dcterms:W3CDTF">2026-05-11T06:45:00Z</dcterms:modified>
</cp:coreProperties>
</file>