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2B2766" w14:textId="4D416896" w:rsidR="00A658BB" w:rsidRDefault="00A658BB" w:rsidP="00B40C58">
      <w:pPr>
        <w:tabs>
          <w:tab w:val="left" w:pos="709"/>
          <w:tab w:val="left" w:pos="851"/>
          <w:tab w:val="left" w:pos="993"/>
        </w:tabs>
        <w:spacing w:after="0" w:line="360" w:lineRule="auto"/>
        <w:ind w:firstLine="567"/>
        <w:jc w:val="center"/>
        <w:rPr>
          <w:rFonts w:ascii="GHEA Grapalat" w:eastAsia="Times New Roman" w:hAnsi="GHEA Grapalat" w:cs="Calibri"/>
          <w:b/>
          <w:color w:val="000000"/>
          <w:sz w:val="24"/>
          <w:szCs w:val="24"/>
          <w:lang w:val="hy-AM" w:eastAsia="ru-RU"/>
        </w:rPr>
      </w:pPr>
      <w:r w:rsidRPr="00EE764F">
        <w:rPr>
          <w:rFonts w:ascii="GHEA Grapalat" w:eastAsia="Times New Roman" w:hAnsi="GHEA Grapalat" w:cs="Calibri"/>
          <w:b/>
          <w:color w:val="000000"/>
          <w:sz w:val="24"/>
          <w:szCs w:val="24"/>
          <w:lang w:val="hy-AM" w:eastAsia="ru-RU"/>
        </w:rPr>
        <w:t>ՀԻՄՆԱՎՈՐՈՒՄ</w:t>
      </w:r>
    </w:p>
    <w:p w14:paraId="6156216D" w14:textId="77777777" w:rsidR="00DA200A" w:rsidRPr="00EE764F" w:rsidRDefault="00DA200A" w:rsidP="00B40C58">
      <w:pPr>
        <w:tabs>
          <w:tab w:val="left" w:pos="709"/>
          <w:tab w:val="left" w:pos="851"/>
          <w:tab w:val="left" w:pos="993"/>
        </w:tabs>
        <w:spacing w:after="0" w:line="360" w:lineRule="auto"/>
        <w:ind w:firstLine="567"/>
        <w:jc w:val="center"/>
        <w:rPr>
          <w:rFonts w:ascii="GHEA Grapalat" w:eastAsia="Times New Roman" w:hAnsi="GHEA Grapalat" w:cs="Calibri"/>
          <w:b/>
          <w:color w:val="000000"/>
          <w:sz w:val="24"/>
          <w:szCs w:val="24"/>
          <w:lang w:val="hy-AM" w:eastAsia="ru-RU"/>
        </w:rPr>
      </w:pPr>
    </w:p>
    <w:p w14:paraId="5F01BF73" w14:textId="5122548F" w:rsidR="00B171CF" w:rsidRDefault="00014D22" w:rsidP="00E124AE">
      <w:pPr>
        <w:spacing w:after="0" w:line="360" w:lineRule="auto"/>
        <w:ind w:firstLine="567"/>
        <w:jc w:val="center"/>
        <w:rPr>
          <w:rFonts w:ascii="GHEA Grapalat" w:hAnsi="GHEA Grapalat" w:cs="Sylfaen"/>
          <w:b/>
          <w:sz w:val="24"/>
          <w:szCs w:val="24"/>
          <w:lang w:val="hy-AM"/>
        </w:rPr>
      </w:pPr>
      <w:r w:rsidRPr="00EE764F">
        <w:rPr>
          <w:rFonts w:ascii="GHEA Grapalat" w:eastAsia="GHEA Grapalat" w:hAnsi="GHEA Grapalat" w:cs="GHEA Grapalat"/>
          <w:b/>
          <w:sz w:val="24"/>
          <w:szCs w:val="24"/>
          <w:lang w:val="hy-AM"/>
        </w:rPr>
        <w:t xml:space="preserve">«ՀԱՆՐՈՒԹՅԱՆ ԳԵՐԱԿԱ ՇԱՀԵՐԻ ԱՊԱՀՈՎՄԱՆ ՆՊԱՏԱԿՈՎ ՍԵՓԱԿԱՆՈՒԹՅԱՆ ՕՏԱՐՄԱՆ ՄԱՍԻՆ» ՕՐԵՆՔՈՎ ՍԱՀՄԱՆՎԱԾ ԴԵՊՔԵՐՈՒՄ </w:t>
      </w:r>
      <w:r w:rsidR="00E76157" w:rsidRPr="00E32001">
        <w:rPr>
          <w:rFonts w:ascii="GHEA Grapalat" w:eastAsia="GHEA Grapalat" w:hAnsi="GHEA Grapalat" w:cs="GHEA Grapalat"/>
          <w:b/>
          <w:bCs/>
          <w:sz w:val="24"/>
          <w:szCs w:val="24"/>
          <w:lang w:val="hy-AM"/>
        </w:rPr>
        <w:t xml:space="preserve">ՀԱՆՐՈՒԹՅԱՆ ԳԵՐԱԿԱ ՇԱՀԵՐԻ ԱՊԱՀՈՎՄԱՆ ՆՊԱՏԱԿՈՎ ՕՏԱՐՎՈՂ ՍԵՓԱԿԱՆՈՒԹՅԱՆ </w:t>
      </w:r>
      <w:r w:rsidRPr="00EE764F">
        <w:rPr>
          <w:rFonts w:ascii="GHEA Grapalat" w:eastAsia="GHEA Grapalat" w:hAnsi="GHEA Grapalat" w:cs="GHEA Grapalat"/>
          <w:b/>
          <w:sz w:val="24"/>
          <w:szCs w:val="24"/>
          <w:lang w:val="hy-AM"/>
        </w:rPr>
        <w:t xml:space="preserve">ԳՆԱՀԱՏՈՂԻ ԸՆՏՐՈՒԹՅԱՆ ԱՆՑԿԱՑՄԱՆ ԿԱՐԳԸ </w:t>
      </w:r>
      <w:r w:rsidR="00E76157">
        <w:rPr>
          <w:rFonts w:ascii="GHEA Grapalat" w:eastAsia="GHEA Grapalat" w:hAnsi="GHEA Grapalat" w:cs="GHEA Grapalat"/>
          <w:b/>
          <w:sz w:val="24"/>
          <w:szCs w:val="24"/>
          <w:lang w:val="hy-AM"/>
        </w:rPr>
        <w:t xml:space="preserve">ՍԱՀՄԱՆԵԼՈՒ </w:t>
      </w:r>
      <w:r w:rsidRPr="00EE764F">
        <w:rPr>
          <w:rFonts w:ascii="GHEA Grapalat" w:eastAsia="GHEA Grapalat" w:hAnsi="GHEA Grapalat" w:cs="GHEA Grapalat"/>
          <w:b/>
          <w:sz w:val="24"/>
          <w:szCs w:val="24"/>
          <w:lang w:val="hy-AM"/>
        </w:rPr>
        <w:t>ՄԱՍԻՆ</w:t>
      </w:r>
      <w:r w:rsidR="003D6C82">
        <w:rPr>
          <w:rFonts w:ascii="GHEA Grapalat" w:eastAsia="GHEA Grapalat" w:hAnsi="GHEA Grapalat" w:cs="GHEA Grapalat"/>
          <w:b/>
          <w:sz w:val="24"/>
          <w:szCs w:val="24"/>
          <w:lang w:val="hy-AM"/>
        </w:rPr>
        <w:t xml:space="preserve"> </w:t>
      </w:r>
      <w:r w:rsidRPr="00EE764F">
        <w:rPr>
          <w:rFonts w:ascii="GHEA Grapalat" w:hAnsi="GHEA Grapalat"/>
          <w:b/>
          <w:sz w:val="24"/>
          <w:szCs w:val="24"/>
          <w:lang w:val="hy-AM"/>
        </w:rPr>
        <w:t>ԿԱՌԱՎԱՐՈՒԹՅԱՆ ՈՐՈՇՄԱՆ</w:t>
      </w:r>
      <w:r w:rsidR="00B171CF" w:rsidRPr="00EE764F">
        <w:rPr>
          <w:rFonts w:ascii="GHEA Grapalat" w:hAnsi="GHEA Grapalat" w:cs="Sylfaen"/>
          <w:b/>
          <w:sz w:val="24"/>
          <w:szCs w:val="24"/>
          <w:lang w:val="hy-AM"/>
        </w:rPr>
        <w:t xml:space="preserve"> ԸՆԴՈՒՆՄԱՆ</w:t>
      </w:r>
    </w:p>
    <w:p w14:paraId="2D12D7DA" w14:textId="421BA1C2" w:rsidR="005F684A" w:rsidRDefault="005F684A" w:rsidP="00E124AE">
      <w:pPr>
        <w:spacing w:after="0" w:line="360" w:lineRule="auto"/>
        <w:ind w:firstLine="567"/>
        <w:jc w:val="center"/>
        <w:rPr>
          <w:rFonts w:ascii="GHEA Grapalat" w:hAnsi="GHEA Grapalat" w:cs="Sylfaen"/>
          <w:b/>
          <w:sz w:val="24"/>
          <w:szCs w:val="24"/>
          <w:lang w:val="hy-AM"/>
        </w:rPr>
      </w:pPr>
    </w:p>
    <w:p w14:paraId="56179871" w14:textId="72C380C4" w:rsidR="00A658BB" w:rsidRPr="00EE764F" w:rsidRDefault="00A658BB" w:rsidP="00913DDE">
      <w:pPr>
        <w:numPr>
          <w:ilvl w:val="0"/>
          <w:numId w:val="1"/>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
          <w:color w:val="000000"/>
          <w:sz w:val="24"/>
          <w:szCs w:val="24"/>
          <w:lang w:val="hy-AM" w:eastAsia="ru-RU"/>
        </w:rPr>
      </w:pPr>
      <w:r w:rsidRPr="00EE764F">
        <w:rPr>
          <w:rFonts w:ascii="GHEA Grapalat" w:eastAsia="Times New Roman" w:hAnsi="GHEA Grapalat" w:cs="Calibri"/>
          <w:b/>
          <w:color w:val="000000"/>
          <w:sz w:val="24"/>
          <w:szCs w:val="24"/>
          <w:lang w:val="hy-AM" w:eastAsia="ru-RU"/>
        </w:rPr>
        <w:t>Ընթացիկ իրավիճակը և իրավական ակտի ընդունման անհրաժեշտությունը.</w:t>
      </w:r>
    </w:p>
    <w:p w14:paraId="67617291" w14:textId="77777777" w:rsidR="00E76157" w:rsidRDefault="00E76157" w:rsidP="00913DDE">
      <w:pPr>
        <w:pStyle w:val="ListParagraph"/>
        <w:pBdr>
          <w:top w:val="nil"/>
          <w:left w:val="nil"/>
          <w:bottom w:val="nil"/>
          <w:right w:val="nil"/>
          <w:between w:val="nil"/>
        </w:pBdr>
        <w:tabs>
          <w:tab w:val="left" w:pos="709"/>
          <w:tab w:val="left" w:pos="851"/>
          <w:tab w:val="left" w:pos="993"/>
        </w:tabs>
        <w:spacing w:after="0" w:line="360" w:lineRule="auto"/>
        <w:ind w:left="0" w:firstLine="567"/>
        <w:jc w:val="both"/>
        <w:rPr>
          <w:rFonts w:ascii="GHEA Grapalat" w:hAnsi="GHEA Grapalat" w:cs="Calibri"/>
          <w:sz w:val="24"/>
          <w:szCs w:val="24"/>
          <w:lang w:val="hy-AM"/>
        </w:rPr>
      </w:pPr>
      <w:r w:rsidRPr="00E76157">
        <w:rPr>
          <w:rFonts w:ascii="GHEA Grapalat" w:hAnsi="GHEA Grapalat" w:cs="Calibri"/>
          <w:sz w:val="24"/>
          <w:szCs w:val="24"/>
          <w:lang w:val="hy-AM"/>
        </w:rPr>
        <w:t>Ազգային ժողովի կողմից  2026 թվականի փետրվարի 11-ին ընդունվել է ««Հանրության գերակա շահերի ապահովման նպատակով սեփականության օտարման մասին» օրենքում փոփոխություններ և լրացումներ կատարելու մասին» օրենքի նախագիծը, որն ուժի մեջ է մտել նույն թվականի փետրվարի 17-ից:</w:t>
      </w:r>
    </w:p>
    <w:p w14:paraId="3EB56C9B" w14:textId="4E45B6EE" w:rsidR="00014D22" w:rsidRPr="003D6C82" w:rsidRDefault="00E76157" w:rsidP="00913DDE">
      <w:pPr>
        <w:pStyle w:val="ListParagraph"/>
        <w:pBdr>
          <w:top w:val="nil"/>
          <w:left w:val="nil"/>
          <w:bottom w:val="nil"/>
          <w:right w:val="nil"/>
          <w:between w:val="nil"/>
        </w:pBdr>
        <w:tabs>
          <w:tab w:val="left" w:pos="709"/>
          <w:tab w:val="left" w:pos="851"/>
          <w:tab w:val="left" w:pos="993"/>
        </w:tabs>
        <w:spacing w:after="0" w:line="360" w:lineRule="auto"/>
        <w:ind w:left="0" w:firstLine="567"/>
        <w:jc w:val="both"/>
        <w:rPr>
          <w:rFonts w:ascii="GHEA Grapalat" w:hAnsi="GHEA Grapalat" w:cs="Calibri"/>
          <w:sz w:val="24"/>
          <w:szCs w:val="24"/>
          <w:lang w:val="hy-AM"/>
        </w:rPr>
      </w:pPr>
      <w:r w:rsidRPr="00E76157">
        <w:rPr>
          <w:rFonts w:ascii="GHEA Grapalat" w:hAnsi="GHEA Grapalat" w:cs="Calibri"/>
          <w:sz w:val="24"/>
          <w:szCs w:val="24"/>
          <w:lang w:val="hy-AM"/>
        </w:rPr>
        <w:t>Կատարված փոփոխություններով և լրացումներով</w:t>
      </w:r>
      <w:r>
        <w:rPr>
          <w:rFonts w:ascii="GHEA Grapalat" w:hAnsi="GHEA Grapalat" w:cs="Calibri"/>
          <w:sz w:val="24"/>
          <w:szCs w:val="24"/>
          <w:lang w:val="hy-AM"/>
        </w:rPr>
        <w:t xml:space="preserve"> </w:t>
      </w:r>
      <w:r w:rsidR="00014D22" w:rsidRPr="00EE764F">
        <w:rPr>
          <w:rFonts w:ascii="GHEA Grapalat" w:hAnsi="GHEA Grapalat" w:cs="Calibri"/>
          <w:sz w:val="24"/>
          <w:szCs w:val="24"/>
          <w:lang w:val="hy-AM"/>
        </w:rPr>
        <w:t>«Հանրության գերակա շահերի ապահովման նպատակով սեփականության օտարման մասին» Հայաստանի Հանրապետության օրենքի (այսուհետ՝ Օրենք) 11-րդ հոդված</w:t>
      </w:r>
      <w:r w:rsidR="00014D22" w:rsidRPr="00EE764F">
        <w:rPr>
          <w:rFonts w:ascii="GHEA Grapalat" w:hAnsi="GHEA Grapalat"/>
          <w:sz w:val="24"/>
          <w:szCs w:val="24"/>
          <w:lang w:val="hy-AM"/>
        </w:rPr>
        <w:t xml:space="preserve">ի 2-րդ մասի 2-րդ նախադասությամբ օտարվող </w:t>
      </w:r>
      <w:r w:rsidR="00014D22" w:rsidRPr="00EE764F">
        <w:rPr>
          <w:rFonts w:ascii="GHEA Grapalat" w:eastAsia="Times New Roman" w:hAnsi="GHEA Grapalat" w:cs="Calibri"/>
          <w:bCs/>
          <w:color w:val="000000"/>
          <w:sz w:val="24"/>
          <w:szCs w:val="24"/>
          <w:lang w:val="hy-AM" w:eastAsia="ru-RU"/>
        </w:rPr>
        <w:t xml:space="preserve">սեփականության սեփականատիրոջը և սեփականության նկատմամբ գույքային իրավունքներ ունեցողներին իրավունք է վերապահվում </w:t>
      </w:r>
      <w:r w:rsidR="00EE764F" w:rsidRPr="00EE764F">
        <w:rPr>
          <w:rFonts w:ascii="GHEA Grapalat" w:hAnsi="GHEA Grapalat"/>
          <w:sz w:val="24"/>
          <w:szCs w:val="24"/>
          <w:lang w:val="hy-AM"/>
        </w:rPr>
        <w:t>գնահատման ենթակա սեփականության օտարման գործառույթների իրականացման համար պատասխանատու պետական մարմնի</w:t>
      </w:r>
      <w:r w:rsidR="00EE764F">
        <w:rPr>
          <w:rFonts w:ascii="GHEA Grapalat" w:hAnsi="GHEA Grapalat"/>
          <w:sz w:val="24"/>
          <w:szCs w:val="24"/>
          <w:lang w:val="hy-AM"/>
        </w:rPr>
        <w:t>ց</w:t>
      </w:r>
      <w:r w:rsidR="00EE764F" w:rsidRPr="00EE764F">
        <w:rPr>
          <w:rFonts w:ascii="GHEA Grapalat" w:hAnsi="GHEA Grapalat"/>
          <w:sz w:val="24"/>
          <w:szCs w:val="24"/>
          <w:lang w:val="hy-AM"/>
        </w:rPr>
        <w:t xml:space="preserve"> (այսուհետ՝ Լիազոր մարմին) </w:t>
      </w:r>
      <w:r w:rsidR="00014D22" w:rsidRPr="00EE764F">
        <w:rPr>
          <w:rFonts w:ascii="GHEA Grapalat" w:eastAsia="Times New Roman" w:hAnsi="GHEA Grapalat" w:cs="Calibri"/>
          <w:bCs/>
          <w:color w:val="000000"/>
          <w:sz w:val="24"/>
          <w:szCs w:val="24"/>
          <w:lang w:val="hy-AM" w:eastAsia="ru-RU"/>
        </w:rPr>
        <w:t xml:space="preserve">համապատասխան ծանուցումը ստանալուց հետո՝ երկշաբաթյա ժամկետում, </w:t>
      </w:r>
      <w:r w:rsidR="00EE764F">
        <w:rPr>
          <w:rFonts w:ascii="GHEA Grapalat" w:eastAsia="Times New Roman" w:hAnsi="GHEA Grapalat" w:cs="Calibri"/>
          <w:bCs/>
          <w:color w:val="000000"/>
          <w:sz w:val="24"/>
          <w:szCs w:val="24"/>
          <w:lang w:val="hy-AM" w:eastAsia="ru-RU"/>
        </w:rPr>
        <w:t>Լ</w:t>
      </w:r>
      <w:r w:rsidR="00014D22" w:rsidRPr="00EE764F">
        <w:rPr>
          <w:rFonts w:ascii="GHEA Grapalat" w:eastAsia="Times New Roman" w:hAnsi="GHEA Grapalat" w:cs="Calibri"/>
          <w:bCs/>
          <w:color w:val="000000"/>
          <w:sz w:val="24"/>
          <w:szCs w:val="24"/>
          <w:lang w:val="hy-AM" w:eastAsia="ru-RU"/>
        </w:rPr>
        <w:t xml:space="preserve">իազոր մարմնին գրավոր առաջարկելու իրենց համար նախընտրելի գնահատողի թեկնածությունը՝ կցելով այդ գնահատողի գրավոր համաձայնությունը։ Նշված առաջարկը ներկայացվելու դեպքում որպես գնահատող պարտադիր ներգրավվում է դիմումում մատնանշված սուբյեկտը։ </w:t>
      </w:r>
    </w:p>
    <w:p w14:paraId="3F844751" w14:textId="10CAA891" w:rsidR="00583786" w:rsidRPr="00EE764F" w:rsidRDefault="00014D22" w:rsidP="00913DDE">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EE764F">
        <w:rPr>
          <w:rFonts w:ascii="GHEA Grapalat" w:eastAsia="Times New Roman" w:hAnsi="GHEA Grapalat" w:cs="Calibri"/>
          <w:bCs/>
          <w:color w:val="000000"/>
          <w:sz w:val="24"/>
          <w:szCs w:val="24"/>
          <w:lang w:val="hy-AM" w:eastAsia="ru-RU"/>
        </w:rPr>
        <w:lastRenderedPageBreak/>
        <w:t xml:space="preserve">Միաժամանակ, Օրենքի նույն հոդվածը սահմանում է, որ նույն հոդվածում նշված ծանուցումն ստանալուց հետո՝ երկշաբաթյա ժամկետում, գնահատողի թեկնածության վերաբերյալ գրավոր առաջարկ չներկայացվելու կամ այդպիսի առաջարկ ներկայացնելուց հրաժարվելու դեպքում գնահատողի ընտրությունն իրականացվում է </w:t>
      </w:r>
      <w:r w:rsidR="002B190B" w:rsidRPr="00EE764F">
        <w:rPr>
          <w:rFonts w:ascii="GHEA Grapalat" w:eastAsia="Times New Roman" w:hAnsi="GHEA Grapalat" w:cs="Calibri"/>
          <w:bCs/>
          <w:color w:val="000000"/>
          <w:sz w:val="24"/>
          <w:szCs w:val="24"/>
          <w:lang w:val="hy-AM" w:eastAsia="ru-RU"/>
        </w:rPr>
        <w:t>Կ</w:t>
      </w:r>
      <w:r w:rsidRPr="00EE764F">
        <w:rPr>
          <w:rFonts w:ascii="GHEA Grapalat" w:eastAsia="Times New Roman" w:hAnsi="GHEA Grapalat" w:cs="Calibri"/>
          <w:bCs/>
          <w:color w:val="000000"/>
          <w:sz w:val="24"/>
          <w:szCs w:val="24"/>
          <w:lang w:val="hy-AM" w:eastAsia="ru-RU"/>
        </w:rPr>
        <w:t>առավարության սահմանած կարգով, պատահականության սկզբունքով։</w:t>
      </w:r>
    </w:p>
    <w:p w14:paraId="17101639" w14:textId="04C97E7A" w:rsidR="00014D22" w:rsidRPr="00EE764F" w:rsidRDefault="002B190B" w:rsidP="00913DDE">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EE764F">
        <w:rPr>
          <w:rFonts w:ascii="GHEA Grapalat" w:eastAsia="Times New Roman" w:hAnsi="GHEA Grapalat" w:cs="Calibri"/>
          <w:bCs/>
          <w:color w:val="000000"/>
          <w:sz w:val="24"/>
          <w:szCs w:val="24"/>
          <w:lang w:val="hy-AM" w:eastAsia="ru-RU"/>
        </w:rPr>
        <w:t>Վերոնշյալով պայմանա</w:t>
      </w:r>
      <w:r w:rsidR="00A01B87">
        <w:rPr>
          <w:rFonts w:ascii="GHEA Grapalat" w:eastAsia="Times New Roman" w:hAnsi="GHEA Grapalat" w:cs="Calibri"/>
          <w:bCs/>
          <w:color w:val="000000"/>
          <w:sz w:val="24"/>
          <w:szCs w:val="24"/>
          <w:lang w:val="hy-AM" w:eastAsia="ru-RU"/>
        </w:rPr>
        <w:t>վորված՝ առկա է անհրաժեշտություն</w:t>
      </w:r>
      <w:r w:rsidRPr="00EE764F">
        <w:rPr>
          <w:rFonts w:ascii="GHEA Grapalat" w:eastAsia="Times New Roman" w:hAnsi="GHEA Grapalat" w:cs="Calibri"/>
          <w:bCs/>
          <w:color w:val="000000"/>
          <w:sz w:val="24"/>
          <w:szCs w:val="24"/>
          <w:lang w:val="hy-AM" w:eastAsia="ru-RU"/>
        </w:rPr>
        <w:t xml:space="preserve"> ընդունել Կառավարության համապատասխան որոշում, որով կկարգավորվեն Օրենքով սահմանված </w:t>
      </w:r>
      <w:r w:rsidR="00014D22" w:rsidRPr="00EE764F">
        <w:rPr>
          <w:rFonts w:ascii="GHEA Grapalat" w:eastAsia="Times New Roman" w:hAnsi="GHEA Grapalat" w:cs="Calibri"/>
          <w:bCs/>
          <w:color w:val="000000"/>
          <w:sz w:val="24"/>
          <w:szCs w:val="24"/>
          <w:lang w:val="hy-AM" w:eastAsia="ru-RU"/>
        </w:rPr>
        <w:t xml:space="preserve">ժամկետում գնահատողի թեկնածության վերաբերյալ առաջարկ չներկայացվելու դեպքում գնահատողի ընտրության </w:t>
      </w:r>
      <w:r w:rsidRPr="00EE764F">
        <w:rPr>
          <w:rFonts w:ascii="GHEA Grapalat" w:eastAsia="Times New Roman" w:hAnsi="GHEA Grapalat" w:cs="Calibri"/>
          <w:bCs/>
          <w:color w:val="000000"/>
          <w:sz w:val="24"/>
          <w:szCs w:val="24"/>
          <w:lang w:val="hy-AM" w:eastAsia="ru-RU"/>
        </w:rPr>
        <w:t xml:space="preserve">հարաբերությունները, կսահմանվեն պատահականության սկզբունքով գնահատողի ընտրության իրականացման և համապատասխան ծրագրի գործարկման և շահագործման համար պատասխանատու լիազոր մարմինը և պատահականության սկզբունքով գնահատողի ընտրության առանձնահատկությունները։ </w:t>
      </w:r>
    </w:p>
    <w:p w14:paraId="1374A2DD" w14:textId="77777777" w:rsidR="002B190B" w:rsidRPr="00EE764F" w:rsidRDefault="002B190B" w:rsidP="00913DDE">
      <w:pPr>
        <w:pBdr>
          <w:top w:val="nil"/>
          <w:left w:val="nil"/>
          <w:bottom w:val="nil"/>
          <w:right w:val="nil"/>
          <w:between w:val="nil"/>
        </w:pBdr>
        <w:tabs>
          <w:tab w:val="left" w:pos="709"/>
          <w:tab w:val="left" w:pos="851"/>
          <w:tab w:val="left" w:pos="993"/>
        </w:tabs>
        <w:spacing w:after="0" w:line="360" w:lineRule="auto"/>
        <w:ind w:firstLine="567"/>
        <w:jc w:val="both"/>
        <w:rPr>
          <w:rFonts w:ascii="GHEA Grapalat" w:hAnsi="GHEA Grapalat"/>
          <w:sz w:val="24"/>
          <w:szCs w:val="24"/>
          <w:lang w:val="hy-AM"/>
        </w:rPr>
      </w:pPr>
    </w:p>
    <w:p w14:paraId="50B0D1C8" w14:textId="77777777" w:rsidR="00583786" w:rsidRPr="00EE764F" w:rsidRDefault="00583786" w:rsidP="001E6A5F">
      <w:pPr>
        <w:numPr>
          <w:ilvl w:val="0"/>
          <w:numId w:val="1"/>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
          <w:color w:val="000000"/>
          <w:sz w:val="24"/>
          <w:szCs w:val="24"/>
          <w:lang w:val="hy-AM" w:eastAsia="ru-RU"/>
        </w:rPr>
      </w:pPr>
      <w:r w:rsidRPr="00EE764F">
        <w:rPr>
          <w:rFonts w:ascii="GHEA Grapalat" w:eastAsia="Times New Roman" w:hAnsi="GHEA Grapalat" w:cs="Calibri"/>
          <w:b/>
          <w:color w:val="000000"/>
          <w:sz w:val="24"/>
          <w:szCs w:val="24"/>
          <w:lang w:val="hy-AM" w:eastAsia="ru-RU"/>
        </w:rPr>
        <w:t>Առաջարկվող կարգավորման բնույթը</w:t>
      </w:r>
    </w:p>
    <w:p w14:paraId="2A6CB9F4" w14:textId="2BCF6D7A" w:rsidR="00583786" w:rsidRPr="00EE764F" w:rsidRDefault="00583786" w:rsidP="001E6A5F">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sidRPr="00EE764F">
        <w:rPr>
          <w:rFonts w:ascii="GHEA Grapalat" w:eastAsia="Times New Roman" w:hAnsi="GHEA Grapalat" w:cs="Calibri"/>
          <w:color w:val="000000"/>
          <w:sz w:val="24"/>
          <w:szCs w:val="24"/>
          <w:lang w:val="hy-AM" w:eastAsia="ru-RU"/>
        </w:rPr>
        <w:t xml:space="preserve">Վերոնշյալի հաշվառմամբ՝ </w:t>
      </w:r>
      <w:r w:rsidR="002B190B" w:rsidRPr="00EE764F">
        <w:rPr>
          <w:rFonts w:ascii="GHEA Grapalat" w:eastAsia="Times New Roman" w:hAnsi="GHEA Grapalat" w:cs="Calibri"/>
          <w:color w:val="000000"/>
          <w:sz w:val="24"/>
          <w:szCs w:val="24"/>
          <w:lang w:val="hy-AM" w:eastAsia="ru-RU"/>
        </w:rPr>
        <w:t>նախագծով առաջարկվում է</w:t>
      </w:r>
      <w:r w:rsidR="002B190B" w:rsidRPr="00EE764F">
        <w:rPr>
          <w:rFonts w:ascii="Cambria Math" w:eastAsia="Times New Roman" w:hAnsi="Cambria Math" w:cs="Cambria Math"/>
          <w:color w:val="000000"/>
          <w:sz w:val="24"/>
          <w:szCs w:val="24"/>
          <w:lang w:val="hy-AM" w:eastAsia="ru-RU"/>
        </w:rPr>
        <w:t>․</w:t>
      </w:r>
    </w:p>
    <w:p w14:paraId="330DBEC6" w14:textId="11B5140D" w:rsidR="002B190B" w:rsidRPr="00EE764F" w:rsidRDefault="00516F92" w:rsidP="001E6A5F">
      <w:pPr>
        <w:pStyle w:val="ListParagraph"/>
        <w:tabs>
          <w:tab w:val="left" w:pos="851"/>
        </w:tabs>
        <w:spacing w:after="0" w:line="360" w:lineRule="auto"/>
        <w:ind w:left="0" w:firstLine="567"/>
        <w:jc w:val="both"/>
        <w:rPr>
          <w:rFonts w:ascii="GHEA Grapalat" w:hAnsi="GHEA Grapalat"/>
          <w:sz w:val="24"/>
          <w:szCs w:val="24"/>
          <w:lang w:val="hy-AM"/>
        </w:rPr>
      </w:pPr>
      <w:r>
        <w:rPr>
          <w:rFonts w:ascii="GHEA Grapalat" w:eastAsia="Times New Roman" w:hAnsi="GHEA Grapalat" w:cs="Calibri"/>
          <w:color w:val="000000"/>
          <w:sz w:val="24"/>
          <w:szCs w:val="24"/>
          <w:lang w:val="hy-AM" w:eastAsia="ru-RU"/>
        </w:rPr>
        <w:t xml:space="preserve">1. </w:t>
      </w:r>
      <w:r w:rsidR="00035BC7">
        <w:rPr>
          <w:rFonts w:ascii="GHEA Grapalat" w:eastAsia="Times New Roman" w:hAnsi="GHEA Grapalat" w:cs="Calibri"/>
          <w:color w:val="000000"/>
          <w:sz w:val="24"/>
          <w:szCs w:val="24"/>
          <w:lang w:val="hy-AM" w:eastAsia="ru-RU"/>
        </w:rPr>
        <w:t>Ս</w:t>
      </w:r>
      <w:r w:rsidR="002B190B" w:rsidRPr="00EE764F">
        <w:rPr>
          <w:rFonts w:ascii="GHEA Grapalat" w:eastAsia="Times New Roman" w:hAnsi="GHEA Grapalat" w:cs="Calibri"/>
          <w:color w:val="000000"/>
          <w:sz w:val="24"/>
          <w:szCs w:val="24"/>
          <w:lang w:val="hy-AM" w:eastAsia="ru-RU"/>
        </w:rPr>
        <w:t xml:space="preserve">ահմանել, որ Օրենքով սահմանված </w:t>
      </w:r>
      <w:r w:rsidR="002B190B" w:rsidRPr="00EE764F">
        <w:rPr>
          <w:rFonts w:ascii="GHEA Grapalat" w:hAnsi="GHEA Grapalat"/>
          <w:sz w:val="24"/>
          <w:szCs w:val="24"/>
          <w:lang w:val="hy-AM"/>
        </w:rPr>
        <w:t>երկշաբաթյա ժամկետում, օտարվող սեփականության սեփականատիրոջ և սեփականության նկատմամբ գույքային իրավունքներ ունեցողների կողմից գնահատողի թեկնածության վերաբերյալ գրավոր առաջարկ չներկայացվելու կամ այդպիսի առաջարկ ներկայացնելուց հրաժարվելու դեպք</w:t>
      </w:r>
      <w:r w:rsidR="00E76157">
        <w:rPr>
          <w:rFonts w:ascii="GHEA Grapalat" w:hAnsi="GHEA Grapalat"/>
          <w:sz w:val="24"/>
          <w:szCs w:val="24"/>
          <w:lang w:val="hy-AM"/>
        </w:rPr>
        <w:t>եր</w:t>
      </w:r>
      <w:r w:rsidR="002B190B" w:rsidRPr="00EE764F">
        <w:rPr>
          <w:rFonts w:ascii="GHEA Grapalat" w:hAnsi="GHEA Grapalat"/>
          <w:sz w:val="24"/>
          <w:szCs w:val="24"/>
          <w:lang w:val="hy-AM"/>
        </w:rPr>
        <w:t>ում գնահատողի ընտրությունն իրականացվում է պատահականության սկզբունքով, Կադաստրի կոմիտեի (այսուհետ՝ Կոմիտե) կողմից հատուկ համակարգչային ծրագրի (այսուհետ՝ Ծրագիր) միջոցով կատարվող վիճակահանությամբ</w:t>
      </w:r>
      <w:r w:rsidR="0082044B">
        <w:rPr>
          <w:rFonts w:ascii="GHEA Grapalat" w:hAnsi="GHEA Grapalat"/>
          <w:sz w:val="24"/>
          <w:szCs w:val="24"/>
          <w:lang w:val="hy-AM"/>
        </w:rPr>
        <w:t>.</w:t>
      </w:r>
    </w:p>
    <w:p w14:paraId="00C62B57" w14:textId="40528BB4" w:rsidR="002B190B" w:rsidRPr="00035BC7" w:rsidRDefault="00516F92" w:rsidP="001E6A5F">
      <w:pPr>
        <w:pStyle w:val="ListParagraph"/>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2. </w:t>
      </w:r>
      <w:r w:rsidR="002B190B" w:rsidRPr="00035BC7">
        <w:rPr>
          <w:rFonts w:ascii="GHEA Grapalat" w:hAnsi="GHEA Grapalat"/>
          <w:sz w:val="24"/>
          <w:szCs w:val="24"/>
          <w:lang w:val="hy-AM"/>
        </w:rPr>
        <w:t xml:space="preserve">Սահմանել, որ գնահատողի թեկնածու ներկայացնելու վերաբերյալ </w:t>
      </w:r>
      <w:r w:rsidR="006578FF">
        <w:rPr>
          <w:rFonts w:ascii="GHEA Grapalat" w:hAnsi="GHEA Grapalat"/>
          <w:sz w:val="24"/>
          <w:szCs w:val="24"/>
          <w:lang w:val="hy-AM"/>
        </w:rPr>
        <w:t xml:space="preserve">հայտը </w:t>
      </w:r>
      <w:r w:rsidR="002B190B" w:rsidRPr="00035BC7">
        <w:rPr>
          <w:rFonts w:ascii="GHEA Grapalat" w:hAnsi="GHEA Grapalat"/>
          <w:sz w:val="24"/>
          <w:szCs w:val="24"/>
          <w:lang w:val="hy-AM"/>
        </w:rPr>
        <w:t xml:space="preserve">պետք է ներկայացվի </w:t>
      </w:r>
      <w:r w:rsidR="00EE764F" w:rsidRPr="00035BC7">
        <w:rPr>
          <w:rFonts w:ascii="GHEA Grapalat" w:hAnsi="GHEA Grapalat"/>
          <w:sz w:val="24"/>
          <w:szCs w:val="24"/>
          <w:lang w:val="hy-AM"/>
        </w:rPr>
        <w:t>Լիազոր մարմնի</w:t>
      </w:r>
      <w:r w:rsidR="003C56E2">
        <w:rPr>
          <w:rFonts w:ascii="GHEA Grapalat" w:hAnsi="GHEA Grapalat"/>
          <w:sz w:val="24"/>
          <w:szCs w:val="24"/>
          <w:lang w:val="hy-AM"/>
        </w:rPr>
        <w:t xml:space="preserve">, իսկ օտարման </w:t>
      </w:r>
      <w:r w:rsidR="00845124">
        <w:rPr>
          <w:rFonts w:ascii="GHEA Grapalat" w:hAnsi="GHEA Grapalat"/>
          <w:sz w:val="24"/>
          <w:szCs w:val="24"/>
          <w:lang w:val="hy-AM"/>
        </w:rPr>
        <w:t>գործընթացների</w:t>
      </w:r>
      <w:r w:rsidR="003C56E2">
        <w:rPr>
          <w:rFonts w:ascii="GHEA Grapalat" w:hAnsi="GHEA Grapalat"/>
          <w:sz w:val="24"/>
          <w:szCs w:val="24"/>
          <w:lang w:val="hy-AM"/>
        </w:rPr>
        <w:t xml:space="preserve"> իրականացումը Երևանի քաղաքապետին պատվիրակ</w:t>
      </w:r>
      <w:r w:rsidR="00932F39">
        <w:rPr>
          <w:rFonts w:ascii="GHEA Grapalat" w:hAnsi="GHEA Grapalat"/>
          <w:sz w:val="24"/>
          <w:szCs w:val="24"/>
          <w:lang w:val="hy-AM"/>
        </w:rPr>
        <w:t>ված լին</w:t>
      </w:r>
      <w:r w:rsidR="003C56E2">
        <w:rPr>
          <w:rFonts w:ascii="GHEA Grapalat" w:hAnsi="GHEA Grapalat"/>
          <w:sz w:val="24"/>
          <w:szCs w:val="24"/>
          <w:lang w:val="hy-AM"/>
        </w:rPr>
        <w:t xml:space="preserve">ելու դեպքում` Երևանի քաղաքապետարանի </w:t>
      </w:r>
      <w:r w:rsidR="002B190B" w:rsidRPr="00035BC7">
        <w:rPr>
          <w:rFonts w:ascii="GHEA Grapalat" w:hAnsi="GHEA Grapalat"/>
          <w:sz w:val="24"/>
          <w:szCs w:val="24"/>
          <w:lang w:val="hy-AM"/>
        </w:rPr>
        <w:t xml:space="preserve">կողմից՝ </w:t>
      </w:r>
      <w:r w:rsidR="002B190B" w:rsidRPr="00035BC7">
        <w:rPr>
          <w:rFonts w:ascii="GHEA Grapalat" w:hAnsi="GHEA Grapalat"/>
          <w:sz w:val="24"/>
          <w:szCs w:val="24"/>
          <w:lang w:val="hy-AM"/>
        </w:rPr>
        <w:lastRenderedPageBreak/>
        <w:t xml:space="preserve">նախատեսելով </w:t>
      </w:r>
      <w:r w:rsidR="006578FF">
        <w:rPr>
          <w:rFonts w:ascii="GHEA Grapalat" w:hAnsi="GHEA Grapalat"/>
          <w:sz w:val="24"/>
          <w:szCs w:val="24"/>
          <w:lang w:val="hy-AM"/>
        </w:rPr>
        <w:t xml:space="preserve">հայտում </w:t>
      </w:r>
      <w:r w:rsidR="002B190B" w:rsidRPr="00035BC7">
        <w:rPr>
          <w:rFonts w:ascii="GHEA Grapalat" w:hAnsi="GHEA Grapalat"/>
          <w:sz w:val="24"/>
          <w:szCs w:val="24"/>
          <w:lang w:val="hy-AM"/>
        </w:rPr>
        <w:t>ներառման ենթակա տեղեկությունները։</w:t>
      </w:r>
      <w:r w:rsidR="00087EA9">
        <w:rPr>
          <w:rFonts w:ascii="GHEA Grapalat" w:hAnsi="GHEA Grapalat"/>
          <w:sz w:val="24"/>
          <w:szCs w:val="24"/>
          <w:lang w:val="hy-AM"/>
        </w:rPr>
        <w:t xml:space="preserve"> Միաժամանակ, լիազոր մարմնի ծանրաբեռնվածությունը նվազեցնելու և գործընթացն արդյունավետորեն կազմակերպելու նպատակով նախատեսվել է </w:t>
      </w:r>
      <w:r w:rsidR="00087EA9" w:rsidRPr="00932F39">
        <w:rPr>
          <w:rFonts w:ascii="GHEA Grapalat" w:hAnsi="GHEA Grapalat"/>
          <w:sz w:val="24"/>
          <w:szCs w:val="24"/>
          <w:lang w:val="hy-AM"/>
        </w:rPr>
        <w:t xml:space="preserve">հանրության գերակա շահ ճանաչելու մասին Կառավարության նույն որոշման շրջանակում օտարման ենթակա </w:t>
      </w:r>
      <w:r w:rsidR="006578FF">
        <w:rPr>
          <w:rFonts w:ascii="GHEA Grapalat" w:hAnsi="GHEA Grapalat"/>
          <w:sz w:val="24"/>
          <w:szCs w:val="24"/>
          <w:lang w:val="hy-AM"/>
        </w:rPr>
        <w:t xml:space="preserve">մինչև </w:t>
      </w:r>
      <w:r w:rsidR="003629C8">
        <w:rPr>
          <w:rFonts w:ascii="GHEA Grapalat" w:hAnsi="GHEA Grapalat"/>
          <w:sz w:val="24"/>
          <w:szCs w:val="24"/>
          <w:lang w:val="hy-AM"/>
        </w:rPr>
        <w:t xml:space="preserve">երկու </w:t>
      </w:r>
      <w:r w:rsidR="00845124">
        <w:rPr>
          <w:rFonts w:ascii="GHEA Grapalat" w:hAnsi="GHEA Grapalat"/>
          <w:sz w:val="24"/>
          <w:szCs w:val="24"/>
          <w:lang w:val="hy-AM"/>
        </w:rPr>
        <w:t xml:space="preserve">հարյուր սեփականությունների </w:t>
      </w:r>
      <w:r w:rsidR="00087EA9" w:rsidRPr="00932F39">
        <w:rPr>
          <w:rFonts w:ascii="GHEA Grapalat" w:hAnsi="GHEA Grapalat"/>
          <w:sz w:val="24"/>
          <w:szCs w:val="24"/>
          <w:lang w:val="hy-AM"/>
        </w:rPr>
        <w:t xml:space="preserve">դեպքում մեկ </w:t>
      </w:r>
      <w:r w:rsidR="006578FF">
        <w:rPr>
          <w:rFonts w:ascii="GHEA Grapalat" w:hAnsi="GHEA Grapalat"/>
          <w:sz w:val="24"/>
          <w:szCs w:val="24"/>
          <w:lang w:val="hy-AM"/>
        </w:rPr>
        <w:t>հայտ</w:t>
      </w:r>
      <w:r w:rsidR="006578FF" w:rsidRPr="00932F39">
        <w:rPr>
          <w:rFonts w:ascii="GHEA Grapalat" w:hAnsi="GHEA Grapalat"/>
          <w:sz w:val="24"/>
          <w:szCs w:val="24"/>
          <w:lang w:val="hy-AM"/>
        </w:rPr>
        <w:t xml:space="preserve"> </w:t>
      </w:r>
      <w:r w:rsidR="00087EA9" w:rsidRPr="00932F39">
        <w:rPr>
          <w:rFonts w:ascii="GHEA Grapalat" w:hAnsi="GHEA Grapalat"/>
          <w:sz w:val="24"/>
          <w:szCs w:val="24"/>
          <w:lang w:val="hy-AM"/>
        </w:rPr>
        <w:t>ներկայացնելու և դրանում ներառված սեփականության գնահատման նպատակով մեկ վիճակա</w:t>
      </w:r>
      <w:r w:rsidR="00087EA9">
        <w:rPr>
          <w:rFonts w:ascii="GHEA Grapalat" w:hAnsi="GHEA Grapalat"/>
          <w:sz w:val="24"/>
          <w:szCs w:val="24"/>
          <w:lang w:val="hy-AM"/>
        </w:rPr>
        <w:t>հանություն իրականացնե</w:t>
      </w:r>
      <w:r w:rsidR="00845124">
        <w:rPr>
          <w:rFonts w:ascii="GHEA Grapalat" w:hAnsi="GHEA Grapalat"/>
          <w:sz w:val="24"/>
          <w:szCs w:val="24"/>
          <w:lang w:val="hy-AM"/>
        </w:rPr>
        <w:t>լ</w:t>
      </w:r>
      <w:r w:rsidR="00087EA9">
        <w:rPr>
          <w:rFonts w:ascii="GHEA Grapalat" w:hAnsi="GHEA Grapalat"/>
          <w:sz w:val="24"/>
          <w:szCs w:val="24"/>
          <w:lang w:val="hy-AM"/>
        </w:rPr>
        <w:t>ու մասին կարգավորում:</w:t>
      </w:r>
    </w:p>
    <w:p w14:paraId="48BD29A3" w14:textId="3AB6427A" w:rsidR="00516F92" w:rsidRDefault="00516F92" w:rsidP="001E6A5F">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3. </w:t>
      </w:r>
      <w:r w:rsidR="002B190B" w:rsidRPr="00516F92">
        <w:rPr>
          <w:rFonts w:ascii="GHEA Grapalat" w:hAnsi="GHEA Grapalat"/>
          <w:sz w:val="24"/>
          <w:szCs w:val="24"/>
          <w:lang w:val="hy-AM"/>
        </w:rPr>
        <w:t xml:space="preserve">Սահմանել Լիազոր մարմնի </w:t>
      </w:r>
      <w:r w:rsidR="00EE764F" w:rsidRPr="00516F92">
        <w:rPr>
          <w:rFonts w:ascii="GHEA Grapalat" w:hAnsi="GHEA Grapalat"/>
          <w:sz w:val="24"/>
          <w:szCs w:val="24"/>
          <w:lang w:val="hy-AM"/>
        </w:rPr>
        <w:t xml:space="preserve">կողմից ներկայացված </w:t>
      </w:r>
      <w:r w:rsidR="00C40E48">
        <w:rPr>
          <w:rFonts w:ascii="GHEA Grapalat" w:hAnsi="GHEA Grapalat"/>
          <w:sz w:val="24"/>
          <w:szCs w:val="24"/>
          <w:lang w:val="hy-AM"/>
        </w:rPr>
        <w:t>հայտի</w:t>
      </w:r>
      <w:r w:rsidR="00C40E48" w:rsidRPr="00516F92">
        <w:rPr>
          <w:rFonts w:ascii="GHEA Grapalat" w:hAnsi="GHEA Grapalat"/>
          <w:sz w:val="24"/>
          <w:szCs w:val="24"/>
          <w:lang w:val="hy-AM"/>
        </w:rPr>
        <w:t xml:space="preserve"> </w:t>
      </w:r>
      <w:r w:rsidR="00EE764F" w:rsidRPr="00516F92">
        <w:rPr>
          <w:rFonts w:ascii="GHEA Grapalat" w:hAnsi="GHEA Grapalat"/>
          <w:sz w:val="24"/>
          <w:szCs w:val="24"/>
          <w:lang w:val="hy-AM"/>
        </w:rPr>
        <w:t>հիման վրա պատահականության սկզբունքով, վիճակահանությամբ գնահատողի ընտրության ժամկետը, ընթացակարգը և սկզբունքները</w:t>
      </w:r>
      <w:r w:rsidR="003951B9" w:rsidRPr="00516F92">
        <w:rPr>
          <w:rFonts w:ascii="GHEA Grapalat" w:hAnsi="GHEA Grapalat"/>
          <w:sz w:val="24"/>
          <w:szCs w:val="24"/>
          <w:lang w:val="hy-AM"/>
        </w:rPr>
        <w:t>՝ ի թիվս այլնի, նախատեսելով տվյալ օրվա ընթացքում մուտքագրված</w:t>
      </w:r>
      <w:r w:rsidR="006578FF" w:rsidRPr="00516F92">
        <w:rPr>
          <w:rFonts w:ascii="GHEA Grapalat" w:hAnsi="GHEA Grapalat"/>
          <w:sz w:val="24"/>
          <w:szCs w:val="24"/>
          <w:lang w:val="hy-AM"/>
        </w:rPr>
        <w:t xml:space="preserve"> հայտերի</w:t>
      </w:r>
      <w:r w:rsidR="003951B9" w:rsidRPr="00516F92">
        <w:rPr>
          <w:rFonts w:ascii="GHEA Grapalat" w:hAnsi="GHEA Grapalat"/>
          <w:sz w:val="24"/>
          <w:szCs w:val="24"/>
          <w:lang w:val="hy-AM"/>
        </w:rPr>
        <w:t xml:space="preserve"> մասով վիճակահանությունը Ծրագրի միջոցով ինքնաշխատ եղանակով` առանց Կոմիտեի միջամտության իրականացնելը </w:t>
      </w:r>
      <w:r w:rsidR="006578FF" w:rsidRPr="00516F92">
        <w:rPr>
          <w:rFonts w:ascii="GHEA Grapalat" w:hAnsi="GHEA Grapalat"/>
          <w:sz w:val="24"/>
          <w:szCs w:val="24"/>
          <w:lang w:val="hy-AM"/>
        </w:rPr>
        <w:t xml:space="preserve">հայտի </w:t>
      </w:r>
      <w:r w:rsidR="003951B9" w:rsidRPr="00516F92">
        <w:rPr>
          <w:rFonts w:ascii="GHEA Grapalat" w:hAnsi="GHEA Grapalat"/>
          <w:sz w:val="24"/>
          <w:szCs w:val="24"/>
          <w:lang w:val="hy-AM"/>
        </w:rPr>
        <w:t xml:space="preserve">մուտքագրման </w:t>
      </w:r>
      <w:r w:rsidR="0081735D" w:rsidRPr="00516F92">
        <w:rPr>
          <w:rFonts w:ascii="GHEA Grapalat" w:hAnsi="GHEA Grapalat"/>
          <w:sz w:val="24"/>
          <w:szCs w:val="24"/>
          <w:lang w:val="hy-AM"/>
        </w:rPr>
        <w:t>օրը՝ անմիջապես</w:t>
      </w:r>
      <w:r w:rsidR="003951B9" w:rsidRPr="00516F92">
        <w:rPr>
          <w:rFonts w:ascii="GHEA Grapalat" w:hAnsi="GHEA Grapalat"/>
          <w:sz w:val="24"/>
          <w:szCs w:val="24"/>
          <w:lang w:val="hy-AM"/>
        </w:rPr>
        <w:t>:</w:t>
      </w:r>
    </w:p>
    <w:p w14:paraId="6DFD43B2" w14:textId="61515A93" w:rsidR="001E6A5F" w:rsidRPr="00EF1792" w:rsidRDefault="00516F92" w:rsidP="00671632">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4. </w:t>
      </w:r>
      <w:r w:rsidR="00087EA9" w:rsidRPr="00516F92">
        <w:rPr>
          <w:rFonts w:ascii="GHEA Grapalat" w:hAnsi="GHEA Grapalat"/>
          <w:sz w:val="24"/>
          <w:szCs w:val="24"/>
          <w:lang w:val="hy-AM"/>
        </w:rPr>
        <w:t xml:space="preserve">Կարգավորվել վիճակահանության արդյունքում ընտրված գնահատողի կողմից օտարվող սեփականության գնահատում իրականացնելուց հրաժարվելու, </w:t>
      </w:r>
      <w:r w:rsidR="00671632">
        <w:rPr>
          <w:rFonts w:ascii="GHEA Grapalat" w:hAnsi="GHEA Grapalat"/>
          <w:sz w:val="24"/>
          <w:szCs w:val="24"/>
          <w:lang w:val="hy-AM"/>
        </w:rPr>
        <w:t xml:space="preserve">ինչպես նաև </w:t>
      </w:r>
      <w:r w:rsidR="00087EA9" w:rsidRPr="00516F92">
        <w:rPr>
          <w:rFonts w:ascii="GHEA Grapalat" w:hAnsi="GHEA Grapalat"/>
          <w:sz w:val="24"/>
          <w:szCs w:val="24"/>
          <w:lang w:val="hy-AM"/>
        </w:rPr>
        <w:t>նոր վիճակահանություն իրականացնելու կարգն ու պայմանները:</w:t>
      </w:r>
      <w:r w:rsidR="00B16C40" w:rsidRPr="00516F92">
        <w:rPr>
          <w:rFonts w:ascii="GHEA Grapalat" w:hAnsi="GHEA Grapalat"/>
          <w:sz w:val="24"/>
          <w:szCs w:val="24"/>
          <w:lang w:val="hy-AM"/>
        </w:rPr>
        <w:t xml:space="preserve"> </w:t>
      </w:r>
    </w:p>
    <w:p w14:paraId="5B35FC2A" w14:textId="777CA14D" w:rsidR="001E6A5F" w:rsidRDefault="001E6A5F" w:rsidP="00115338">
      <w:pPr>
        <w:tabs>
          <w:tab w:val="left" w:pos="851"/>
        </w:tabs>
        <w:spacing w:after="0" w:line="360" w:lineRule="auto"/>
        <w:ind w:firstLine="567"/>
        <w:jc w:val="both"/>
        <w:rPr>
          <w:rFonts w:ascii="GHEA Grapalat" w:hAnsi="GHEA Grapalat"/>
          <w:sz w:val="24"/>
          <w:szCs w:val="24"/>
          <w:lang w:val="hy-AM"/>
        </w:rPr>
      </w:pPr>
      <w:r w:rsidRPr="00115338">
        <w:rPr>
          <w:rFonts w:ascii="GHEA Grapalat" w:hAnsi="GHEA Grapalat"/>
          <w:sz w:val="24"/>
          <w:szCs w:val="24"/>
          <w:lang w:val="hy-AM"/>
        </w:rPr>
        <w:t xml:space="preserve">5. </w:t>
      </w:r>
      <w:r w:rsidR="00087EA9" w:rsidRPr="00115338">
        <w:rPr>
          <w:rFonts w:ascii="GHEA Grapalat" w:hAnsi="GHEA Grapalat"/>
          <w:sz w:val="24"/>
          <w:szCs w:val="24"/>
          <w:lang w:val="hy-AM"/>
        </w:rPr>
        <w:t xml:space="preserve">Սահմանել Ծրագրի միջոցով, </w:t>
      </w:r>
      <w:r w:rsidR="00845124">
        <w:rPr>
          <w:rFonts w:ascii="GHEA Grapalat" w:hAnsi="GHEA Grapalat"/>
          <w:sz w:val="24"/>
          <w:szCs w:val="24"/>
          <w:lang w:val="hy-AM"/>
        </w:rPr>
        <w:t>վիճակահանության</w:t>
      </w:r>
      <w:r w:rsidR="00087EA9" w:rsidRPr="00115338">
        <w:rPr>
          <w:rFonts w:ascii="GHEA Grapalat" w:hAnsi="GHEA Grapalat"/>
          <w:sz w:val="24"/>
          <w:szCs w:val="24"/>
          <w:lang w:val="hy-AM"/>
        </w:rPr>
        <w:t xml:space="preserve"> արդյունքում</w:t>
      </w:r>
      <w:r w:rsidR="009875CF" w:rsidRPr="00115338">
        <w:rPr>
          <w:rFonts w:ascii="GHEA Grapalat" w:hAnsi="GHEA Grapalat"/>
          <w:sz w:val="24"/>
          <w:szCs w:val="24"/>
          <w:lang w:val="hy-AM"/>
        </w:rPr>
        <w:t xml:space="preserve"> </w:t>
      </w:r>
      <w:r w:rsidR="00087EA9" w:rsidRPr="00115338">
        <w:rPr>
          <w:rFonts w:ascii="GHEA Grapalat" w:hAnsi="GHEA Grapalat"/>
          <w:sz w:val="24"/>
          <w:szCs w:val="24"/>
          <w:lang w:val="hy-AM"/>
        </w:rPr>
        <w:t xml:space="preserve">գնահատողի ընտրությունից հետո իրականացման ենթակա գործողությունները, ներառյալ` </w:t>
      </w:r>
      <w:bookmarkStart w:id="0" w:name="_GoBack"/>
      <w:bookmarkEnd w:id="0"/>
      <w:r w:rsidR="00087EA9" w:rsidRPr="00115338">
        <w:rPr>
          <w:rFonts w:ascii="GHEA Grapalat" w:hAnsi="GHEA Grapalat"/>
          <w:sz w:val="24"/>
          <w:szCs w:val="24"/>
          <w:lang w:val="hy-AM"/>
        </w:rPr>
        <w:t>վիճակահանության արդյունքների մասին արձանագրություն կազմելու և դրա բովանդակության, լիազոր մարմին ներկայացնելու և արխիվացնելու հետ կապված հարցերը:</w:t>
      </w:r>
    </w:p>
    <w:p w14:paraId="07AF979A" w14:textId="3F91E61F" w:rsidR="00C254CA" w:rsidRPr="00C61EB1" w:rsidRDefault="00C254CA" w:rsidP="00115338">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Միաժամանակ, անդրադառնալով </w:t>
      </w:r>
      <w:r w:rsidR="00AA0902">
        <w:rPr>
          <w:rFonts w:ascii="GHEA Grapalat" w:hAnsi="GHEA Grapalat"/>
          <w:sz w:val="24"/>
          <w:szCs w:val="24"/>
          <w:lang w:val="hy-AM"/>
        </w:rPr>
        <w:t>գնահատողի հետ առաջացող հարաբերությունների բնույթին՝ հարկ է ն</w:t>
      </w:r>
      <w:r w:rsidR="009F41B8">
        <w:rPr>
          <w:rFonts w:ascii="GHEA Grapalat" w:hAnsi="GHEA Grapalat"/>
          <w:sz w:val="24"/>
          <w:szCs w:val="24"/>
          <w:lang w:val="hy-AM"/>
        </w:rPr>
        <w:t>շ</w:t>
      </w:r>
      <w:r w:rsidR="00AA0902">
        <w:rPr>
          <w:rFonts w:ascii="GHEA Grapalat" w:hAnsi="GHEA Grapalat"/>
          <w:sz w:val="24"/>
          <w:szCs w:val="24"/>
          <w:lang w:val="hy-AM"/>
        </w:rPr>
        <w:t xml:space="preserve">ել, որ </w:t>
      </w:r>
      <w:r w:rsidRPr="00C254CA">
        <w:rPr>
          <w:rFonts w:ascii="GHEA Grapalat" w:hAnsi="GHEA Grapalat"/>
          <w:sz w:val="24"/>
          <w:szCs w:val="24"/>
          <w:lang w:val="hy-AM"/>
        </w:rPr>
        <w:t>«Գնումների մասին» օրենքը և դրանից բխող՝ Կառավարության</w:t>
      </w:r>
      <w:r w:rsidRPr="00C254CA">
        <w:rPr>
          <w:rFonts w:ascii="Calibri" w:hAnsi="Calibri" w:cs="Calibri"/>
          <w:sz w:val="24"/>
          <w:szCs w:val="24"/>
          <w:lang w:val="hy-AM"/>
        </w:rPr>
        <w:t> </w:t>
      </w:r>
      <w:r w:rsidRPr="00845124">
        <w:rPr>
          <w:rFonts w:ascii="GHEA Grapalat" w:hAnsi="GHEA Grapalat"/>
          <w:sz w:val="24"/>
          <w:szCs w:val="24"/>
          <w:lang w:val="hy-AM"/>
        </w:rPr>
        <w:t>2017 թվականի մայիսի</w:t>
      </w:r>
      <w:r w:rsidRPr="00845124">
        <w:rPr>
          <w:rFonts w:ascii="Calibri" w:hAnsi="Calibri" w:cs="Calibri"/>
          <w:sz w:val="24"/>
          <w:szCs w:val="24"/>
          <w:lang w:val="hy-AM"/>
        </w:rPr>
        <w:t> </w:t>
      </w:r>
      <w:r w:rsidRPr="00C254CA">
        <w:rPr>
          <w:rFonts w:ascii="GHEA Grapalat" w:hAnsi="GHEA Grapalat"/>
          <w:sz w:val="24"/>
          <w:szCs w:val="24"/>
          <w:lang w:val="hy-AM"/>
        </w:rPr>
        <w:t>4-ի թիվ</w:t>
      </w:r>
      <w:r w:rsidRPr="00845124">
        <w:rPr>
          <w:rFonts w:ascii="Calibri" w:hAnsi="Calibri" w:cs="Calibri"/>
          <w:sz w:val="24"/>
          <w:szCs w:val="24"/>
          <w:lang w:val="hy-AM"/>
        </w:rPr>
        <w:t> </w:t>
      </w:r>
      <w:r w:rsidRPr="00845124">
        <w:rPr>
          <w:rFonts w:ascii="GHEA Grapalat" w:hAnsi="GHEA Grapalat"/>
          <w:sz w:val="24"/>
          <w:szCs w:val="24"/>
          <w:lang w:val="hy-AM"/>
        </w:rPr>
        <w:t>526-Ն</w:t>
      </w:r>
      <w:r w:rsidRPr="00845124">
        <w:rPr>
          <w:rFonts w:ascii="Calibri" w:hAnsi="Calibri" w:cs="Calibri"/>
          <w:sz w:val="24"/>
          <w:szCs w:val="24"/>
          <w:lang w:val="hy-AM"/>
        </w:rPr>
        <w:t> </w:t>
      </w:r>
      <w:r w:rsidRPr="00C254CA">
        <w:rPr>
          <w:rFonts w:ascii="GHEA Grapalat" w:hAnsi="GHEA Grapalat"/>
          <w:sz w:val="24"/>
          <w:szCs w:val="24"/>
          <w:lang w:val="hy-AM"/>
        </w:rPr>
        <w:t>որոշումը, ընդհանուր առմամբ, միտված են կարգավորելու պատվիրատուների կողմից ապրանքներ, աշխատանքներ և ծառայություններ ձեռք բերելու գործընթացի և դրա կազմակերպման հետ կապված հարաբերությունները՝ սահմանելով ընդհանուր դրույթներ:</w:t>
      </w:r>
    </w:p>
    <w:p w14:paraId="76579827" w14:textId="56898F52" w:rsidR="00C254CA" w:rsidRPr="00845124" w:rsidRDefault="00C254CA" w:rsidP="00C254CA">
      <w:pPr>
        <w:pStyle w:val="ListParagraph"/>
        <w:tabs>
          <w:tab w:val="left" w:pos="851"/>
        </w:tabs>
        <w:spacing w:line="360" w:lineRule="auto"/>
        <w:ind w:left="0" w:firstLine="567"/>
        <w:jc w:val="both"/>
        <w:rPr>
          <w:rFonts w:ascii="GHEA Grapalat" w:hAnsi="GHEA Grapalat"/>
          <w:sz w:val="24"/>
          <w:szCs w:val="24"/>
          <w:lang w:val="hy-AM"/>
        </w:rPr>
      </w:pPr>
      <w:r w:rsidRPr="00C254CA">
        <w:rPr>
          <w:rFonts w:ascii="GHEA Grapalat" w:hAnsi="GHEA Grapalat"/>
          <w:sz w:val="24"/>
          <w:szCs w:val="24"/>
          <w:lang w:val="hy-AM"/>
        </w:rPr>
        <w:lastRenderedPageBreak/>
        <w:t>Իր հերթին, «</w:t>
      </w:r>
      <w:r w:rsidRPr="00845124">
        <w:rPr>
          <w:rFonts w:ascii="GHEA Grapalat" w:hAnsi="GHEA Grapalat"/>
          <w:sz w:val="24"/>
          <w:szCs w:val="24"/>
          <w:lang w:val="hy-AM"/>
        </w:rPr>
        <w:t>Հանրության գերակա շահերի ապահովման նպատակով սեփականության օտարման մասին</w:t>
      </w:r>
      <w:r w:rsidRPr="00C254CA">
        <w:rPr>
          <w:rFonts w:ascii="GHEA Grapalat" w:hAnsi="GHEA Grapalat"/>
          <w:sz w:val="24"/>
          <w:szCs w:val="24"/>
          <w:lang w:val="hy-AM"/>
        </w:rPr>
        <w:t>» օրենքի 11-րդ հոդվածի 2-րդ մասը նույնպես միտված է պատվիրատուների կողմից աշխատանքներ և ծառայություններ ձեռք բերելու գործընթացի կարգավորմանը</w:t>
      </w:r>
      <w:r w:rsidR="005A1F87">
        <w:rPr>
          <w:rFonts w:ascii="GHEA Grapalat" w:hAnsi="GHEA Grapalat"/>
          <w:sz w:val="24"/>
          <w:szCs w:val="24"/>
          <w:lang w:val="hy-AM"/>
        </w:rPr>
        <w:t xml:space="preserve">՝ </w:t>
      </w:r>
      <w:r w:rsidRPr="00C254CA">
        <w:rPr>
          <w:rFonts w:ascii="GHEA Grapalat" w:hAnsi="GHEA Grapalat"/>
          <w:sz w:val="24"/>
          <w:szCs w:val="24"/>
          <w:lang w:val="hy-AM"/>
        </w:rPr>
        <w:t>այնքանով</w:t>
      </w:r>
      <w:r w:rsidR="005A1F87">
        <w:rPr>
          <w:rFonts w:ascii="GHEA Grapalat" w:hAnsi="GHEA Grapalat"/>
          <w:sz w:val="24"/>
          <w:szCs w:val="24"/>
          <w:lang w:val="hy-AM"/>
        </w:rPr>
        <w:t>,</w:t>
      </w:r>
      <w:r w:rsidRPr="00C254CA">
        <w:rPr>
          <w:rFonts w:ascii="GHEA Grapalat" w:hAnsi="GHEA Grapalat"/>
          <w:sz w:val="24"/>
          <w:szCs w:val="24"/>
          <w:lang w:val="hy-AM"/>
        </w:rPr>
        <w:t xml:space="preserve"> որքանով նախատեսում է բացառապես այդ իրավահարաբերությունների կարգավորմանն ուղղված հատուկ նորմ՝ </w:t>
      </w:r>
      <w:r w:rsidR="005A1F87">
        <w:rPr>
          <w:rFonts w:ascii="GHEA Grapalat" w:hAnsi="GHEA Grapalat"/>
          <w:sz w:val="24"/>
          <w:szCs w:val="24"/>
          <w:lang w:val="hy-AM"/>
        </w:rPr>
        <w:t>սահման</w:t>
      </w:r>
      <w:r w:rsidRPr="00C254CA">
        <w:rPr>
          <w:rFonts w:ascii="GHEA Grapalat" w:hAnsi="GHEA Grapalat"/>
          <w:sz w:val="24"/>
          <w:szCs w:val="24"/>
          <w:lang w:val="hy-AM"/>
        </w:rPr>
        <w:t xml:space="preserve">ելով գնահատողի ընտրության և օտարման գործընթացին </w:t>
      </w:r>
      <w:r w:rsidR="005A1F87">
        <w:rPr>
          <w:rFonts w:ascii="GHEA Grapalat" w:hAnsi="GHEA Grapalat"/>
          <w:sz w:val="24"/>
          <w:szCs w:val="24"/>
          <w:lang w:val="hy-AM"/>
        </w:rPr>
        <w:t xml:space="preserve">նրան </w:t>
      </w:r>
      <w:r w:rsidRPr="00C254CA">
        <w:rPr>
          <w:rFonts w:ascii="GHEA Grapalat" w:hAnsi="GHEA Grapalat"/>
          <w:sz w:val="24"/>
          <w:szCs w:val="24"/>
          <w:lang w:val="hy-AM"/>
        </w:rPr>
        <w:t>ներգրավելու հատուկ գործիքակազմ, որոնք ենթադրում են</w:t>
      </w:r>
      <w:r w:rsidR="005A1F87">
        <w:rPr>
          <w:rFonts w:ascii="Calibri" w:hAnsi="Calibri" w:cs="Calibri"/>
          <w:sz w:val="24"/>
          <w:szCs w:val="24"/>
          <w:lang w:val="hy-AM"/>
        </w:rPr>
        <w:t xml:space="preserve"> </w:t>
      </w:r>
      <w:r w:rsidRPr="00845124">
        <w:rPr>
          <w:rFonts w:ascii="GHEA Grapalat" w:hAnsi="GHEA Grapalat"/>
          <w:sz w:val="24"/>
          <w:szCs w:val="24"/>
          <w:lang w:val="hy-AM"/>
        </w:rPr>
        <w:t>սեփականատիրոջ</w:t>
      </w:r>
      <w:r w:rsidRPr="00845124">
        <w:rPr>
          <w:rFonts w:ascii="Calibri" w:hAnsi="Calibri" w:cs="Calibri"/>
          <w:sz w:val="24"/>
          <w:szCs w:val="24"/>
          <w:lang w:val="hy-AM"/>
        </w:rPr>
        <w:t> </w:t>
      </w:r>
      <w:r w:rsidRPr="00C254CA">
        <w:rPr>
          <w:rFonts w:ascii="GHEA Grapalat" w:hAnsi="GHEA Grapalat"/>
          <w:sz w:val="24"/>
          <w:szCs w:val="24"/>
          <w:lang w:val="hy-AM"/>
        </w:rPr>
        <w:t>և</w:t>
      </w:r>
      <w:r w:rsidRPr="00C254CA">
        <w:rPr>
          <w:rFonts w:ascii="Calibri" w:hAnsi="Calibri" w:cs="Calibri"/>
          <w:sz w:val="24"/>
          <w:szCs w:val="24"/>
          <w:lang w:val="hy-AM"/>
        </w:rPr>
        <w:t> </w:t>
      </w:r>
      <w:r w:rsidRPr="00845124">
        <w:rPr>
          <w:rFonts w:ascii="GHEA Grapalat" w:hAnsi="GHEA Grapalat"/>
          <w:sz w:val="24"/>
          <w:szCs w:val="24"/>
          <w:lang w:val="hy-AM"/>
        </w:rPr>
        <w:t>գույքային իրավունք ունեցող անձանց առաջարկով</w:t>
      </w:r>
      <w:r w:rsidRPr="00845124">
        <w:rPr>
          <w:rFonts w:ascii="Calibri" w:hAnsi="Calibri" w:cs="Calibri"/>
          <w:sz w:val="24"/>
          <w:szCs w:val="24"/>
          <w:lang w:val="hy-AM"/>
        </w:rPr>
        <w:t> </w:t>
      </w:r>
      <w:r w:rsidRPr="00C254CA">
        <w:rPr>
          <w:rFonts w:ascii="GHEA Grapalat" w:hAnsi="GHEA Grapalat"/>
          <w:sz w:val="24"/>
          <w:szCs w:val="24"/>
          <w:lang w:val="hy-AM"/>
        </w:rPr>
        <w:t>կամ Կառավարության սահմանած կարգով, պատահականությամբ ընտրված գնահատողի</w:t>
      </w:r>
      <w:r w:rsidRPr="00C254CA">
        <w:rPr>
          <w:rFonts w:ascii="Calibri" w:hAnsi="Calibri" w:cs="Calibri"/>
          <w:sz w:val="24"/>
          <w:szCs w:val="24"/>
          <w:lang w:val="hy-AM"/>
        </w:rPr>
        <w:t> </w:t>
      </w:r>
      <w:r w:rsidRPr="00845124">
        <w:rPr>
          <w:rFonts w:ascii="GHEA Grapalat" w:hAnsi="GHEA Grapalat"/>
          <w:sz w:val="24"/>
          <w:szCs w:val="24"/>
          <w:lang w:val="hy-AM"/>
        </w:rPr>
        <w:t>պարտադիր ներգրավում</w:t>
      </w:r>
      <w:r w:rsidRPr="00C254CA">
        <w:rPr>
          <w:rFonts w:ascii="GHEA Grapalat" w:hAnsi="GHEA Grapalat"/>
          <w:sz w:val="24"/>
          <w:szCs w:val="24"/>
          <w:lang w:val="hy-AM"/>
        </w:rPr>
        <w:t>:</w:t>
      </w:r>
      <w:r w:rsidRPr="00C254CA">
        <w:rPr>
          <w:rFonts w:ascii="Calibri" w:hAnsi="Calibri" w:cs="Calibri"/>
          <w:sz w:val="24"/>
          <w:szCs w:val="24"/>
          <w:lang w:val="hy-AM"/>
        </w:rPr>
        <w:t> </w:t>
      </w:r>
    </w:p>
    <w:p w14:paraId="19750CA0" w14:textId="17A21769" w:rsidR="00C254CA" w:rsidRPr="00845124" w:rsidRDefault="00C254CA" w:rsidP="00C254CA">
      <w:pPr>
        <w:pStyle w:val="ListParagraph"/>
        <w:tabs>
          <w:tab w:val="left" w:pos="851"/>
        </w:tabs>
        <w:spacing w:line="360" w:lineRule="auto"/>
        <w:ind w:left="0" w:firstLine="567"/>
        <w:jc w:val="both"/>
        <w:rPr>
          <w:rFonts w:ascii="GHEA Grapalat" w:hAnsi="GHEA Grapalat"/>
          <w:sz w:val="24"/>
          <w:szCs w:val="24"/>
          <w:lang w:val="hy-AM"/>
        </w:rPr>
      </w:pPr>
      <w:r w:rsidRPr="00C254CA">
        <w:rPr>
          <w:rFonts w:ascii="GHEA Grapalat" w:hAnsi="GHEA Grapalat"/>
          <w:sz w:val="24"/>
          <w:szCs w:val="24"/>
          <w:lang w:val="hy-AM"/>
        </w:rPr>
        <w:t>Հետևաբար, հանրության գերակա շահի օտարման գործընթացում գ</w:t>
      </w:r>
      <w:r w:rsidRPr="00845124">
        <w:rPr>
          <w:rFonts w:ascii="GHEA Grapalat" w:hAnsi="GHEA Grapalat"/>
          <w:sz w:val="24"/>
          <w:szCs w:val="24"/>
          <w:lang w:val="hy-AM"/>
        </w:rPr>
        <w:t>նահատողի ներգրավմա</w:t>
      </w:r>
      <w:r w:rsidRPr="00C254CA">
        <w:rPr>
          <w:rFonts w:ascii="GHEA Grapalat" w:hAnsi="GHEA Grapalat"/>
          <w:sz w:val="24"/>
          <w:szCs w:val="24"/>
          <w:lang w:val="hy-AM"/>
        </w:rPr>
        <w:t>մբ</w:t>
      </w:r>
      <w:r w:rsidR="000026CB">
        <w:rPr>
          <w:rFonts w:ascii="Calibri" w:hAnsi="Calibri" w:cs="Calibri"/>
          <w:sz w:val="24"/>
          <w:szCs w:val="24"/>
          <w:lang w:val="hy-AM"/>
        </w:rPr>
        <w:t xml:space="preserve"> </w:t>
      </w:r>
      <w:r w:rsidRPr="00845124">
        <w:rPr>
          <w:rFonts w:ascii="GHEA Grapalat" w:hAnsi="GHEA Grapalat"/>
          <w:sz w:val="24"/>
          <w:szCs w:val="24"/>
          <w:lang w:val="hy-AM"/>
        </w:rPr>
        <w:t>առաջացող հարաբերության նյութաիրավական բովանդակությունը քաղաքացիաիրավական է՝ գնահատման ծառայության մատուցում կամ գնահատման արդյունք հանդիսացող հաշվետվության պատրաստում և հանձնում,</w:t>
      </w:r>
      <w:r w:rsidRPr="00845124">
        <w:rPr>
          <w:rFonts w:ascii="Calibri" w:hAnsi="Calibri" w:cs="Calibri"/>
          <w:sz w:val="24"/>
          <w:szCs w:val="24"/>
          <w:lang w:val="hy-AM"/>
        </w:rPr>
        <w:t> </w:t>
      </w:r>
      <w:r w:rsidRPr="00C254CA">
        <w:rPr>
          <w:rFonts w:ascii="GHEA Grapalat" w:hAnsi="GHEA Grapalat"/>
          <w:sz w:val="24"/>
          <w:szCs w:val="24"/>
          <w:lang w:val="hy-AM"/>
        </w:rPr>
        <w:t>և</w:t>
      </w:r>
      <w:r w:rsidRPr="00C254CA">
        <w:rPr>
          <w:rFonts w:ascii="Calibri" w:hAnsi="Calibri" w:cs="Calibri"/>
          <w:sz w:val="24"/>
          <w:szCs w:val="24"/>
          <w:lang w:val="hy-AM"/>
        </w:rPr>
        <w:t> </w:t>
      </w:r>
      <w:r w:rsidRPr="00845124">
        <w:rPr>
          <w:rFonts w:ascii="GHEA Grapalat" w:hAnsi="GHEA Grapalat"/>
          <w:sz w:val="24"/>
          <w:szCs w:val="24"/>
          <w:lang w:val="hy-AM"/>
        </w:rPr>
        <w:t>այն պետք է դիտարկել որպես վճարովի ծառայությունների մատուցման կամ ըստ պայմանագրի</w:t>
      </w:r>
      <w:r w:rsidRPr="00845124">
        <w:rPr>
          <w:rFonts w:ascii="Calibri" w:hAnsi="Calibri" w:cs="Calibri"/>
          <w:sz w:val="24"/>
          <w:szCs w:val="24"/>
          <w:lang w:val="hy-AM"/>
        </w:rPr>
        <w:t> </w:t>
      </w:r>
      <w:r w:rsidRPr="00C254CA">
        <w:rPr>
          <w:rFonts w:ascii="GHEA Grapalat" w:hAnsi="GHEA Grapalat"/>
          <w:sz w:val="24"/>
          <w:szCs w:val="24"/>
          <w:lang w:val="hy-AM"/>
        </w:rPr>
        <w:t>բովանդակության՝</w:t>
      </w:r>
      <w:r w:rsidRPr="00C254CA">
        <w:rPr>
          <w:rFonts w:ascii="Calibri" w:hAnsi="Calibri" w:cs="Calibri"/>
          <w:sz w:val="24"/>
          <w:szCs w:val="24"/>
          <w:lang w:val="hy-AM"/>
        </w:rPr>
        <w:t> </w:t>
      </w:r>
      <w:r w:rsidRPr="00845124">
        <w:rPr>
          <w:rFonts w:ascii="GHEA Grapalat" w:hAnsi="GHEA Grapalat"/>
          <w:sz w:val="24"/>
          <w:szCs w:val="24"/>
          <w:lang w:val="hy-AM"/>
        </w:rPr>
        <w:t>կապալի պայմանագիր, որի հատուկ բնույթով պայմանավորված</w:t>
      </w:r>
      <w:r w:rsidR="000026CB">
        <w:rPr>
          <w:rFonts w:ascii="GHEA Grapalat" w:hAnsi="GHEA Grapalat"/>
          <w:sz w:val="24"/>
          <w:szCs w:val="24"/>
          <w:lang w:val="hy-AM"/>
        </w:rPr>
        <w:t>՝</w:t>
      </w:r>
      <w:r w:rsidRPr="00845124">
        <w:rPr>
          <w:rFonts w:ascii="GHEA Grapalat" w:hAnsi="GHEA Grapalat"/>
          <w:sz w:val="24"/>
          <w:szCs w:val="24"/>
          <w:lang w:val="hy-AM"/>
        </w:rPr>
        <w:t xml:space="preserve"> դրա վրա չեն տարածվում գնումների հարաբերությունները կարգավորող ընդհանուր իրավադրույթները։</w:t>
      </w:r>
    </w:p>
    <w:p w14:paraId="3006DCFA" w14:textId="77777777" w:rsidR="000026CB" w:rsidRPr="00845124" w:rsidRDefault="00C254CA" w:rsidP="00C254CA">
      <w:pPr>
        <w:pStyle w:val="ListParagraph"/>
        <w:tabs>
          <w:tab w:val="left" w:pos="851"/>
        </w:tabs>
        <w:spacing w:line="360" w:lineRule="auto"/>
        <w:ind w:left="0" w:firstLine="567"/>
        <w:jc w:val="both"/>
        <w:rPr>
          <w:rFonts w:ascii="GHEA Grapalat" w:hAnsi="GHEA Grapalat"/>
          <w:sz w:val="24"/>
          <w:szCs w:val="24"/>
          <w:lang w:val="hy-AM"/>
        </w:rPr>
      </w:pPr>
      <w:r w:rsidRPr="00845124">
        <w:rPr>
          <w:rFonts w:ascii="GHEA Grapalat" w:hAnsi="GHEA Grapalat"/>
          <w:sz w:val="24"/>
          <w:szCs w:val="24"/>
          <w:lang w:val="hy-AM"/>
        </w:rPr>
        <w:t xml:space="preserve">Այս մասին է վկայում նաև «Նորմատիվ իրավական ակտերի մասին» օրենքի 40-րդ հոդվածը, որի 1-ին մասի 2-րդ կետի համաձայն՝ եթե միևնույն իրավահարաբերությունը կարգավորվում է ընդհանուր և հատուկ նորմերով, ապա կիրառման ենթակա են հատուկ նորմերը։ Հետևաբար, նշված իրավահարաբերություններում գնահատողի ընտրության հարցում առաջնահերթ կիրառման ենթակա են «Հանրության գերակա շահերի ապահովման նպատակով սեփականության օտարման մասին» օրենքով նախատեսված հատուկ կարգավորումները։ </w:t>
      </w:r>
    </w:p>
    <w:p w14:paraId="3A7224BA" w14:textId="465B1A25" w:rsidR="00C254CA" w:rsidRPr="00845124" w:rsidRDefault="00C254CA" w:rsidP="00C254CA">
      <w:pPr>
        <w:pStyle w:val="ListParagraph"/>
        <w:tabs>
          <w:tab w:val="left" w:pos="851"/>
        </w:tabs>
        <w:spacing w:line="360" w:lineRule="auto"/>
        <w:ind w:left="0" w:firstLine="567"/>
        <w:jc w:val="both"/>
        <w:rPr>
          <w:rFonts w:ascii="GHEA Grapalat" w:hAnsi="GHEA Grapalat"/>
          <w:sz w:val="24"/>
          <w:szCs w:val="24"/>
          <w:lang w:val="hy-AM"/>
        </w:rPr>
      </w:pPr>
      <w:r w:rsidRPr="00845124">
        <w:rPr>
          <w:rFonts w:ascii="GHEA Grapalat" w:hAnsi="GHEA Grapalat"/>
          <w:sz w:val="24"/>
          <w:szCs w:val="24"/>
          <w:lang w:val="hy-AM"/>
        </w:rPr>
        <w:t xml:space="preserve">Տվյալ դեպքում գնահատողի ընտրության ընթացակարգը կարգավորվում է «Հանրության գերակա շահերի ապահովման նպատակով սեփականության օտարման մասին» օրենքով, որը հանդիսանում է հատուկ օրենք և ուղղակիորեն նախատեսում է գնահատողի որոշման </w:t>
      </w:r>
      <w:r w:rsidRPr="00845124">
        <w:rPr>
          <w:rFonts w:ascii="GHEA Grapalat" w:hAnsi="GHEA Grapalat"/>
          <w:sz w:val="24"/>
          <w:szCs w:val="24"/>
          <w:lang w:val="hy-AM"/>
        </w:rPr>
        <w:lastRenderedPageBreak/>
        <w:t>կառուցակարգը։ Ուստի, պատվիրատուն էլ գնահատող ընտրելու դեպքում պետք է առաջնորդվի հատուկ օրենքի կարգավորումներով։</w:t>
      </w:r>
    </w:p>
    <w:p w14:paraId="012257EB" w14:textId="77777777" w:rsidR="00953441" w:rsidRDefault="00953441" w:rsidP="00913DDE">
      <w:pPr>
        <w:pStyle w:val="ListParagraph"/>
        <w:tabs>
          <w:tab w:val="left" w:pos="851"/>
        </w:tabs>
        <w:spacing w:after="0" w:line="360" w:lineRule="auto"/>
        <w:ind w:left="0" w:firstLine="567"/>
        <w:jc w:val="both"/>
        <w:rPr>
          <w:rFonts w:ascii="GHEA Grapalat" w:hAnsi="GHEA Grapalat"/>
          <w:sz w:val="24"/>
          <w:szCs w:val="24"/>
          <w:lang w:val="hy-AM"/>
        </w:rPr>
      </w:pPr>
    </w:p>
    <w:p w14:paraId="583F1257" w14:textId="77777777" w:rsidR="00E76157" w:rsidRPr="00225DE4" w:rsidRDefault="00E76157" w:rsidP="00913DDE">
      <w:pPr>
        <w:tabs>
          <w:tab w:val="left" w:pos="709"/>
          <w:tab w:val="left" w:pos="851"/>
          <w:tab w:val="left" w:pos="993"/>
        </w:tabs>
        <w:spacing w:after="0" w:line="360" w:lineRule="auto"/>
        <w:ind w:firstLine="567"/>
        <w:jc w:val="both"/>
        <w:rPr>
          <w:rFonts w:ascii="GHEA Grapalat" w:eastAsia="Times New Roman" w:hAnsi="GHEA Grapalat" w:cs="Calibri"/>
          <w:b/>
          <w:bCs/>
          <w:color w:val="000000"/>
          <w:sz w:val="24"/>
          <w:szCs w:val="24"/>
          <w:lang w:val="hy-AM" w:eastAsia="ru-RU"/>
        </w:rPr>
      </w:pPr>
      <w:r w:rsidRPr="00225DE4">
        <w:rPr>
          <w:rFonts w:ascii="GHEA Grapalat" w:eastAsia="Times New Roman" w:hAnsi="GHEA Grapalat" w:cs="Calibri"/>
          <w:b/>
          <w:bCs/>
          <w:color w:val="000000"/>
          <w:sz w:val="24"/>
          <w:szCs w:val="24"/>
          <w:lang w:val="hy-AM" w:eastAsia="ru-RU"/>
        </w:rPr>
        <w:t>3. Ակնկալվող արդյունքը.</w:t>
      </w:r>
    </w:p>
    <w:p w14:paraId="06AF68BA" w14:textId="492CFBAE" w:rsidR="00E76157" w:rsidRPr="00BB215D" w:rsidRDefault="00E76157" w:rsidP="00913DDE">
      <w:pPr>
        <w:pStyle w:val="ListParagraph"/>
        <w:tabs>
          <w:tab w:val="left" w:pos="709"/>
          <w:tab w:val="left" w:pos="851"/>
          <w:tab w:val="left" w:pos="993"/>
        </w:tabs>
        <w:spacing w:after="0" w:line="360" w:lineRule="auto"/>
        <w:ind w:left="0" w:firstLine="567"/>
        <w:jc w:val="both"/>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 xml:space="preserve">Նախագծի ընդունմամբ ակնկալվում է </w:t>
      </w:r>
      <w:r>
        <w:rPr>
          <w:rFonts w:ascii="GHEA Grapalat" w:eastAsia="Times New Roman" w:hAnsi="GHEA Grapalat" w:cs="Calibri"/>
          <w:bCs/>
          <w:color w:val="000000"/>
          <w:sz w:val="24"/>
          <w:szCs w:val="24"/>
          <w:lang w:val="hy-AM" w:eastAsia="ru-RU"/>
        </w:rPr>
        <w:t xml:space="preserve">ապահովել </w:t>
      </w:r>
      <w:r w:rsidRPr="00EE764F">
        <w:rPr>
          <w:rFonts w:ascii="GHEA Grapalat" w:hAnsi="GHEA Grapalat"/>
          <w:sz w:val="24"/>
          <w:szCs w:val="24"/>
          <w:lang w:val="hy-AM"/>
        </w:rPr>
        <w:t>սեփականության սեփականատիրոջ և սեփականության նկատմամբ գույքային իրավունքներ ունեցողների կողմից գնահատողի թեկնածության վերաբերյալ գրավոր առաջարկ չներկայացվելու կամ այդպիսի առաջարկ ներկայացնելուց հրաժարվելու դեպք</w:t>
      </w:r>
      <w:r>
        <w:rPr>
          <w:rFonts w:ascii="GHEA Grapalat" w:hAnsi="GHEA Grapalat"/>
          <w:sz w:val="24"/>
          <w:szCs w:val="24"/>
          <w:lang w:val="hy-AM"/>
        </w:rPr>
        <w:t>եր</w:t>
      </w:r>
      <w:r w:rsidRPr="00EE764F">
        <w:rPr>
          <w:rFonts w:ascii="GHEA Grapalat" w:hAnsi="GHEA Grapalat"/>
          <w:sz w:val="24"/>
          <w:szCs w:val="24"/>
          <w:lang w:val="hy-AM"/>
        </w:rPr>
        <w:t>ում</w:t>
      </w:r>
      <w:r>
        <w:rPr>
          <w:rFonts w:ascii="GHEA Grapalat" w:hAnsi="GHEA Grapalat"/>
          <w:sz w:val="24"/>
          <w:szCs w:val="24"/>
          <w:lang w:val="hy-AM"/>
        </w:rPr>
        <w:t xml:space="preserve"> գնահատողի` պատահականության սկզբունքով</w:t>
      </w:r>
      <w:r w:rsidR="003D6C82">
        <w:rPr>
          <w:rFonts w:ascii="GHEA Grapalat" w:hAnsi="GHEA Grapalat"/>
          <w:sz w:val="24"/>
          <w:szCs w:val="24"/>
          <w:lang w:val="hy-AM"/>
        </w:rPr>
        <w:t xml:space="preserve"> հատուկ ծրագրի միջոցով</w:t>
      </w:r>
      <w:r>
        <w:rPr>
          <w:rFonts w:ascii="GHEA Grapalat" w:hAnsi="GHEA Grapalat"/>
          <w:sz w:val="24"/>
          <w:szCs w:val="24"/>
          <w:lang w:val="hy-AM"/>
        </w:rPr>
        <w:t xml:space="preserve"> ընտրության կարգը:</w:t>
      </w:r>
    </w:p>
    <w:p w14:paraId="5DBC35DF" w14:textId="77777777" w:rsidR="00E76157" w:rsidRDefault="00E76157" w:rsidP="00913DDE">
      <w:pPr>
        <w:tabs>
          <w:tab w:val="left" w:pos="851"/>
        </w:tabs>
        <w:spacing w:after="0" w:line="360" w:lineRule="auto"/>
        <w:ind w:firstLine="567"/>
        <w:jc w:val="both"/>
        <w:rPr>
          <w:rFonts w:ascii="GHEA Grapalat" w:hAnsi="GHEA Grapalat"/>
          <w:sz w:val="24"/>
          <w:szCs w:val="24"/>
          <w:lang w:val="hy-AM"/>
        </w:rPr>
      </w:pPr>
    </w:p>
    <w:p w14:paraId="3215BE19" w14:textId="5DCEAFBF" w:rsidR="00E76157" w:rsidRDefault="00014913" w:rsidP="00913DDE">
      <w:pPr>
        <w:tabs>
          <w:tab w:val="left" w:pos="709"/>
          <w:tab w:val="left" w:pos="851"/>
          <w:tab w:val="left" w:pos="993"/>
        </w:tabs>
        <w:spacing w:after="0" w:line="360" w:lineRule="auto"/>
        <w:ind w:firstLine="567"/>
        <w:contextualSpacing/>
        <w:jc w:val="both"/>
        <w:rPr>
          <w:rFonts w:ascii="GHEA Grapalat" w:eastAsia="Times New Roman" w:hAnsi="GHEA Grapalat" w:cs="Calibri"/>
          <w:b/>
          <w:color w:val="000000"/>
          <w:sz w:val="24"/>
          <w:szCs w:val="24"/>
          <w:lang w:val="hy-AM" w:eastAsia="ru-RU"/>
        </w:rPr>
      </w:pPr>
      <w:r>
        <w:rPr>
          <w:rFonts w:ascii="GHEA Grapalat" w:eastAsia="Times New Roman" w:hAnsi="GHEA Grapalat" w:cs="Calibri"/>
          <w:b/>
          <w:color w:val="000000"/>
          <w:sz w:val="24"/>
          <w:szCs w:val="24"/>
          <w:lang w:val="hy-AM" w:eastAsia="ru-RU"/>
        </w:rPr>
        <w:t>4. Նախագծ</w:t>
      </w:r>
      <w:r w:rsidR="00E76157" w:rsidRPr="00225DE4">
        <w:rPr>
          <w:rFonts w:ascii="GHEA Grapalat" w:eastAsia="Times New Roman" w:hAnsi="GHEA Grapalat" w:cs="Calibri"/>
          <w:b/>
          <w:color w:val="000000"/>
          <w:sz w:val="24"/>
          <w:szCs w:val="24"/>
          <w:lang w:val="hy-AM" w:eastAsia="ru-RU"/>
        </w:rPr>
        <w:t>ի ընդունման կապակցությամբ այլ նորմատիվ իրավական ակտերի ընդունման անհրաժեշտությունը,</w:t>
      </w:r>
      <w:r w:rsidR="00E76157">
        <w:rPr>
          <w:rFonts w:ascii="GHEA Grapalat" w:eastAsia="Times New Roman" w:hAnsi="GHEA Grapalat" w:cs="Calibri"/>
          <w:b/>
          <w:color w:val="000000"/>
          <w:sz w:val="24"/>
          <w:szCs w:val="24"/>
          <w:lang w:val="hy-AM" w:eastAsia="ru-RU"/>
        </w:rPr>
        <w:t xml:space="preserve"> </w:t>
      </w:r>
      <w:r w:rsidR="00E76157" w:rsidRPr="00225DE4">
        <w:rPr>
          <w:rFonts w:ascii="GHEA Grapalat" w:eastAsia="Times New Roman" w:hAnsi="GHEA Grapalat" w:cs="Calibri"/>
          <w:b/>
          <w:color w:val="000000"/>
          <w:sz w:val="24"/>
          <w:szCs w:val="24"/>
          <w:lang w:val="hy-AM" w:eastAsia="ru-RU"/>
        </w:rPr>
        <w:t>ինչպես նաև լրացուցիչ ֆինանսական միջոցների անհրաժեշտությունը և պետական բյուջեի եկամուտներում և</w:t>
      </w:r>
      <w:r w:rsidR="00E76157">
        <w:rPr>
          <w:rFonts w:ascii="GHEA Grapalat" w:eastAsia="Times New Roman" w:hAnsi="GHEA Grapalat" w:cs="Calibri"/>
          <w:b/>
          <w:color w:val="000000"/>
          <w:sz w:val="24"/>
          <w:szCs w:val="24"/>
          <w:lang w:val="hy-AM" w:eastAsia="ru-RU"/>
        </w:rPr>
        <w:t xml:space="preserve"> </w:t>
      </w:r>
      <w:r w:rsidR="00E76157" w:rsidRPr="00225DE4">
        <w:rPr>
          <w:rFonts w:ascii="GHEA Grapalat" w:eastAsia="Times New Roman" w:hAnsi="GHEA Grapalat" w:cs="Calibri"/>
          <w:b/>
          <w:color w:val="000000"/>
          <w:sz w:val="24"/>
          <w:szCs w:val="24"/>
          <w:lang w:val="hy-AM" w:eastAsia="ru-RU"/>
        </w:rPr>
        <w:t>ծախսերում սպասվելիք փոփոխությունները.</w:t>
      </w:r>
    </w:p>
    <w:p w14:paraId="5147EE94" w14:textId="31088F4A" w:rsidR="00014913" w:rsidRPr="00014913" w:rsidRDefault="00014913" w:rsidP="00913DDE">
      <w:pPr>
        <w:tabs>
          <w:tab w:val="left" w:pos="709"/>
          <w:tab w:val="left" w:pos="851"/>
          <w:tab w:val="left" w:pos="993"/>
        </w:tabs>
        <w:spacing w:after="0" w:line="360" w:lineRule="auto"/>
        <w:ind w:firstLine="567"/>
        <w:contextualSpacing/>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bCs/>
          <w:color w:val="000000"/>
          <w:sz w:val="24"/>
          <w:szCs w:val="24"/>
          <w:lang w:val="hy-AM" w:eastAsia="ru-RU"/>
        </w:rPr>
        <w:t>Նախագծ</w:t>
      </w:r>
      <w:r w:rsidR="00E76157" w:rsidRPr="00225DE4">
        <w:rPr>
          <w:rFonts w:ascii="GHEA Grapalat" w:eastAsia="Times New Roman" w:hAnsi="GHEA Grapalat" w:cs="Calibri"/>
          <w:bCs/>
          <w:color w:val="000000"/>
          <w:sz w:val="24"/>
          <w:szCs w:val="24"/>
          <w:lang w:val="hy-AM" w:eastAsia="ru-RU"/>
        </w:rPr>
        <w:t>ի ընդունման կապակցությամբ այլ նորմատիվ իրավա</w:t>
      </w:r>
      <w:r>
        <w:rPr>
          <w:rFonts w:ascii="GHEA Grapalat" w:eastAsia="Times New Roman" w:hAnsi="GHEA Grapalat" w:cs="Calibri"/>
          <w:bCs/>
          <w:color w:val="000000"/>
          <w:sz w:val="24"/>
          <w:szCs w:val="24"/>
          <w:lang w:val="hy-AM" w:eastAsia="ru-RU"/>
        </w:rPr>
        <w:t>կան ակտեր ընդունել անհրաժեշտ չէ:</w:t>
      </w:r>
      <w:r w:rsidRPr="00932F39">
        <w:rPr>
          <w:lang w:val="hy-AM"/>
        </w:rPr>
        <w:t xml:space="preserve"> </w:t>
      </w:r>
      <w:r>
        <w:rPr>
          <w:rFonts w:ascii="GHEA Grapalat" w:eastAsia="Times New Roman" w:hAnsi="GHEA Grapalat" w:cs="Calibri"/>
          <w:bCs/>
          <w:color w:val="000000"/>
          <w:sz w:val="24"/>
          <w:szCs w:val="24"/>
          <w:lang w:val="hy-AM" w:eastAsia="ru-RU"/>
        </w:rPr>
        <w:t>Ն</w:t>
      </w:r>
      <w:r w:rsidRPr="00932F39">
        <w:rPr>
          <w:rFonts w:ascii="GHEA Grapalat" w:eastAsia="Times New Roman" w:hAnsi="GHEA Grapalat" w:cs="Calibri"/>
          <w:bCs/>
          <w:color w:val="000000"/>
          <w:sz w:val="24"/>
          <w:szCs w:val="24"/>
          <w:lang w:val="hy-AM" w:eastAsia="ru-RU"/>
        </w:rPr>
        <w:t>ախագծ</w:t>
      </w:r>
      <w:r>
        <w:rPr>
          <w:rFonts w:ascii="GHEA Grapalat" w:eastAsia="Times New Roman" w:hAnsi="GHEA Grapalat" w:cs="Calibri"/>
          <w:bCs/>
          <w:color w:val="000000"/>
          <w:sz w:val="24"/>
          <w:szCs w:val="24"/>
          <w:lang w:val="hy-AM" w:eastAsia="ru-RU"/>
        </w:rPr>
        <w:t xml:space="preserve">ի </w:t>
      </w:r>
      <w:r w:rsidRPr="00932F39">
        <w:rPr>
          <w:rFonts w:ascii="GHEA Grapalat" w:eastAsia="Times New Roman" w:hAnsi="GHEA Grapalat" w:cs="Calibri"/>
          <w:bCs/>
          <w:color w:val="000000"/>
          <w:sz w:val="24"/>
          <w:szCs w:val="24"/>
          <w:lang w:val="hy-AM" w:eastAsia="ru-RU"/>
        </w:rPr>
        <w:t>ընդուն</w:t>
      </w:r>
      <w:r>
        <w:rPr>
          <w:rFonts w:ascii="GHEA Grapalat" w:eastAsia="Times New Roman" w:hAnsi="GHEA Grapalat" w:cs="Calibri"/>
          <w:bCs/>
          <w:color w:val="000000"/>
          <w:sz w:val="24"/>
          <w:szCs w:val="24"/>
          <w:lang w:val="hy-AM" w:eastAsia="ru-RU"/>
        </w:rPr>
        <w:t>ման</w:t>
      </w:r>
      <w:r w:rsidRPr="00932F39">
        <w:rPr>
          <w:rFonts w:ascii="GHEA Grapalat" w:eastAsia="Times New Roman" w:hAnsi="GHEA Grapalat" w:cs="Calibri"/>
          <w:bCs/>
          <w:color w:val="000000"/>
          <w:sz w:val="24"/>
          <w:szCs w:val="24"/>
          <w:lang w:val="hy-AM" w:eastAsia="ru-RU"/>
        </w:rPr>
        <w:t xml:space="preserve"> դեպքում </w:t>
      </w:r>
      <w:r>
        <w:rPr>
          <w:rFonts w:ascii="GHEA Grapalat" w:eastAsia="Times New Roman" w:hAnsi="GHEA Grapalat" w:cs="Calibri"/>
          <w:bCs/>
          <w:color w:val="000000"/>
          <w:sz w:val="24"/>
          <w:szCs w:val="24"/>
          <w:lang w:val="hy-AM" w:eastAsia="ru-RU"/>
        </w:rPr>
        <w:t>հնարավոր է</w:t>
      </w:r>
      <w:r w:rsidRPr="00932F39">
        <w:rPr>
          <w:rFonts w:ascii="GHEA Grapalat" w:eastAsia="Times New Roman" w:hAnsi="GHEA Grapalat" w:cs="Calibri"/>
          <w:bCs/>
          <w:color w:val="000000"/>
          <w:sz w:val="24"/>
          <w:szCs w:val="24"/>
          <w:lang w:val="hy-AM" w:eastAsia="ru-RU"/>
        </w:rPr>
        <w:t xml:space="preserve"> պետական բյուջեի ծախսերի ավելացում</w:t>
      </w:r>
      <w:r>
        <w:rPr>
          <w:rFonts w:ascii="GHEA Grapalat" w:eastAsia="Times New Roman" w:hAnsi="GHEA Grapalat" w:cs="Calibri"/>
          <w:bCs/>
          <w:color w:val="000000"/>
          <w:sz w:val="24"/>
          <w:szCs w:val="24"/>
          <w:lang w:val="hy-AM" w:eastAsia="ru-RU"/>
        </w:rPr>
        <w:t xml:space="preserve">՝ պայմանավորված Ծրագրի </w:t>
      </w:r>
      <w:r w:rsidR="00A87EDF">
        <w:rPr>
          <w:rFonts w:ascii="GHEA Grapalat" w:eastAsia="Times New Roman" w:hAnsi="GHEA Grapalat" w:cs="Calibri"/>
          <w:bCs/>
          <w:color w:val="000000"/>
          <w:sz w:val="24"/>
          <w:szCs w:val="24"/>
          <w:lang w:val="hy-AM" w:eastAsia="ru-RU"/>
        </w:rPr>
        <w:t>գործարկման անհրաժեշտությամբ:</w:t>
      </w:r>
    </w:p>
    <w:p w14:paraId="79646066" w14:textId="77777777" w:rsidR="00E76157" w:rsidRPr="00E76157" w:rsidRDefault="00E76157" w:rsidP="00913DDE">
      <w:pPr>
        <w:tabs>
          <w:tab w:val="left" w:pos="851"/>
        </w:tabs>
        <w:spacing w:after="0" w:line="360" w:lineRule="auto"/>
        <w:ind w:firstLine="567"/>
        <w:jc w:val="both"/>
        <w:rPr>
          <w:rFonts w:ascii="GHEA Grapalat" w:hAnsi="GHEA Grapalat"/>
          <w:sz w:val="24"/>
          <w:szCs w:val="24"/>
          <w:lang w:val="hy-AM"/>
        </w:rPr>
      </w:pPr>
    </w:p>
    <w:p w14:paraId="1A29FDE2" w14:textId="77777777" w:rsidR="00E76157" w:rsidRDefault="00E76157" w:rsidP="00913DDE">
      <w:pPr>
        <w:tabs>
          <w:tab w:val="left" w:pos="709"/>
          <w:tab w:val="left" w:pos="851"/>
          <w:tab w:val="left" w:pos="993"/>
        </w:tabs>
        <w:spacing w:after="0" w:line="360" w:lineRule="auto"/>
        <w:ind w:firstLine="567"/>
        <w:contextualSpacing/>
        <w:jc w:val="both"/>
        <w:rPr>
          <w:rFonts w:ascii="GHEA Grapalat" w:eastAsia="Times New Roman" w:hAnsi="GHEA Grapalat" w:cs="Calibri"/>
          <w:b/>
          <w:color w:val="000000"/>
          <w:sz w:val="24"/>
          <w:szCs w:val="24"/>
          <w:lang w:val="hy-AM" w:eastAsia="ru-RU"/>
        </w:rPr>
      </w:pPr>
      <w:r w:rsidRPr="00225DE4">
        <w:rPr>
          <w:rFonts w:ascii="GHEA Grapalat" w:eastAsia="Times New Roman" w:hAnsi="GHEA Grapalat" w:cs="Calibri"/>
          <w:b/>
          <w:color w:val="000000"/>
          <w:sz w:val="24"/>
          <w:szCs w:val="24"/>
          <w:lang w:val="hy-AM" w:eastAsia="ru-RU"/>
        </w:rPr>
        <w:t>5. Կապը ռազմավարական փաստաթղթերի հետ.</w:t>
      </w:r>
    </w:p>
    <w:p w14:paraId="2E3D74A8" w14:textId="77777777" w:rsidR="002D0E17" w:rsidRPr="002D0E17" w:rsidRDefault="002D0E17" w:rsidP="00913DDE">
      <w:pPr>
        <w:tabs>
          <w:tab w:val="left" w:pos="709"/>
          <w:tab w:val="left" w:pos="851"/>
          <w:tab w:val="left" w:pos="993"/>
        </w:tabs>
        <w:spacing w:after="0" w:line="360" w:lineRule="auto"/>
        <w:ind w:firstLine="567"/>
        <w:contextualSpacing/>
        <w:jc w:val="both"/>
        <w:rPr>
          <w:rFonts w:ascii="GHEA Grapalat" w:eastAsia="Times New Roman" w:hAnsi="GHEA Grapalat" w:cs="Calibri"/>
          <w:bCs/>
          <w:iCs/>
          <w:color w:val="000000"/>
          <w:sz w:val="24"/>
          <w:szCs w:val="24"/>
          <w:lang w:val="hy-AM" w:eastAsia="ru-RU"/>
        </w:rPr>
      </w:pPr>
      <w:r w:rsidRPr="002D0E17">
        <w:rPr>
          <w:rFonts w:ascii="GHEA Grapalat" w:eastAsia="Times New Roman" w:hAnsi="GHEA Grapalat" w:cs="Calibri"/>
          <w:bCs/>
          <w:iCs/>
          <w:color w:val="000000"/>
          <w:sz w:val="24"/>
          <w:szCs w:val="24"/>
          <w:lang w:val="hy-AM" w:eastAsia="ru-RU"/>
        </w:rPr>
        <w:t>Նախագծի ընդունումը</w:t>
      </w:r>
      <w:r w:rsidRPr="002D0E17">
        <w:rPr>
          <w:rFonts w:ascii="GHEA Grapalat" w:eastAsia="Times New Roman" w:hAnsi="GHEA Grapalat" w:cs="Calibri"/>
          <w:bCs/>
          <w:i/>
          <w:iCs/>
          <w:color w:val="000000"/>
          <w:sz w:val="24"/>
          <w:szCs w:val="24"/>
          <w:lang w:val="hy-AM" w:eastAsia="ru-RU"/>
        </w:rPr>
        <w:t xml:space="preserve"> </w:t>
      </w:r>
      <w:r w:rsidRPr="002D0E17">
        <w:rPr>
          <w:rFonts w:ascii="GHEA Grapalat" w:eastAsia="Times New Roman" w:hAnsi="GHEA Grapalat" w:cs="Calibri"/>
          <w:bCs/>
          <w:iCs/>
          <w:color w:val="000000"/>
          <w:sz w:val="24"/>
          <w:szCs w:val="24"/>
          <w:lang w:val="hy-AM" w:eastAsia="ru-RU"/>
        </w:rPr>
        <w:t xml:space="preserve">բխում է Կառավարության 2019 թվականի դեկտեմբերի 26-ի «Մարդու իրավունքների պաշտպանության ազգային ռազմավարությունը և դրանից բխող 2020-2022 թվականների և 2023-2025 թվականների գործողությունների ծրագրերը հաստատելու մասին» թիվ 1978-Լ որոշման հավելված 1-ի 2.6. կետից և նույն որոշման հավելված 3-ի 3.14. գործողության կատարման անհրաժեշտությունից: </w:t>
      </w:r>
    </w:p>
    <w:p w14:paraId="34C9D51E" w14:textId="77777777" w:rsidR="00E76157" w:rsidRDefault="00E76157" w:rsidP="00913DDE">
      <w:pPr>
        <w:tabs>
          <w:tab w:val="left" w:pos="709"/>
          <w:tab w:val="left" w:pos="851"/>
          <w:tab w:val="left" w:pos="993"/>
        </w:tabs>
        <w:spacing w:after="0" w:line="360" w:lineRule="auto"/>
        <w:ind w:firstLine="567"/>
        <w:contextualSpacing/>
        <w:jc w:val="both"/>
        <w:rPr>
          <w:rFonts w:ascii="GHEA Grapalat" w:eastAsia="Times New Roman" w:hAnsi="GHEA Grapalat" w:cs="Calibri"/>
          <w:b/>
          <w:color w:val="000000"/>
          <w:sz w:val="24"/>
          <w:szCs w:val="24"/>
          <w:lang w:val="hy-AM" w:eastAsia="ru-RU"/>
        </w:rPr>
      </w:pPr>
    </w:p>
    <w:p w14:paraId="3E01A522" w14:textId="77777777" w:rsidR="00E76157" w:rsidRDefault="00E76157" w:rsidP="00913DDE">
      <w:pPr>
        <w:tabs>
          <w:tab w:val="left" w:pos="709"/>
          <w:tab w:val="left" w:pos="851"/>
          <w:tab w:val="left" w:pos="993"/>
        </w:tabs>
        <w:spacing w:after="0" w:line="360" w:lineRule="auto"/>
        <w:ind w:firstLine="567"/>
        <w:contextualSpacing/>
        <w:jc w:val="both"/>
        <w:rPr>
          <w:rFonts w:ascii="GHEA Grapalat" w:eastAsia="Times New Roman" w:hAnsi="GHEA Grapalat" w:cs="Calibri"/>
          <w:b/>
          <w:color w:val="000000"/>
          <w:sz w:val="24"/>
          <w:szCs w:val="24"/>
          <w:lang w:val="hy-AM" w:eastAsia="ru-RU"/>
        </w:rPr>
      </w:pPr>
      <w:r w:rsidRPr="00225DE4">
        <w:rPr>
          <w:rFonts w:ascii="GHEA Grapalat" w:eastAsia="Times New Roman" w:hAnsi="GHEA Grapalat" w:cs="Calibri"/>
          <w:b/>
          <w:color w:val="000000"/>
          <w:sz w:val="24"/>
          <w:szCs w:val="24"/>
          <w:lang w:val="hy-AM" w:eastAsia="ru-RU"/>
        </w:rPr>
        <w:lastRenderedPageBreak/>
        <w:t>6. Նախագծերի մշակման գործընթացում ներգրավված մարմինները կամ անձինք.</w:t>
      </w:r>
    </w:p>
    <w:p w14:paraId="6028DCE5" w14:textId="77777777" w:rsidR="00E76157" w:rsidRPr="001C51D5" w:rsidRDefault="00E76157" w:rsidP="00913DDE">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sidRPr="001C51D5">
        <w:rPr>
          <w:rFonts w:ascii="GHEA Grapalat" w:eastAsia="Times New Roman" w:hAnsi="GHEA Grapalat" w:cs="Calibri"/>
          <w:color w:val="000000"/>
          <w:sz w:val="24"/>
          <w:szCs w:val="24"/>
          <w:lang w:val="hy-AM" w:eastAsia="ru-RU"/>
        </w:rPr>
        <w:t xml:space="preserve">Նախագիծը մշակվել է </w:t>
      </w:r>
      <w:r>
        <w:rPr>
          <w:rFonts w:ascii="GHEA Grapalat" w:eastAsia="Times New Roman" w:hAnsi="GHEA Grapalat" w:cs="Calibri"/>
          <w:color w:val="000000"/>
          <w:sz w:val="24"/>
          <w:szCs w:val="24"/>
          <w:lang w:val="hy-AM" w:eastAsia="ru-RU"/>
        </w:rPr>
        <w:t>Ա</w:t>
      </w:r>
      <w:r w:rsidRPr="001C51D5">
        <w:rPr>
          <w:rFonts w:ascii="GHEA Grapalat" w:eastAsia="Times New Roman" w:hAnsi="GHEA Grapalat" w:cs="Calibri"/>
          <w:color w:val="000000"/>
          <w:sz w:val="24"/>
          <w:szCs w:val="24"/>
          <w:lang w:val="hy-AM" w:eastAsia="ru-RU"/>
        </w:rPr>
        <w:t xml:space="preserve">րդարադատության նախարարության կողմից: </w:t>
      </w:r>
    </w:p>
    <w:p w14:paraId="39825D13" w14:textId="38388AC8" w:rsidR="009B5DB8" w:rsidRPr="00EE764F" w:rsidRDefault="009B5DB8" w:rsidP="00C530BA">
      <w:pPr>
        <w:tabs>
          <w:tab w:val="left" w:pos="709"/>
          <w:tab w:val="left" w:pos="851"/>
          <w:tab w:val="left" w:pos="993"/>
        </w:tabs>
        <w:spacing w:after="0"/>
        <w:rPr>
          <w:rFonts w:ascii="GHEA Grapalat" w:hAnsi="GHEA Grapalat"/>
          <w:sz w:val="24"/>
          <w:szCs w:val="24"/>
          <w:lang w:val="hy-AM"/>
        </w:rPr>
      </w:pPr>
      <w:bookmarkStart w:id="1" w:name="_heading=h.gjdgxs" w:colFirst="0" w:colLast="0"/>
      <w:bookmarkEnd w:id="1"/>
    </w:p>
    <w:sectPr w:rsidR="009B5DB8" w:rsidRPr="00EE764F" w:rsidSect="00913DDE">
      <w:headerReference w:type="default" r:id="rId8"/>
      <w:footerReference w:type="default" r:id="rId9"/>
      <w:pgSz w:w="12240" w:h="15840"/>
      <w:pgMar w:top="851" w:right="567" w:bottom="227"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094B5E" w14:textId="77777777" w:rsidR="00174CC1" w:rsidRDefault="00174CC1" w:rsidP="00A658BB">
      <w:pPr>
        <w:spacing w:after="0" w:line="240" w:lineRule="auto"/>
      </w:pPr>
      <w:r>
        <w:separator/>
      </w:r>
    </w:p>
  </w:endnote>
  <w:endnote w:type="continuationSeparator" w:id="0">
    <w:p w14:paraId="7801EBF4" w14:textId="77777777" w:rsidR="00174CC1" w:rsidRDefault="00174CC1" w:rsidP="00A65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t">
    <w:altName w:val="Calibri"/>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9732D" w14:textId="23B6C140" w:rsidR="002F3EF1" w:rsidRPr="000F441A" w:rsidRDefault="002F3EF1">
    <w:pPr>
      <w:pBdr>
        <w:top w:val="nil"/>
        <w:left w:val="nil"/>
        <w:bottom w:val="nil"/>
        <w:right w:val="nil"/>
        <w:between w:val="nil"/>
      </w:pBdr>
      <w:tabs>
        <w:tab w:val="center" w:pos="4844"/>
        <w:tab w:val="right" w:pos="9689"/>
      </w:tabs>
      <w:spacing w:after="0" w:line="240" w:lineRule="auto"/>
      <w:jc w:val="right"/>
      <w:rPr>
        <w:rFonts w:ascii="GHEA Grapalat" w:eastAsia="Calibri" w:hAnsi="GHEA Grapalat"/>
        <w:color w:val="000000"/>
      </w:rPr>
    </w:pPr>
    <w:r w:rsidRPr="000F441A">
      <w:rPr>
        <w:rFonts w:ascii="GHEA Grapalat" w:eastAsia="Calibri" w:hAnsi="GHEA Grapalat"/>
        <w:color w:val="000000"/>
      </w:rPr>
      <w:fldChar w:fldCharType="begin"/>
    </w:r>
    <w:r w:rsidRPr="000F441A">
      <w:rPr>
        <w:rFonts w:ascii="GHEA Grapalat" w:eastAsia="Calibri" w:hAnsi="GHEA Grapalat"/>
        <w:color w:val="000000"/>
      </w:rPr>
      <w:instrText>PAGE</w:instrText>
    </w:r>
    <w:r w:rsidRPr="000F441A">
      <w:rPr>
        <w:rFonts w:ascii="GHEA Grapalat" w:eastAsia="Calibri" w:hAnsi="GHEA Grapalat"/>
        <w:color w:val="000000"/>
      </w:rPr>
      <w:fldChar w:fldCharType="separate"/>
    </w:r>
    <w:r w:rsidR="0022743A">
      <w:rPr>
        <w:rFonts w:ascii="GHEA Grapalat" w:eastAsia="Calibri" w:hAnsi="GHEA Grapalat"/>
        <w:noProof/>
        <w:color w:val="000000"/>
      </w:rPr>
      <w:t>6</w:t>
    </w:r>
    <w:r w:rsidRPr="000F441A">
      <w:rPr>
        <w:rFonts w:ascii="GHEA Grapalat" w:eastAsia="Calibri" w:hAnsi="GHEA Grapalat"/>
        <w:color w:val="000000"/>
      </w:rPr>
      <w:fldChar w:fldCharType="end"/>
    </w:r>
  </w:p>
  <w:p w14:paraId="00C467A8" w14:textId="77777777" w:rsidR="002F3EF1" w:rsidRDefault="002F3EF1">
    <w:pPr>
      <w:pBdr>
        <w:top w:val="nil"/>
        <w:left w:val="nil"/>
        <w:bottom w:val="nil"/>
        <w:right w:val="nil"/>
        <w:between w:val="nil"/>
      </w:pBdr>
      <w:tabs>
        <w:tab w:val="center" w:pos="4844"/>
        <w:tab w:val="right" w:pos="9689"/>
      </w:tabs>
      <w:spacing w:after="0" w:line="240" w:lineRule="auto"/>
      <w:rPr>
        <w:rFonts w:eastAsia="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7C41C9" w14:textId="77777777" w:rsidR="00174CC1" w:rsidRDefault="00174CC1" w:rsidP="00A658BB">
      <w:pPr>
        <w:spacing w:after="0" w:line="240" w:lineRule="auto"/>
      </w:pPr>
      <w:r>
        <w:separator/>
      </w:r>
    </w:p>
  </w:footnote>
  <w:footnote w:type="continuationSeparator" w:id="0">
    <w:p w14:paraId="010E949D" w14:textId="77777777" w:rsidR="00174CC1" w:rsidRDefault="00174CC1" w:rsidP="00A65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F04E5" w14:textId="77777777" w:rsidR="002F3EF1" w:rsidRDefault="002F3EF1">
    <w:pPr>
      <w:pBdr>
        <w:top w:val="nil"/>
        <w:left w:val="single" w:sz="18" w:space="4" w:color="FF0000"/>
        <w:bottom w:val="nil"/>
        <w:right w:val="nil"/>
        <w:between w:val="nil"/>
      </w:pBdr>
      <w:tabs>
        <w:tab w:val="right" w:pos="10206"/>
      </w:tabs>
      <w:spacing w:after="0"/>
      <w:ind w:hanging="2"/>
      <w:rPr>
        <w:rFonts w:ascii="GHEA Grapalat" w:eastAsia="GHEA Grapalat" w:hAnsi="GHEA Grapalat" w:cs="GHEA Grapalat"/>
        <w:color w:val="FF0000"/>
        <w:sz w:val="20"/>
        <w:szCs w:val="20"/>
      </w:rPr>
    </w:pPr>
    <w:proofErr w:type="spellStart"/>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րդարադատության</w:t>
    </w:r>
    <w:proofErr w:type="spellEnd"/>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ab/>
    </w:r>
    <w:r>
      <w:rPr>
        <w:rFonts w:ascii="GHEA Grapalat" w:eastAsia="GHEA Grapalat" w:hAnsi="GHEA Grapalat" w:cs="GHEA Grapalat"/>
        <w:color w:val="000000"/>
      </w:rPr>
      <w:t>ՆԱԽԱԳԻԾ</w:t>
    </w:r>
    <w:r>
      <w:rPr>
        <w:noProof/>
      </w:rPr>
      <w:drawing>
        <wp:anchor distT="0" distB="0" distL="0" distR="0" simplePos="0" relativeHeight="251659264" behindDoc="0" locked="0" layoutInCell="1" hidden="0" allowOverlap="1" wp14:anchorId="6DA009F3" wp14:editId="2FAAA1BB">
          <wp:simplePos x="0" y="0"/>
          <wp:positionH relativeFrom="column">
            <wp:posOffset>-685160</wp:posOffset>
          </wp:positionH>
          <wp:positionV relativeFrom="paragraph">
            <wp:posOffset>-8250</wp:posOffset>
          </wp:positionV>
          <wp:extent cx="457200" cy="444500"/>
          <wp:effectExtent l="0" t="0" r="0" b="0"/>
          <wp:wrapSquare wrapText="bothSides" distT="0" distB="0" distL="0" distR="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092B839C" w14:textId="77777777" w:rsidR="002F3EF1" w:rsidRDefault="002F3EF1">
    <w:pPr>
      <w:pBdr>
        <w:top w:val="nil"/>
        <w:left w:val="single" w:sz="18" w:space="4" w:color="0000FF"/>
        <w:bottom w:val="nil"/>
        <w:right w:val="nil"/>
        <w:between w:val="nil"/>
      </w:pBdr>
      <w:tabs>
        <w:tab w:val="center" w:pos="4680"/>
        <w:tab w:val="right" w:pos="9360"/>
      </w:tabs>
      <w:spacing w:after="0"/>
      <w:ind w:hanging="2"/>
      <w:rPr>
        <w:rFonts w:ascii="GHEA Grapalat" w:eastAsia="GHEA Grapalat" w:hAnsi="GHEA Grapalat" w:cs="GHEA Grapalat"/>
        <w:color w:val="000000"/>
        <w:sz w:val="20"/>
        <w:szCs w:val="20"/>
      </w:rPr>
    </w:pPr>
    <w:proofErr w:type="spellStart"/>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roofErr w:type="spellEnd"/>
  </w:p>
  <w:p w14:paraId="6564B6E9" w14:textId="77777777" w:rsidR="002F3EF1" w:rsidRDefault="002F3EF1">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14:paraId="63C9EE2C" w14:textId="77777777" w:rsidR="002F3EF1" w:rsidRDefault="002F3EF1">
    <w:pPr>
      <w:pBdr>
        <w:top w:val="nil"/>
        <w:left w:val="nil"/>
        <w:bottom w:val="nil"/>
        <w:right w:val="nil"/>
        <w:between w:val="nil"/>
      </w:pBdr>
      <w:tabs>
        <w:tab w:val="center" w:pos="4844"/>
        <w:tab w:val="right" w:pos="9689"/>
      </w:tabs>
      <w:spacing w:after="0" w:line="240" w:lineRule="auto"/>
      <w:rPr>
        <w:rFonts w:eastAsia="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D0E97"/>
    <w:multiLevelType w:val="hybridMultilevel"/>
    <w:tmpl w:val="401CCE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C5F72"/>
    <w:multiLevelType w:val="hybridMultilevel"/>
    <w:tmpl w:val="623022AC"/>
    <w:lvl w:ilvl="0" w:tplc="8004AAF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DF40129"/>
    <w:multiLevelType w:val="multilevel"/>
    <w:tmpl w:val="67B4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A4960"/>
    <w:multiLevelType w:val="multilevel"/>
    <w:tmpl w:val="3624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8537C"/>
    <w:multiLevelType w:val="multilevel"/>
    <w:tmpl w:val="EE8CF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60C5D"/>
    <w:multiLevelType w:val="hybridMultilevel"/>
    <w:tmpl w:val="1B22710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A8C3065"/>
    <w:multiLevelType w:val="multilevel"/>
    <w:tmpl w:val="9ABA7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FD2074"/>
    <w:multiLevelType w:val="hybridMultilevel"/>
    <w:tmpl w:val="988A896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3AA21E2B"/>
    <w:multiLevelType w:val="multilevel"/>
    <w:tmpl w:val="30AE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293FA3"/>
    <w:multiLevelType w:val="multilevel"/>
    <w:tmpl w:val="1F5C7C54"/>
    <w:lvl w:ilvl="0">
      <w:start w:val="1"/>
      <w:numFmt w:val="decimal"/>
      <w:lvlText w:val="%1."/>
      <w:lvlJc w:val="left"/>
      <w:pPr>
        <w:ind w:left="180" w:hanging="360"/>
      </w:pPr>
    </w:lvl>
    <w:lvl w:ilvl="1">
      <w:start w:val="6"/>
      <w:numFmt w:val="decimal"/>
      <w:lvlText w:val="%1.%2."/>
      <w:lvlJc w:val="left"/>
      <w:pPr>
        <w:ind w:left="960" w:hanging="1140"/>
      </w:pPr>
      <w:rPr>
        <w:color w:val="000000"/>
      </w:rPr>
    </w:lvl>
    <w:lvl w:ilvl="2">
      <w:start w:val="1"/>
      <w:numFmt w:val="decimal"/>
      <w:lvlText w:val="%1.%2.%3."/>
      <w:lvlJc w:val="left"/>
      <w:pPr>
        <w:ind w:left="960" w:hanging="1140"/>
      </w:pPr>
      <w:rPr>
        <w:color w:val="000000"/>
      </w:rPr>
    </w:lvl>
    <w:lvl w:ilvl="3">
      <w:start w:val="1"/>
      <w:numFmt w:val="decimal"/>
      <w:lvlText w:val="%1.%2.%3.%4."/>
      <w:lvlJc w:val="left"/>
      <w:pPr>
        <w:ind w:left="960" w:hanging="1140"/>
      </w:pPr>
      <w:rPr>
        <w:color w:val="000000"/>
      </w:rPr>
    </w:lvl>
    <w:lvl w:ilvl="4">
      <w:start w:val="1"/>
      <w:numFmt w:val="decimal"/>
      <w:lvlText w:val="%1.%2.%3.%4.%5."/>
      <w:lvlJc w:val="left"/>
      <w:pPr>
        <w:ind w:left="960" w:hanging="1140"/>
      </w:pPr>
      <w:rPr>
        <w:color w:val="000000"/>
      </w:rPr>
    </w:lvl>
    <w:lvl w:ilvl="5">
      <w:start w:val="1"/>
      <w:numFmt w:val="decimal"/>
      <w:lvlText w:val="%1.%2.%3.%4.%5.%6."/>
      <w:lvlJc w:val="left"/>
      <w:pPr>
        <w:ind w:left="1260" w:hanging="1440"/>
      </w:pPr>
      <w:rPr>
        <w:color w:val="000000"/>
      </w:rPr>
    </w:lvl>
    <w:lvl w:ilvl="6">
      <w:start w:val="1"/>
      <w:numFmt w:val="decimal"/>
      <w:lvlText w:val="%1.%2.%3.%4.%5.%6.%7."/>
      <w:lvlJc w:val="left"/>
      <w:pPr>
        <w:ind w:left="1620" w:hanging="1800"/>
      </w:pPr>
      <w:rPr>
        <w:color w:val="000000"/>
      </w:rPr>
    </w:lvl>
    <w:lvl w:ilvl="7">
      <w:start w:val="1"/>
      <w:numFmt w:val="decimal"/>
      <w:lvlText w:val="%1.%2.%3.%4.%5.%6.%7.%8."/>
      <w:lvlJc w:val="left"/>
      <w:pPr>
        <w:ind w:left="1620" w:hanging="1800"/>
      </w:pPr>
      <w:rPr>
        <w:color w:val="000000"/>
      </w:rPr>
    </w:lvl>
    <w:lvl w:ilvl="8">
      <w:start w:val="1"/>
      <w:numFmt w:val="decimal"/>
      <w:lvlText w:val="%1.%2.%3.%4.%5.%6.%7.%8.%9."/>
      <w:lvlJc w:val="left"/>
      <w:pPr>
        <w:ind w:left="1980" w:hanging="2160"/>
      </w:pPr>
      <w:rPr>
        <w:color w:val="000000"/>
      </w:rPr>
    </w:lvl>
  </w:abstractNum>
  <w:abstractNum w:abstractNumId="10" w15:restartNumberingAfterBreak="0">
    <w:nsid w:val="3E2F5BCA"/>
    <w:multiLevelType w:val="hybridMultilevel"/>
    <w:tmpl w:val="C46E4BC4"/>
    <w:lvl w:ilvl="0" w:tplc="8C6EE2F8">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1" w15:restartNumberingAfterBreak="0">
    <w:nsid w:val="41274328"/>
    <w:multiLevelType w:val="hybridMultilevel"/>
    <w:tmpl w:val="F5EE6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3A3576"/>
    <w:multiLevelType w:val="hybridMultilevel"/>
    <w:tmpl w:val="A5D8CC7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6470B7"/>
    <w:multiLevelType w:val="multilevel"/>
    <w:tmpl w:val="C3565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DB71FE"/>
    <w:multiLevelType w:val="hybridMultilevel"/>
    <w:tmpl w:val="F9002DEE"/>
    <w:lvl w:ilvl="0" w:tplc="32AA14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53D90005"/>
    <w:multiLevelType w:val="multilevel"/>
    <w:tmpl w:val="D42AD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5E6B8F"/>
    <w:multiLevelType w:val="multilevel"/>
    <w:tmpl w:val="59D60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9E0E09"/>
    <w:multiLevelType w:val="multilevel"/>
    <w:tmpl w:val="30B8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674FBE"/>
    <w:multiLevelType w:val="multilevel"/>
    <w:tmpl w:val="D464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78278A"/>
    <w:multiLevelType w:val="multilevel"/>
    <w:tmpl w:val="21229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143587"/>
    <w:multiLevelType w:val="multilevel"/>
    <w:tmpl w:val="7F9E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67382A"/>
    <w:multiLevelType w:val="multilevel"/>
    <w:tmpl w:val="C6D6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14777E"/>
    <w:multiLevelType w:val="hybridMultilevel"/>
    <w:tmpl w:val="3AC4B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E70071"/>
    <w:multiLevelType w:val="multilevel"/>
    <w:tmpl w:val="32AE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C677AF"/>
    <w:multiLevelType w:val="multilevel"/>
    <w:tmpl w:val="732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086DAB"/>
    <w:multiLevelType w:val="hybridMultilevel"/>
    <w:tmpl w:val="09100A0A"/>
    <w:lvl w:ilvl="0" w:tplc="2586DBA6">
      <w:start w:val="4"/>
      <w:numFmt w:val="decimal"/>
      <w:lvlText w:val="%1."/>
      <w:lvlJc w:val="left"/>
      <w:pPr>
        <w:ind w:left="180" w:hanging="360"/>
      </w:pPr>
      <w:rPr>
        <w:rFonts w:hint="default"/>
        <w:b/>
        <w:color w:val="000000"/>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6" w15:restartNumberingAfterBreak="0">
    <w:nsid w:val="7DCA0116"/>
    <w:multiLevelType w:val="multilevel"/>
    <w:tmpl w:val="A3B0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25704B"/>
    <w:multiLevelType w:val="multilevel"/>
    <w:tmpl w:val="9950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8D2293"/>
    <w:multiLevelType w:val="hybridMultilevel"/>
    <w:tmpl w:val="082022D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9" w15:restartNumberingAfterBreak="0">
    <w:nsid w:val="7FE5471F"/>
    <w:multiLevelType w:val="multilevel"/>
    <w:tmpl w:val="72B40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8"/>
  </w:num>
  <w:num w:numId="3">
    <w:abstractNumId w:val="10"/>
  </w:num>
  <w:num w:numId="4">
    <w:abstractNumId w:val="25"/>
  </w:num>
  <w:num w:numId="5">
    <w:abstractNumId w:val="14"/>
  </w:num>
  <w:num w:numId="6">
    <w:abstractNumId w:val="1"/>
  </w:num>
  <w:num w:numId="7">
    <w:abstractNumId w:val="2"/>
  </w:num>
  <w:num w:numId="8">
    <w:abstractNumId w:val="24"/>
  </w:num>
  <w:num w:numId="9">
    <w:abstractNumId w:val="8"/>
  </w:num>
  <w:num w:numId="10">
    <w:abstractNumId w:val="26"/>
  </w:num>
  <w:num w:numId="11">
    <w:abstractNumId w:val="16"/>
  </w:num>
  <w:num w:numId="12">
    <w:abstractNumId w:val="15"/>
  </w:num>
  <w:num w:numId="13">
    <w:abstractNumId w:val="3"/>
  </w:num>
  <w:num w:numId="14">
    <w:abstractNumId w:val="20"/>
  </w:num>
  <w:num w:numId="15">
    <w:abstractNumId w:val="23"/>
  </w:num>
  <w:num w:numId="16">
    <w:abstractNumId w:val="21"/>
  </w:num>
  <w:num w:numId="17">
    <w:abstractNumId w:val="17"/>
  </w:num>
  <w:num w:numId="18">
    <w:abstractNumId w:val="27"/>
  </w:num>
  <w:num w:numId="19">
    <w:abstractNumId w:val="29"/>
  </w:num>
  <w:num w:numId="20">
    <w:abstractNumId w:val="18"/>
  </w:num>
  <w:num w:numId="21">
    <w:abstractNumId w:val="13"/>
  </w:num>
  <w:num w:numId="22">
    <w:abstractNumId w:val="4"/>
  </w:num>
  <w:num w:numId="23">
    <w:abstractNumId w:val="6"/>
  </w:num>
  <w:num w:numId="24">
    <w:abstractNumId w:val="19"/>
  </w:num>
  <w:num w:numId="25">
    <w:abstractNumId w:val="7"/>
  </w:num>
  <w:num w:numId="26">
    <w:abstractNumId w:val="22"/>
  </w:num>
  <w:num w:numId="27">
    <w:abstractNumId w:val="0"/>
  </w:num>
  <w:num w:numId="28">
    <w:abstractNumId w:val="11"/>
  </w:num>
  <w:num w:numId="29">
    <w:abstractNumId w:val="5"/>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4B2"/>
    <w:rsid w:val="000026CB"/>
    <w:rsid w:val="00002AC7"/>
    <w:rsid w:val="00014913"/>
    <w:rsid w:val="00014D22"/>
    <w:rsid w:val="00021491"/>
    <w:rsid w:val="00035BC7"/>
    <w:rsid w:val="0005324B"/>
    <w:rsid w:val="00080ADB"/>
    <w:rsid w:val="00087EA9"/>
    <w:rsid w:val="0009214A"/>
    <w:rsid w:val="00092242"/>
    <w:rsid w:val="000B1A20"/>
    <w:rsid w:val="000B7C46"/>
    <w:rsid w:val="000C5AEC"/>
    <w:rsid w:val="000F104D"/>
    <w:rsid w:val="000F441A"/>
    <w:rsid w:val="000F5C02"/>
    <w:rsid w:val="00103C49"/>
    <w:rsid w:val="001045D7"/>
    <w:rsid w:val="00115338"/>
    <w:rsid w:val="00120437"/>
    <w:rsid w:val="00135A1F"/>
    <w:rsid w:val="00141C3E"/>
    <w:rsid w:val="00143CC5"/>
    <w:rsid w:val="0016733E"/>
    <w:rsid w:val="00174CC1"/>
    <w:rsid w:val="001A6443"/>
    <w:rsid w:val="001B124F"/>
    <w:rsid w:val="001B34B6"/>
    <w:rsid w:val="001C5961"/>
    <w:rsid w:val="001D2933"/>
    <w:rsid w:val="001E0CAD"/>
    <w:rsid w:val="001E0F49"/>
    <w:rsid w:val="001E1215"/>
    <w:rsid w:val="001E6A5F"/>
    <w:rsid w:val="0020438E"/>
    <w:rsid w:val="002119E8"/>
    <w:rsid w:val="0022743A"/>
    <w:rsid w:val="002329C3"/>
    <w:rsid w:val="00232C1D"/>
    <w:rsid w:val="00237886"/>
    <w:rsid w:val="002400E2"/>
    <w:rsid w:val="002455FC"/>
    <w:rsid w:val="00261F0B"/>
    <w:rsid w:val="002A6C9F"/>
    <w:rsid w:val="002B10A6"/>
    <w:rsid w:val="002B190B"/>
    <w:rsid w:val="002B19CD"/>
    <w:rsid w:val="002B19D0"/>
    <w:rsid w:val="002B5C6B"/>
    <w:rsid w:val="002C341B"/>
    <w:rsid w:val="002D0E17"/>
    <w:rsid w:val="002F3EF1"/>
    <w:rsid w:val="003014CD"/>
    <w:rsid w:val="0030488C"/>
    <w:rsid w:val="0030520C"/>
    <w:rsid w:val="00306DD9"/>
    <w:rsid w:val="00327EAB"/>
    <w:rsid w:val="003428A1"/>
    <w:rsid w:val="003446A9"/>
    <w:rsid w:val="003629C8"/>
    <w:rsid w:val="003908B1"/>
    <w:rsid w:val="003951B9"/>
    <w:rsid w:val="003C1891"/>
    <w:rsid w:val="003C3E0E"/>
    <w:rsid w:val="003C56E2"/>
    <w:rsid w:val="003D1D26"/>
    <w:rsid w:val="003D3FE0"/>
    <w:rsid w:val="003D6C82"/>
    <w:rsid w:val="003E5E47"/>
    <w:rsid w:val="003F0044"/>
    <w:rsid w:val="003F2697"/>
    <w:rsid w:val="004105F2"/>
    <w:rsid w:val="004141C6"/>
    <w:rsid w:val="00433767"/>
    <w:rsid w:val="00437C85"/>
    <w:rsid w:val="00441D0C"/>
    <w:rsid w:val="004726E1"/>
    <w:rsid w:val="00475D21"/>
    <w:rsid w:val="00476966"/>
    <w:rsid w:val="004824FF"/>
    <w:rsid w:val="004B75F4"/>
    <w:rsid w:val="004D503C"/>
    <w:rsid w:val="00516F92"/>
    <w:rsid w:val="00522FC8"/>
    <w:rsid w:val="00530E2A"/>
    <w:rsid w:val="0053504B"/>
    <w:rsid w:val="00535058"/>
    <w:rsid w:val="00540F81"/>
    <w:rsid w:val="0055538F"/>
    <w:rsid w:val="00556985"/>
    <w:rsid w:val="005834B2"/>
    <w:rsid w:val="00583786"/>
    <w:rsid w:val="00585C5B"/>
    <w:rsid w:val="00594BF5"/>
    <w:rsid w:val="005978D3"/>
    <w:rsid w:val="005A1F87"/>
    <w:rsid w:val="005B3C66"/>
    <w:rsid w:val="005C572B"/>
    <w:rsid w:val="005F011E"/>
    <w:rsid w:val="005F684A"/>
    <w:rsid w:val="006011CB"/>
    <w:rsid w:val="00613F8A"/>
    <w:rsid w:val="00622A77"/>
    <w:rsid w:val="006268FA"/>
    <w:rsid w:val="00637E18"/>
    <w:rsid w:val="00646124"/>
    <w:rsid w:val="006572D4"/>
    <w:rsid w:val="006577A9"/>
    <w:rsid w:val="006578FF"/>
    <w:rsid w:val="00671632"/>
    <w:rsid w:val="00673D25"/>
    <w:rsid w:val="00681695"/>
    <w:rsid w:val="006A3F02"/>
    <w:rsid w:val="006A41E1"/>
    <w:rsid w:val="006B36AB"/>
    <w:rsid w:val="006C5C70"/>
    <w:rsid w:val="006E3482"/>
    <w:rsid w:val="006F6E5A"/>
    <w:rsid w:val="00705A40"/>
    <w:rsid w:val="00712F84"/>
    <w:rsid w:val="007218E6"/>
    <w:rsid w:val="0072696E"/>
    <w:rsid w:val="00726CAA"/>
    <w:rsid w:val="0076001A"/>
    <w:rsid w:val="00760C72"/>
    <w:rsid w:val="00766EC4"/>
    <w:rsid w:val="0076792A"/>
    <w:rsid w:val="00772F47"/>
    <w:rsid w:val="00797457"/>
    <w:rsid w:val="007A5DA5"/>
    <w:rsid w:val="007B2688"/>
    <w:rsid w:val="007D59BB"/>
    <w:rsid w:val="007E1233"/>
    <w:rsid w:val="007F108F"/>
    <w:rsid w:val="007F27E5"/>
    <w:rsid w:val="007F65A6"/>
    <w:rsid w:val="00805FE0"/>
    <w:rsid w:val="0081735D"/>
    <w:rsid w:val="0082044B"/>
    <w:rsid w:val="00845124"/>
    <w:rsid w:val="008503BE"/>
    <w:rsid w:val="008573C5"/>
    <w:rsid w:val="00894E78"/>
    <w:rsid w:val="0089723A"/>
    <w:rsid w:val="008A4EB0"/>
    <w:rsid w:val="008C3E8C"/>
    <w:rsid w:val="008D645F"/>
    <w:rsid w:val="008D7652"/>
    <w:rsid w:val="008E0AC0"/>
    <w:rsid w:val="008E3498"/>
    <w:rsid w:val="008F0420"/>
    <w:rsid w:val="008F04AC"/>
    <w:rsid w:val="008F5C7B"/>
    <w:rsid w:val="008F77DD"/>
    <w:rsid w:val="00913DDE"/>
    <w:rsid w:val="0092685E"/>
    <w:rsid w:val="00932F39"/>
    <w:rsid w:val="00936B15"/>
    <w:rsid w:val="00943F02"/>
    <w:rsid w:val="0094407D"/>
    <w:rsid w:val="00946C57"/>
    <w:rsid w:val="00953441"/>
    <w:rsid w:val="00971CEA"/>
    <w:rsid w:val="00980972"/>
    <w:rsid w:val="009875CF"/>
    <w:rsid w:val="009926CD"/>
    <w:rsid w:val="009B5DB8"/>
    <w:rsid w:val="009C31E2"/>
    <w:rsid w:val="009E79D0"/>
    <w:rsid w:val="009F41B8"/>
    <w:rsid w:val="00A01B87"/>
    <w:rsid w:val="00A45576"/>
    <w:rsid w:val="00A54F1A"/>
    <w:rsid w:val="00A658BB"/>
    <w:rsid w:val="00A6798B"/>
    <w:rsid w:val="00A72F62"/>
    <w:rsid w:val="00A87C30"/>
    <w:rsid w:val="00A87EDF"/>
    <w:rsid w:val="00AA0902"/>
    <w:rsid w:val="00AA352D"/>
    <w:rsid w:val="00AE5E10"/>
    <w:rsid w:val="00AE6C25"/>
    <w:rsid w:val="00AF5CF9"/>
    <w:rsid w:val="00B16C40"/>
    <w:rsid w:val="00B171CF"/>
    <w:rsid w:val="00B40C58"/>
    <w:rsid w:val="00B45476"/>
    <w:rsid w:val="00B507B2"/>
    <w:rsid w:val="00B56E13"/>
    <w:rsid w:val="00B83881"/>
    <w:rsid w:val="00BA23D5"/>
    <w:rsid w:val="00BA430C"/>
    <w:rsid w:val="00BB2570"/>
    <w:rsid w:val="00BC116F"/>
    <w:rsid w:val="00BD5096"/>
    <w:rsid w:val="00C13BD4"/>
    <w:rsid w:val="00C220F1"/>
    <w:rsid w:val="00C254CA"/>
    <w:rsid w:val="00C40E48"/>
    <w:rsid w:val="00C46CA7"/>
    <w:rsid w:val="00C530BA"/>
    <w:rsid w:val="00C57A97"/>
    <w:rsid w:val="00C61EB1"/>
    <w:rsid w:val="00C63C98"/>
    <w:rsid w:val="00C65B46"/>
    <w:rsid w:val="00C93E92"/>
    <w:rsid w:val="00CD011C"/>
    <w:rsid w:val="00CE04E0"/>
    <w:rsid w:val="00CE67DB"/>
    <w:rsid w:val="00CE702A"/>
    <w:rsid w:val="00D214E1"/>
    <w:rsid w:val="00D25430"/>
    <w:rsid w:val="00D25478"/>
    <w:rsid w:val="00D538D3"/>
    <w:rsid w:val="00D65DCA"/>
    <w:rsid w:val="00D76176"/>
    <w:rsid w:val="00D82D8D"/>
    <w:rsid w:val="00DA200A"/>
    <w:rsid w:val="00DB787E"/>
    <w:rsid w:val="00DD72AE"/>
    <w:rsid w:val="00E124AE"/>
    <w:rsid w:val="00E2741A"/>
    <w:rsid w:val="00E64FDC"/>
    <w:rsid w:val="00E74E51"/>
    <w:rsid w:val="00E76157"/>
    <w:rsid w:val="00E80225"/>
    <w:rsid w:val="00E93D14"/>
    <w:rsid w:val="00E96542"/>
    <w:rsid w:val="00EA3A6B"/>
    <w:rsid w:val="00ED1CC0"/>
    <w:rsid w:val="00ED7ECB"/>
    <w:rsid w:val="00EE764F"/>
    <w:rsid w:val="00EF1792"/>
    <w:rsid w:val="00F261D8"/>
    <w:rsid w:val="00F77372"/>
    <w:rsid w:val="00F8648D"/>
    <w:rsid w:val="00F90EBF"/>
    <w:rsid w:val="00F96505"/>
    <w:rsid w:val="00FB0B96"/>
    <w:rsid w:val="00FB53DC"/>
    <w:rsid w:val="00FC5EA9"/>
    <w:rsid w:val="00FD1CB5"/>
    <w:rsid w:val="00FD5321"/>
    <w:rsid w:val="00FD7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C508"/>
  <w15:chartTrackingRefBased/>
  <w15:docId w15:val="{EF8674D1-F63E-432E-9D4C-347A0BB0A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D76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2,Footnote Text Char Char1,Fußnotentext Char Char2 Char1,Char Char1 Char2 Char1,Fußnotentext Char Char Char1 Char1,Char Char1 Char Char1 Char1,Fußnotentext Char Char Char Char Char1,Char Char1 Char Char Char Char1,Fußnot"/>
    <w:basedOn w:val="Normal"/>
    <w:link w:val="FootnoteTextChar"/>
    <w:uiPriority w:val="99"/>
    <w:unhideWhenUsed/>
    <w:rsid w:val="00A658BB"/>
    <w:pPr>
      <w:spacing w:after="0" w:line="240" w:lineRule="auto"/>
    </w:pPr>
    <w:rPr>
      <w:rFonts w:ascii="Calibri" w:eastAsia="Times New Roman" w:hAnsi="Calibri" w:cs="Calibri"/>
      <w:sz w:val="20"/>
      <w:szCs w:val="20"/>
      <w:lang w:val="hy-AM" w:eastAsia="ru-RU"/>
    </w:rPr>
  </w:style>
  <w:style w:type="character" w:customStyle="1" w:styleId="FootnoteTextChar">
    <w:name w:val="Footnote Text Char"/>
    <w:aliases w:val="Footnote Text Char2 Char,Footnote Text Char Char1 Char,Fußnotentext Char Char2 Char1 Char,Char Char1 Char2 Char1 Char,Fußnotentext Char Char Char1 Char1 Char,Char Char1 Char Char1 Char1 Char,Fußnotentext Char Char Char Char Char1 Char"/>
    <w:basedOn w:val="DefaultParagraphFont"/>
    <w:link w:val="FootnoteText"/>
    <w:uiPriority w:val="99"/>
    <w:qFormat/>
    <w:rsid w:val="00A658BB"/>
    <w:rPr>
      <w:rFonts w:ascii="Calibri" w:eastAsia="Times New Roman" w:hAnsi="Calibri" w:cs="Calibri"/>
      <w:sz w:val="20"/>
      <w:szCs w:val="20"/>
      <w:lang w:val="hy-AM" w:eastAsia="ru-RU"/>
    </w:rPr>
  </w:style>
  <w:style w:type="character" w:styleId="FootnoteReference">
    <w:name w:val="footnote reference"/>
    <w:basedOn w:val="DefaultParagraphFont"/>
    <w:uiPriority w:val="99"/>
    <w:unhideWhenUsed/>
    <w:rsid w:val="00A658BB"/>
    <w:rPr>
      <w:vertAlign w:val="superscript"/>
    </w:rPr>
  </w:style>
  <w:style w:type="character" w:customStyle="1" w:styleId="Hyperlink1">
    <w:name w:val="Hyperlink1"/>
    <w:basedOn w:val="DefaultParagraphFont"/>
    <w:uiPriority w:val="99"/>
    <w:unhideWhenUsed/>
    <w:rsid w:val="00A658BB"/>
    <w:rPr>
      <w:color w:val="0000FF"/>
      <w:u w:val="single"/>
    </w:rPr>
  </w:style>
  <w:style w:type="table" w:customStyle="1" w:styleId="TableGrid1">
    <w:name w:val="Table Grid1"/>
    <w:basedOn w:val="TableNormal"/>
    <w:next w:val="TableGrid"/>
    <w:uiPriority w:val="39"/>
    <w:rsid w:val="00A6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58BB"/>
    <w:rPr>
      <w:color w:val="0563C1" w:themeColor="hyperlink"/>
      <w:u w:val="single"/>
    </w:rPr>
  </w:style>
  <w:style w:type="table" w:styleId="TableGrid">
    <w:name w:val="Table Grid"/>
    <w:basedOn w:val="TableNormal"/>
    <w:uiPriority w:val="39"/>
    <w:rsid w:val="00A6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520C"/>
    <w:pPr>
      <w:ind w:left="720"/>
      <w:contextualSpacing/>
    </w:pPr>
  </w:style>
  <w:style w:type="character" w:styleId="CommentReference">
    <w:name w:val="annotation reference"/>
    <w:basedOn w:val="DefaultParagraphFont"/>
    <w:uiPriority w:val="99"/>
    <w:semiHidden/>
    <w:unhideWhenUsed/>
    <w:rsid w:val="00B171CF"/>
    <w:rPr>
      <w:sz w:val="16"/>
      <w:szCs w:val="16"/>
    </w:rPr>
  </w:style>
  <w:style w:type="paragraph" w:styleId="CommentText">
    <w:name w:val="annotation text"/>
    <w:basedOn w:val="Normal"/>
    <w:link w:val="CommentTextChar"/>
    <w:uiPriority w:val="99"/>
    <w:unhideWhenUsed/>
    <w:rsid w:val="00B171CF"/>
    <w:pPr>
      <w:spacing w:line="240" w:lineRule="auto"/>
    </w:pPr>
    <w:rPr>
      <w:sz w:val="20"/>
      <w:szCs w:val="20"/>
    </w:rPr>
  </w:style>
  <w:style w:type="character" w:customStyle="1" w:styleId="CommentTextChar">
    <w:name w:val="Comment Text Char"/>
    <w:basedOn w:val="DefaultParagraphFont"/>
    <w:link w:val="CommentText"/>
    <w:uiPriority w:val="99"/>
    <w:rsid w:val="00B171CF"/>
    <w:rPr>
      <w:sz w:val="20"/>
      <w:szCs w:val="20"/>
    </w:rPr>
  </w:style>
  <w:style w:type="character" w:customStyle="1" w:styleId="UnresolvedMention1">
    <w:name w:val="Unresolved Mention1"/>
    <w:basedOn w:val="DefaultParagraphFont"/>
    <w:uiPriority w:val="99"/>
    <w:semiHidden/>
    <w:unhideWhenUsed/>
    <w:rsid w:val="00637E18"/>
    <w:rPr>
      <w:color w:val="605E5C"/>
      <w:shd w:val="clear" w:color="auto" w:fill="E1DFDD"/>
    </w:rPr>
  </w:style>
  <w:style w:type="paragraph" w:styleId="NormalWeb">
    <w:name w:val="Normal (Web)"/>
    <w:basedOn w:val="Normal"/>
    <w:uiPriority w:val="99"/>
    <w:semiHidden/>
    <w:unhideWhenUsed/>
    <w:rsid w:val="00583786"/>
    <w:rPr>
      <w:rFonts w:ascii="Times New Roman" w:hAnsi="Times New Roman" w:cs="Times New Roman"/>
      <w:sz w:val="24"/>
      <w:szCs w:val="24"/>
    </w:rPr>
  </w:style>
  <w:style w:type="character" w:styleId="Strong">
    <w:name w:val="Strong"/>
    <w:basedOn w:val="DefaultParagraphFont"/>
    <w:uiPriority w:val="22"/>
    <w:qFormat/>
    <w:rsid w:val="003428A1"/>
    <w:rPr>
      <w:b/>
      <w:bCs/>
    </w:rPr>
  </w:style>
  <w:style w:type="character" w:styleId="Emphasis">
    <w:name w:val="Emphasis"/>
    <w:basedOn w:val="DefaultParagraphFont"/>
    <w:uiPriority w:val="20"/>
    <w:qFormat/>
    <w:rsid w:val="00522FC8"/>
    <w:rPr>
      <w:i/>
      <w:iCs/>
    </w:rPr>
  </w:style>
  <w:style w:type="character" w:styleId="FollowedHyperlink">
    <w:name w:val="FollowedHyperlink"/>
    <w:basedOn w:val="DefaultParagraphFont"/>
    <w:uiPriority w:val="99"/>
    <w:semiHidden/>
    <w:unhideWhenUsed/>
    <w:rsid w:val="009E79D0"/>
    <w:rPr>
      <w:color w:val="954F72" w:themeColor="followedHyperlink"/>
      <w:u w:val="single"/>
    </w:rPr>
  </w:style>
  <w:style w:type="character" w:customStyle="1" w:styleId="Heading1Char">
    <w:name w:val="Heading 1 Char"/>
    <w:basedOn w:val="DefaultParagraphFont"/>
    <w:link w:val="Heading1"/>
    <w:uiPriority w:val="9"/>
    <w:rsid w:val="008D7652"/>
    <w:rPr>
      <w:rFonts w:asciiTheme="majorHAnsi" w:eastAsiaTheme="majorEastAsia" w:hAnsiTheme="majorHAnsi" w:cstheme="majorBidi"/>
      <w:color w:val="2E74B5" w:themeColor="accent1" w:themeShade="BF"/>
      <w:sz w:val="32"/>
      <w:szCs w:val="32"/>
    </w:rPr>
  </w:style>
  <w:style w:type="paragraph" w:styleId="CommentSubject">
    <w:name w:val="annotation subject"/>
    <w:basedOn w:val="CommentText"/>
    <w:next w:val="CommentText"/>
    <w:link w:val="CommentSubjectChar"/>
    <w:uiPriority w:val="99"/>
    <w:semiHidden/>
    <w:unhideWhenUsed/>
    <w:rsid w:val="00AF5CF9"/>
    <w:rPr>
      <w:b/>
      <w:bCs/>
    </w:rPr>
  </w:style>
  <w:style w:type="character" w:customStyle="1" w:styleId="CommentSubjectChar">
    <w:name w:val="Comment Subject Char"/>
    <w:basedOn w:val="CommentTextChar"/>
    <w:link w:val="CommentSubject"/>
    <w:uiPriority w:val="99"/>
    <w:semiHidden/>
    <w:rsid w:val="00AF5CF9"/>
    <w:rPr>
      <w:b/>
      <w:bCs/>
      <w:sz w:val="20"/>
      <w:szCs w:val="20"/>
    </w:rPr>
  </w:style>
  <w:style w:type="paragraph" w:styleId="Revision">
    <w:name w:val="Revision"/>
    <w:hidden/>
    <w:uiPriority w:val="99"/>
    <w:semiHidden/>
    <w:rsid w:val="00936B15"/>
    <w:pPr>
      <w:spacing w:after="0" w:line="240" w:lineRule="auto"/>
    </w:pPr>
  </w:style>
  <w:style w:type="paragraph" w:styleId="Header">
    <w:name w:val="header"/>
    <w:basedOn w:val="Normal"/>
    <w:link w:val="HeaderChar"/>
    <w:uiPriority w:val="99"/>
    <w:unhideWhenUsed/>
    <w:rsid w:val="000F441A"/>
    <w:pPr>
      <w:tabs>
        <w:tab w:val="center" w:pos="4677"/>
        <w:tab w:val="right" w:pos="9355"/>
      </w:tabs>
      <w:spacing w:after="0" w:line="240" w:lineRule="auto"/>
    </w:pPr>
  </w:style>
  <w:style w:type="character" w:customStyle="1" w:styleId="HeaderChar">
    <w:name w:val="Header Char"/>
    <w:basedOn w:val="DefaultParagraphFont"/>
    <w:link w:val="Header"/>
    <w:uiPriority w:val="99"/>
    <w:rsid w:val="000F441A"/>
  </w:style>
  <w:style w:type="paragraph" w:styleId="Footer">
    <w:name w:val="footer"/>
    <w:basedOn w:val="Normal"/>
    <w:link w:val="FooterChar"/>
    <w:uiPriority w:val="99"/>
    <w:unhideWhenUsed/>
    <w:rsid w:val="000F441A"/>
    <w:pPr>
      <w:tabs>
        <w:tab w:val="center" w:pos="4677"/>
        <w:tab w:val="right" w:pos="9355"/>
      </w:tabs>
      <w:spacing w:after="0" w:line="240" w:lineRule="auto"/>
    </w:pPr>
  </w:style>
  <w:style w:type="character" w:customStyle="1" w:styleId="FooterChar">
    <w:name w:val="Footer Char"/>
    <w:basedOn w:val="DefaultParagraphFont"/>
    <w:link w:val="Footer"/>
    <w:uiPriority w:val="99"/>
    <w:rsid w:val="000F441A"/>
  </w:style>
  <w:style w:type="paragraph" w:styleId="BalloonText">
    <w:name w:val="Balloon Text"/>
    <w:basedOn w:val="Normal"/>
    <w:link w:val="BalloonTextChar"/>
    <w:uiPriority w:val="99"/>
    <w:semiHidden/>
    <w:unhideWhenUsed/>
    <w:rsid w:val="003D6C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C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08850">
      <w:bodyDiv w:val="1"/>
      <w:marLeft w:val="0"/>
      <w:marRight w:val="0"/>
      <w:marTop w:val="0"/>
      <w:marBottom w:val="0"/>
      <w:divBdr>
        <w:top w:val="none" w:sz="0" w:space="0" w:color="auto"/>
        <w:left w:val="none" w:sz="0" w:space="0" w:color="auto"/>
        <w:bottom w:val="none" w:sz="0" w:space="0" w:color="auto"/>
        <w:right w:val="none" w:sz="0" w:space="0" w:color="auto"/>
      </w:divBdr>
    </w:div>
    <w:div w:id="211502573">
      <w:bodyDiv w:val="1"/>
      <w:marLeft w:val="0"/>
      <w:marRight w:val="0"/>
      <w:marTop w:val="0"/>
      <w:marBottom w:val="0"/>
      <w:divBdr>
        <w:top w:val="none" w:sz="0" w:space="0" w:color="auto"/>
        <w:left w:val="none" w:sz="0" w:space="0" w:color="auto"/>
        <w:bottom w:val="none" w:sz="0" w:space="0" w:color="auto"/>
        <w:right w:val="none" w:sz="0" w:space="0" w:color="auto"/>
      </w:divBdr>
    </w:div>
    <w:div w:id="249823942">
      <w:bodyDiv w:val="1"/>
      <w:marLeft w:val="0"/>
      <w:marRight w:val="0"/>
      <w:marTop w:val="0"/>
      <w:marBottom w:val="0"/>
      <w:divBdr>
        <w:top w:val="none" w:sz="0" w:space="0" w:color="auto"/>
        <w:left w:val="none" w:sz="0" w:space="0" w:color="auto"/>
        <w:bottom w:val="none" w:sz="0" w:space="0" w:color="auto"/>
        <w:right w:val="none" w:sz="0" w:space="0" w:color="auto"/>
      </w:divBdr>
    </w:div>
    <w:div w:id="364989897">
      <w:bodyDiv w:val="1"/>
      <w:marLeft w:val="0"/>
      <w:marRight w:val="0"/>
      <w:marTop w:val="0"/>
      <w:marBottom w:val="0"/>
      <w:divBdr>
        <w:top w:val="none" w:sz="0" w:space="0" w:color="auto"/>
        <w:left w:val="none" w:sz="0" w:space="0" w:color="auto"/>
        <w:bottom w:val="none" w:sz="0" w:space="0" w:color="auto"/>
        <w:right w:val="none" w:sz="0" w:space="0" w:color="auto"/>
      </w:divBdr>
    </w:div>
    <w:div w:id="415640254">
      <w:bodyDiv w:val="1"/>
      <w:marLeft w:val="0"/>
      <w:marRight w:val="0"/>
      <w:marTop w:val="0"/>
      <w:marBottom w:val="0"/>
      <w:divBdr>
        <w:top w:val="none" w:sz="0" w:space="0" w:color="auto"/>
        <w:left w:val="none" w:sz="0" w:space="0" w:color="auto"/>
        <w:bottom w:val="none" w:sz="0" w:space="0" w:color="auto"/>
        <w:right w:val="none" w:sz="0" w:space="0" w:color="auto"/>
      </w:divBdr>
    </w:div>
    <w:div w:id="421070423">
      <w:bodyDiv w:val="1"/>
      <w:marLeft w:val="0"/>
      <w:marRight w:val="0"/>
      <w:marTop w:val="0"/>
      <w:marBottom w:val="0"/>
      <w:divBdr>
        <w:top w:val="none" w:sz="0" w:space="0" w:color="auto"/>
        <w:left w:val="none" w:sz="0" w:space="0" w:color="auto"/>
        <w:bottom w:val="none" w:sz="0" w:space="0" w:color="auto"/>
        <w:right w:val="none" w:sz="0" w:space="0" w:color="auto"/>
      </w:divBdr>
    </w:div>
    <w:div w:id="614018110">
      <w:bodyDiv w:val="1"/>
      <w:marLeft w:val="0"/>
      <w:marRight w:val="0"/>
      <w:marTop w:val="0"/>
      <w:marBottom w:val="0"/>
      <w:divBdr>
        <w:top w:val="none" w:sz="0" w:space="0" w:color="auto"/>
        <w:left w:val="none" w:sz="0" w:space="0" w:color="auto"/>
        <w:bottom w:val="none" w:sz="0" w:space="0" w:color="auto"/>
        <w:right w:val="none" w:sz="0" w:space="0" w:color="auto"/>
      </w:divBdr>
    </w:div>
    <w:div w:id="736052488">
      <w:bodyDiv w:val="1"/>
      <w:marLeft w:val="0"/>
      <w:marRight w:val="0"/>
      <w:marTop w:val="0"/>
      <w:marBottom w:val="0"/>
      <w:divBdr>
        <w:top w:val="none" w:sz="0" w:space="0" w:color="auto"/>
        <w:left w:val="none" w:sz="0" w:space="0" w:color="auto"/>
        <w:bottom w:val="none" w:sz="0" w:space="0" w:color="auto"/>
        <w:right w:val="none" w:sz="0" w:space="0" w:color="auto"/>
      </w:divBdr>
    </w:div>
    <w:div w:id="766388438">
      <w:bodyDiv w:val="1"/>
      <w:marLeft w:val="0"/>
      <w:marRight w:val="0"/>
      <w:marTop w:val="0"/>
      <w:marBottom w:val="0"/>
      <w:divBdr>
        <w:top w:val="none" w:sz="0" w:space="0" w:color="auto"/>
        <w:left w:val="none" w:sz="0" w:space="0" w:color="auto"/>
        <w:bottom w:val="none" w:sz="0" w:space="0" w:color="auto"/>
        <w:right w:val="none" w:sz="0" w:space="0" w:color="auto"/>
      </w:divBdr>
    </w:div>
    <w:div w:id="888154207">
      <w:bodyDiv w:val="1"/>
      <w:marLeft w:val="0"/>
      <w:marRight w:val="0"/>
      <w:marTop w:val="0"/>
      <w:marBottom w:val="0"/>
      <w:divBdr>
        <w:top w:val="none" w:sz="0" w:space="0" w:color="auto"/>
        <w:left w:val="none" w:sz="0" w:space="0" w:color="auto"/>
        <w:bottom w:val="none" w:sz="0" w:space="0" w:color="auto"/>
        <w:right w:val="none" w:sz="0" w:space="0" w:color="auto"/>
      </w:divBdr>
    </w:div>
    <w:div w:id="927083233">
      <w:bodyDiv w:val="1"/>
      <w:marLeft w:val="0"/>
      <w:marRight w:val="0"/>
      <w:marTop w:val="0"/>
      <w:marBottom w:val="0"/>
      <w:divBdr>
        <w:top w:val="none" w:sz="0" w:space="0" w:color="auto"/>
        <w:left w:val="none" w:sz="0" w:space="0" w:color="auto"/>
        <w:bottom w:val="none" w:sz="0" w:space="0" w:color="auto"/>
        <w:right w:val="none" w:sz="0" w:space="0" w:color="auto"/>
      </w:divBdr>
    </w:div>
    <w:div w:id="1014772120">
      <w:bodyDiv w:val="1"/>
      <w:marLeft w:val="0"/>
      <w:marRight w:val="0"/>
      <w:marTop w:val="0"/>
      <w:marBottom w:val="0"/>
      <w:divBdr>
        <w:top w:val="none" w:sz="0" w:space="0" w:color="auto"/>
        <w:left w:val="none" w:sz="0" w:space="0" w:color="auto"/>
        <w:bottom w:val="none" w:sz="0" w:space="0" w:color="auto"/>
        <w:right w:val="none" w:sz="0" w:space="0" w:color="auto"/>
      </w:divBdr>
    </w:div>
    <w:div w:id="1026054703">
      <w:bodyDiv w:val="1"/>
      <w:marLeft w:val="0"/>
      <w:marRight w:val="0"/>
      <w:marTop w:val="0"/>
      <w:marBottom w:val="0"/>
      <w:divBdr>
        <w:top w:val="none" w:sz="0" w:space="0" w:color="auto"/>
        <w:left w:val="none" w:sz="0" w:space="0" w:color="auto"/>
        <w:bottom w:val="none" w:sz="0" w:space="0" w:color="auto"/>
        <w:right w:val="none" w:sz="0" w:space="0" w:color="auto"/>
      </w:divBdr>
    </w:div>
    <w:div w:id="1034383486">
      <w:bodyDiv w:val="1"/>
      <w:marLeft w:val="0"/>
      <w:marRight w:val="0"/>
      <w:marTop w:val="0"/>
      <w:marBottom w:val="0"/>
      <w:divBdr>
        <w:top w:val="none" w:sz="0" w:space="0" w:color="auto"/>
        <w:left w:val="none" w:sz="0" w:space="0" w:color="auto"/>
        <w:bottom w:val="none" w:sz="0" w:space="0" w:color="auto"/>
        <w:right w:val="none" w:sz="0" w:space="0" w:color="auto"/>
      </w:divBdr>
    </w:div>
    <w:div w:id="1042367789">
      <w:bodyDiv w:val="1"/>
      <w:marLeft w:val="0"/>
      <w:marRight w:val="0"/>
      <w:marTop w:val="0"/>
      <w:marBottom w:val="0"/>
      <w:divBdr>
        <w:top w:val="none" w:sz="0" w:space="0" w:color="auto"/>
        <w:left w:val="none" w:sz="0" w:space="0" w:color="auto"/>
        <w:bottom w:val="none" w:sz="0" w:space="0" w:color="auto"/>
        <w:right w:val="none" w:sz="0" w:space="0" w:color="auto"/>
      </w:divBdr>
      <w:divsChild>
        <w:div w:id="1545604902">
          <w:marLeft w:val="0"/>
          <w:marRight w:val="0"/>
          <w:marTop w:val="0"/>
          <w:marBottom w:val="0"/>
          <w:divBdr>
            <w:top w:val="none" w:sz="0" w:space="0" w:color="auto"/>
            <w:left w:val="none" w:sz="0" w:space="0" w:color="auto"/>
            <w:bottom w:val="none" w:sz="0" w:space="0" w:color="auto"/>
            <w:right w:val="none" w:sz="0" w:space="0" w:color="auto"/>
          </w:divBdr>
        </w:div>
      </w:divsChild>
    </w:div>
    <w:div w:id="1191801472">
      <w:bodyDiv w:val="1"/>
      <w:marLeft w:val="0"/>
      <w:marRight w:val="0"/>
      <w:marTop w:val="0"/>
      <w:marBottom w:val="0"/>
      <w:divBdr>
        <w:top w:val="none" w:sz="0" w:space="0" w:color="auto"/>
        <w:left w:val="none" w:sz="0" w:space="0" w:color="auto"/>
        <w:bottom w:val="none" w:sz="0" w:space="0" w:color="auto"/>
        <w:right w:val="none" w:sz="0" w:space="0" w:color="auto"/>
      </w:divBdr>
    </w:div>
    <w:div w:id="1334575763">
      <w:bodyDiv w:val="1"/>
      <w:marLeft w:val="0"/>
      <w:marRight w:val="0"/>
      <w:marTop w:val="0"/>
      <w:marBottom w:val="0"/>
      <w:divBdr>
        <w:top w:val="none" w:sz="0" w:space="0" w:color="auto"/>
        <w:left w:val="none" w:sz="0" w:space="0" w:color="auto"/>
        <w:bottom w:val="none" w:sz="0" w:space="0" w:color="auto"/>
        <w:right w:val="none" w:sz="0" w:space="0" w:color="auto"/>
      </w:divBdr>
    </w:div>
    <w:div w:id="1380009736">
      <w:bodyDiv w:val="1"/>
      <w:marLeft w:val="0"/>
      <w:marRight w:val="0"/>
      <w:marTop w:val="0"/>
      <w:marBottom w:val="0"/>
      <w:divBdr>
        <w:top w:val="none" w:sz="0" w:space="0" w:color="auto"/>
        <w:left w:val="none" w:sz="0" w:space="0" w:color="auto"/>
        <w:bottom w:val="none" w:sz="0" w:space="0" w:color="auto"/>
        <w:right w:val="none" w:sz="0" w:space="0" w:color="auto"/>
      </w:divBdr>
    </w:div>
    <w:div w:id="1428378779">
      <w:bodyDiv w:val="1"/>
      <w:marLeft w:val="0"/>
      <w:marRight w:val="0"/>
      <w:marTop w:val="0"/>
      <w:marBottom w:val="0"/>
      <w:divBdr>
        <w:top w:val="none" w:sz="0" w:space="0" w:color="auto"/>
        <w:left w:val="none" w:sz="0" w:space="0" w:color="auto"/>
        <w:bottom w:val="none" w:sz="0" w:space="0" w:color="auto"/>
        <w:right w:val="none" w:sz="0" w:space="0" w:color="auto"/>
      </w:divBdr>
    </w:div>
    <w:div w:id="1554582642">
      <w:bodyDiv w:val="1"/>
      <w:marLeft w:val="0"/>
      <w:marRight w:val="0"/>
      <w:marTop w:val="0"/>
      <w:marBottom w:val="0"/>
      <w:divBdr>
        <w:top w:val="none" w:sz="0" w:space="0" w:color="auto"/>
        <w:left w:val="none" w:sz="0" w:space="0" w:color="auto"/>
        <w:bottom w:val="none" w:sz="0" w:space="0" w:color="auto"/>
        <w:right w:val="none" w:sz="0" w:space="0" w:color="auto"/>
      </w:divBdr>
    </w:div>
    <w:div w:id="1574973272">
      <w:bodyDiv w:val="1"/>
      <w:marLeft w:val="0"/>
      <w:marRight w:val="0"/>
      <w:marTop w:val="0"/>
      <w:marBottom w:val="0"/>
      <w:divBdr>
        <w:top w:val="none" w:sz="0" w:space="0" w:color="auto"/>
        <w:left w:val="none" w:sz="0" w:space="0" w:color="auto"/>
        <w:bottom w:val="none" w:sz="0" w:space="0" w:color="auto"/>
        <w:right w:val="none" w:sz="0" w:space="0" w:color="auto"/>
      </w:divBdr>
    </w:div>
    <w:div w:id="1664506181">
      <w:bodyDiv w:val="1"/>
      <w:marLeft w:val="0"/>
      <w:marRight w:val="0"/>
      <w:marTop w:val="0"/>
      <w:marBottom w:val="0"/>
      <w:divBdr>
        <w:top w:val="none" w:sz="0" w:space="0" w:color="auto"/>
        <w:left w:val="none" w:sz="0" w:space="0" w:color="auto"/>
        <w:bottom w:val="none" w:sz="0" w:space="0" w:color="auto"/>
        <w:right w:val="none" w:sz="0" w:space="0" w:color="auto"/>
      </w:divBdr>
    </w:div>
    <w:div w:id="1702781963">
      <w:bodyDiv w:val="1"/>
      <w:marLeft w:val="0"/>
      <w:marRight w:val="0"/>
      <w:marTop w:val="0"/>
      <w:marBottom w:val="0"/>
      <w:divBdr>
        <w:top w:val="none" w:sz="0" w:space="0" w:color="auto"/>
        <w:left w:val="none" w:sz="0" w:space="0" w:color="auto"/>
        <w:bottom w:val="none" w:sz="0" w:space="0" w:color="auto"/>
        <w:right w:val="none" w:sz="0" w:space="0" w:color="auto"/>
      </w:divBdr>
    </w:div>
    <w:div w:id="1713075053">
      <w:bodyDiv w:val="1"/>
      <w:marLeft w:val="0"/>
      <w:marRight w:val="0"/>
      <w:marTop w:val="0"/>
      <w:marBottom w:val="0"/>
      <w:divBdr>
        <w:top w:val="none" w:sz="0" w:space="0" w:color="auto"/>
        <w:left w:val="none" w:sz="0" w:space="0" w:color="auto"/>
        <w:bottom w:val="none" w:sz="0" w:space="0" w:color="auto"/>
        <w:right w:val="none" w:sz="0" w:space="0" w:color="auto"/>
      </w:divBdr>
    </w:div>
    <w:div w:id="1827889882">
      <w:bodyDiv w:val="1"/>
      <w:marLeft w:val="0"/>
      <w:marRight w:val="0"/>
      <w:marTop w:val="0"/>
      <w:marBottom w:val="0"/>
      <w:divBdr>
        <w:top w:val="none" w:sz="0" w:space="0" w:color="auto"/>
        <w:left w:val="none" w:sz="0" w:space="0" w:color="auto"/>
        <w:bottom w:val="none" w:sz="0" w:space="0" w:color="auto"/>
        <w:right w:val="none" w:sz="0" w:space="0" w:color="auto"/>
      </w:divBdr>
    </w:div>
    <w:div w:id="1843156961">
      <w:bodyDiv w:val="1"/>
      <w:marLeft w:val="0"/>
      <w:marRight w:val="0"/>
      <w:marTop w:val="0"/>
      <w:marBottom w:val="0"/>
      <w:divBdr>
        <w:top w:val="none" w:sz="0" w:space="0" w:color="auto"/>
        <w:left w:val="none" w:sz="0" w:space="0" w:color="auto"/>
        <w:bottom w:val="none" w:sz="0" w:space="0" w:color="auto"/>
        <w:right w:val="none" w:sz="0" w:space="0" w:color="auto"/>
      </w:divBdr>
    </w:div>
    <w:div w:id="2023630091">
      <w:bodyDiv w:val="1"/>
      <w:marLeft w:val="0"/>
      <w:marRight w:val="0"/>
      <w:marTop w:val="0"/>
      <w:marBottom w:val="0"/>
      <w:divBdr>
        <w:top w:val="none" w:sz="0" w:space="0" w:color="auto"/>
        <w:left w:val="none" w:sz="0" w:space="0" w:color="auto"/>
        <w:bottom w:val="none" w:sz="0" w:space="0" w:color="auto"/>
        <w:right w:val="none" w:sz="0" w:space="0" w:color="auto"/>
      </w:divBdr>
      <w:divsChild>
        <w:div w:id="1757290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AD3A0-D723-4A06-A1C0-AA06183DF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6</Pages>
  <Words>1162</Words>
  <Characters>6625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Eprem Karapetyan</dc:creator>
  <cp:keywords>https://mul2-moj.gov.am/tasks/1192574/oneclick?token=fdd9882c7f48699ba857fbf5a2fa98d6</cp:keywords>
  <dc:description/>
  <cp:lastModifiedBy>Emma Avetisyan</cp:lastModifiedBy>
  <cp:revision>90</cp:revision>
  <dcterms:created xsi:type="dcterms:W3CDTF">2025-01-19T20:25:00Z</dcterms:created>
  <dcterms:modified xsi:type="dcterms:W3CDTF">2026-06-17T14:45:00Z</dcterms:modified>
</cp:coreProperties>
</file>