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2BB" w:rsidRDefault="00D762B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2BB" w:rsidRDefault="00D762BB" w:rsidP="00A71CED">
      <w:pPr>
        <w:jc w:val="center"/>
      </w:pPr>
    </w:p>
    <w:p w:rsidR="00D762BB" w:rsidRDefault="00D762B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2BB" w:rsidRDefault="00D762BB" w:rsidP="00A71CED">
      <w:pPr>
        <w:pStyle w:val="mechtex"/>
        <w:rPr>
          <w:rFonts w:ascii="GHEA Mariam" w:hAnsi="GHEA Mariam"/>
          <w:b/>
        </w:rPr>
      </w:pPr>
    </w:p>
    <w:p w:rsidR="00D762BB" w:rsidRDefault="00D762B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2BB" w:rsidRPr="008E1B5A" w:rsidRDefault="00D762BB" w:rsidP="00A71CED">
      <w:pPr>
        <w:jc w:val="center"/>
        <w:rPr>
          <w:rFonts w:ascii="GHEA Mariam" w:hAnsi="GHEA Mariam"/>
          <w:sz w:val="24"/>
          <w:szCs w:val="24"/>
        </w:rPr>
      </w:pPr>
    </w:p>
    <w:p w:rsidR="00D762BB" w:rsidRPr="00691610" w:rsidRDefault="00D762BB" w:rsidP="00A71CED">
      <w:pPr>
        <w:jc w:val="center"/>
        <w:rPr>
          <w:rFonts w:ascii="GHEA Mariam" w:hAnsi="GHEA Mariam"/>
          <w:sz w:val="12"/>
          <w:szCs w:val="24"/>
        </w:rPr>
      </w:pPr>
    </w:p>
    <w:p w:rsidR="00D762BB" w:rsidRPr="008E1B5A" w:rsidRDefault="00D762BB" w:rsidP="00A71CED">
      <w:pPr>
        <w:jc w:val="center"/>
        <w:rPr>
          <w:rFonts w:ascii="GHEA Mariam" w:hAnsi="GHEA Mariam"/>
          <w:sz w:val="24"/>
          <w:szCs w:val="24"/>
        </w:rPr>
      </w:pPr>
    </w:p>
    <w:p w:rsidR="00D762BB" w:rsidRPr="00881B04" w:rsidRDefault="00D762B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B2CED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bookmarkStart w:id="0" w:name="_GoBack"/>
      <w:bookmarkEnd w:id="0"/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D762BB" w:rsidRDefault="00D762B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62BB" w:rsidRDefault="00D762B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62BB" w:rsidRDefault="00D762B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62BB" w:rsidRPr="007638DB" w:rsidRDefault="00D762BB" w:rsidP="00D762BB">
      <w:pPr>
        <w:pStyle w:val="mechtex"/>
        <w:rPr>
          <w:rFonts w:ascii="GHEA Mariam" w:hAnsi="GHEA Mariam" w:cs="Sylfaen"/>
          <w:sz w:val="24"/>
          <w:lang w:val="fr-FR"/>
        </w:rPr>
      </w:pPr>
      <w:r w:rsidRPr="00D762BB">
        <w:rPr>
          <w:rFonts w:ascii="GHEA Mariam" w:hAnsi="GHEA Mariam" w:cs="Sylfaen"/>
          <w:sz w:val="24"/>
        </w:rPr>
        <w:t>ՀԱՅԱՍՏԱՆԻ</w:t>
      </w:r>
      <w:r w:rsidRPr="00D762BB">
        <w:rPr>
          <w:rFonts w:ascii="GHEA Mariam" w:hAnsi="GHEA Mariam"/>
          <w:sz w:val="24"/>
          <w:lang w:val="fr-FR"/>
        </w:rPr>
        <w:t xml:space="preserve"> </w:t>
      </w:r>
      <w:r w:rsidRPr="00D762BB">
        <w:rPr>
          <w:rFonts w:ascii="GHEA Mariam" w:hAnsi="GHEA Mariam" w:cs="Sylfaen"/>
          <w:sz w:val="24"/>
        </w:rPr>
        <w:t>ՀԱՆՐԱՊԵՏՈՒԹՅԱՆ</w:t>
      </w:r>
      <w:r w:rsidRPr="00D762BB">
        <w:rPr>
          <w:rFonts w:ascii="GHEA Mariam" w:hAnsi="GHEA Mariam"/>
          <w:sz w:val="24"/>
          <w:lang w:val="fr-FR"/>
        </w:rPr>
        <w:t xml:space="preserve"> </w:t>
      </w:r>
      <w:r w:rsidRPr="00D762BB">
        <w:rPr>
          <w:rFonts w:ascii="GHEA Mariam" w:hAnsi="GHEA Mariam" w:cs="Sylfaen"/>
          <w:sz w:val="24"/>
        </w:rPr>
        <w:t>ԿԱՌԱՎԱՐՈՒԹՅԱՆ</w:t>
      </w:r>
      <w:r w:rsidRPr="00D762BB">
        <w:rPr>
          <w:rFonts w:ascii="GHEA Mariam" w:hAnsi="GHEA Mariam"/>
          <w:sz w:val="24"/>
          <w:lang w:val="fr-FR"/>
        </w:rPr>
        <w:t xml:space="preserve"> 2022 </w:t>
      </w:r>
      <w:r w:rsidRPr="00D762BB">
        <w:rPr>
          <w:rFonts w:ascii="GHEA Mariam" w:hAnsi="GHEA Mariam" w:cs="Sylfaen"/>
          <w:sz w:val="24"/>
        </w:rPr>
        <w:t>ԹՎԱԿԱՆԻ</w:t>
      </w:r>
      <w:r w:rsidRPr="00D762BB">
        <w:rPr>
          <w:rFonts w:ascii="GHEA Mariam" w:hAnsi="GHEA Mariam"/>
          <w:sz w:val="24"/>
          <w:lang w:val="fr-FR"/>
        </w:rPr>
        <w:t xml:space="preserve"> </w:t>
      </w:r>
      <w:r w:rsidRPr="00D762BB">
        <w:rPr>
          <w:rFonts w:ascii="GHEA Mariam" w:hAnsi="GHEA Mariam" w:cs="Sylfaen"/>
          <w:sz w:val="24"/>
        </w:rPr>
        <w:t>ՕԳՈՍՏՈՍԻ</w:t>
      </w:r>
      <w:r w:rsidRPr="00D762BB">
        <w:rPr>
          <w:rFonts w:ascii="GHEA Mariam" w:hAnsi="GHEA Mariam"/>
          <w:sz w:val="24"/>
          <w:lang w:val="fr-FR"/>
        </w:rPr>
        <w:t xml:space="preserve"> 24-</w:t>
      </w:r>
      <w:r w:rsidRPr="00D762BB">
        <w:rPr>
          <w:rFonts w:ascii="GHEA Mariam" w:hAnsi="GHEA Mariam" w:cs="Sylfaen"/>
          <w:sz w:val="24"/>
        </w:rPr>
        <w:t>Ի</w:t>
      </w:r>
      <w:r w:rsidRPr="00D762BB">
        <w:rPr>
          <w:rFonts w:ascii="GHEA Mariam" w:hAnsi="GHEA Mariam"/>
          <w:sz w:val="24"/>
          <w:lang w:val="fr-FR"/>
        </w:rPr>
        <w:t xml:space="preserve"> N 1355-</w:t>
      </w:r>
      <w:r w:rsidRPr="00D762BB">
        <w:rPr>
          <w:rFonts w:ascii="GHEA Mariam" w:hAnsi="GHEA Mariam" w:cs="Sylfaen"/>
          <w:sz w:val="24"/>
        </w:rPr>
        <w:t>Ն</w:t>
      </w:r>
      <w:r w:rsidRPr="00D762BB">
        <w:rPr>
          <w:rFonts w:ascii="GHEA Mariam" w:hAnsi="GHEA Mariam"/>
          <w:sz w:val="24"/>
          <w:lang w:val="fr-FR"/>
        </w:rPr>
        <w:t xml:space="preserve"> </w:t>
      </w:r>
      <w:r w:rsidRPr="00D762BB">
        <w:rPr>
          <w:rFonts w:ascii="GHEA Mariam" w:hAnsi="GHEA Mariam" w:cs="Sylfaen"/>
          <w:sz w:val="24"/>
        </w:rPr>
        <w:t>ՈՐՈՇՄԱՆ</w:t>
      </w:r>
      <w:r w:rsidRPr="00D762BB">
        <w:rPr>
          <w:rFonts w:ascii="GHEA Mariam" w:hAnsi="GHEA Mariam"/>
          <w:sz w:val="24"/>
          <w:lang w:val="fr-FR"/>
        </w:rPr>
        <w:t xml:space="preserve"> </w:t>
      </w:r>
      <w:r w:rsidRPr="00D762BB">
        <w:rPr>
          <w:rFonts w:ascii="GHEA Mariam" w:hAnsi="GHEA Mariam" w:cs="Sylfaen"/>
          <w:sz w:val="24"/>
        </w:rPr>
        <w:t>ՄԵՋ</w:t>
      </w:r>
      <w:r w:rsidRPr="00D762BB">
        <w:rPr>
          <w:rFonts w:ascii="GHEA Mariam" w:hAnsi="GHEA Mariam"/>
          <w:sz w:val="24"/>
          <w:lang w:val="fr-FR"/>
        </w:rPr>
        <w:t xml:space="preserve"> </w:t>
      </w:r>
      <w:r w:rsidRPr="00D762BB">
        <w:rPr>
          <w:rFonts w:ascii="GHEA Mariam" w:hAnsi="GHEA Mariam" w:cs="Sylfaen"/>
          <w:sz w:val="24"/>
        </w:rPr>
        <w:t>ԼՐԱՑՈՒՄՆԵՐ</w:t>
      </w:r>
      <w:r w:rsidRPr="00D762BB">
        <w:rPr>
          <w:rFonts w:ascii="GHEA Mariam" w:hAnsi="GHEA Mariam"/>
          <w:sz w:val="24"/>
          <w:lang w:val="hy-AM"/>
        </w:rPr>
        <w:t xml:space="preserve"> </w:t>
      </w:r>
      <w:r w:rsidRPr="00D762BB">
        <w:rPr>
          <w:rFonts w:ascii="GHEA Mariam" w:hAnsi="GHEA Mariam" w:cs="Sylfaen"/>
          <w:sz w:val="24"/>
          <w:lang w:val="hy-AM"/>
        </w:rPr>
        <w:t>ԵՎ</w:t>
      </w:r>
      <w:r w:rsidRPr="00D762BB">
        <w:rPr>
          <w:rFonts w:ascii="GHEA Mariam" w:hAnsi="GHEA Mariam"/>
          <w:sz w:val="24"/>
          <w:lang w:val="hy-AM"/>
        </w:rPr>
        <w:t xml:space="preserve"> </w:t>
      </w:r>
      <w:r w:rsidRPr="00D762BB">
        <w:rPr>
          <w:rFonts w:ascii="GHEA Mariam" w:hAnsi="GHEA Mariam" w:cs="Sylfaen"/>
          <w:sz w:val="24"/>
          <w:lang w:val="hy-AM"/>
        </w:rPr>
        <w:t>ՓՈՓՈԽՈՒԹՅՈՒՆ</w:t>
      </w:r>
      <w:r w:rsidRPr="00D762BB">
        <w:rPr>
          <w:rFonts w:ascii="GHEA Mariam" w:hAnsi="GHEA Mariam"/>
          <w:sz w:val="24"/>
          <w:lang w:val="fr-FR"/>
        </w:rPr>
        <w:t xml:space="preserve"> </w:t>
      </w:r>
      <w:r w:rsidRPr="00D762BB">
        <w:rPr>
          <w:rFonts w:ascii="GHEA Mariam" w:hAnsi="GHEA Mariam" w:cs="Sylfaen"/>
          <w:sz w:val="24"/>
        </w:rPr>
        <w:t>ԿԱՏԱՐԵԼՈՒ</w:t>
      </w:r>
      <w:r w:rsidRPr="00D762BB">
        <w:rPr>
          <w:rFonts w:ascii="GHEA Mariam" w:hAnsi="GHEA Mariam"/>
          <w:sz w:val="24"/>
          <w:lang w:val="fr-FR"/>
        </w:rPr>
        <w:t xml:space="preserve"> </w:t>
      </w:r>
      <w:r w:rsidRPr="00D762BB">
        <w:rPr>
          <w:rFonts w:ascii="GHEA Mariam" w:hAnsi="GHEA Mariam" w:cs="Sylfaen"/>
          <w:sz w:val="24"/>
        </w:rPr>
        <w:t>ՄԱՍԻՆ</w:t>
      </w:r>
    </w:p>
    <w:p w:rsidR="00D762BB" w:rsidRPr="007638DB" w:rsidRDefault="00D762BB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762BB" w:rsidRDefault="00D762BB" w:rsidP="00D762BB">
      <w:pPr>
        <w:pStyle w:val="mechtex"/>
        <w:rPr>
          <w:rFonts w:ascii="GHEA Mariam" w:hAnsi="GHEA Mariam"/>
          <w:sz w:val="24"/>
          <w:lang w:val="fr-FR"/>
        </w:rPr>
      </w:pPr>
    </w:p>
    <w:p w:rsidR="00D762BB" w:rsidRPr="00D762BB" w:rsidRDefault="00D762BB" w:rsidP="00D762BB">
      <w:pPr>
        <w:pStyle w:val="mechtex"/>
        <w:rPr>
          <w:rFonts w:ascii="GHEA Mariam" w:hAnsi="GHEA Mariam"/>
          <w:sz w:val="24"/>
          <w:lang w:val="fr-FR"/>
        </w:rPr>
      </w:pPr>
    </w:p>
    <w:p w:rsidR="00D762BB" w:rsidRPr="00D762BB" w:rsidRDefault="00D762BB" w:rsidP="00D762BB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762BB">
        <w:rPr>
          <w:rFonts w:ascii="GHEA Mariam" w:hAnsi="GHEA Mariam" w:cs="Arial"/>
          <w:sz w:val="24"/>
          <w:szCs w:val="24"/>
          <w:lang w:val="fr-FR"/>
        </w:rPr>
        <w:t xml:space="preserve">   </w:t>
      </w:r>
      <w:r w:rsidRPr="00D762BB">
        <w:rPr>
          <w:rFonts w:ascii="GHEA Mariam" w:hAnsi="GHEA Mariam" w:cs="Arial"/>
          <w:sz w:val="24"/>
          <w:szCs w:val="24"/>
        </w:rPr>
        <w:t>Ղեկավարվելով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«</w:t>
      </w:r>
      <w:r w:rsidRPr="00D762BB">
        <w:rPr>
          <w:rFonts w:ascii="GHEA Mariam" w:hAnsi="GHEA Mariam" w:cs="Arial"/>
          <w:sz w:val="24"/>
          <w:szCs w:val="24"/>
        </w:rPr>
        <w:t>Նորմատիվ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իրավական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ակտերի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մասին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» </w:t>
      </w:r>
      <w:r w:rsidRPr="00D762BB">
        <w:rPr>
          <w:rFonts w:ascii="GHEA Mariam" w:hAnsi="GHEA Mariam" w:cs="Arial"/>
          <w:sz w:val="24"/>
          <w:szCs w:val="24"/>
        </w:rPr>
        <w:t>օրենքի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33-</w:t>
      </w:r>
      <w:r w:rsidRPr="00D762BB">
        <w:rPr>
          <w:rFonts w:ascii="GHEA Mariam" w:hAnsi="GHEA Mariam" w:cs="Arial"/>
          <w:sz w:val="24"/>
          <w:szCs w:val="24"/>
        </w:rPr>
        <w:t>րդ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և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34-</w:t>
      </w:r>
      <w:r w:rsidRPr="00D762BB">
        <w:rPr>
          <w:rFonts w:ascii="GHEA Mariam" w:hAnsi="GHEA Mariam" w:cs="Arial"/>
          <w:sz w:val="24"/>
          <w:szCs w:val="24"/>
        </w:rPr>
        <w:t>րդ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հոդվածների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պահանջներով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և հիմք ընդունելով «Հանրության գերակա շահերի ապահովման նպատակով սեփականության օտարման մասին» օրենքի</w:t>
      </w:r>
      <w:r w:rsidRPr="00D762BB">
        <w:rPr>
          <w:rFonts w:ascii="GHEA Mariam" w:hAnsi="GHEA Mariam" w:cs="Arial"/>
          <w:sz w:val="24"/>
          <w:szCs w:val="24"/>
          <w:lang w:val="hy-AM"/>
        </w:rPr>
        <w:br/>
        <w:t>11-րդ հոդվածի 3.1-ին և 4.2-րդ մասերը</w:t>
      </w:r>
      <w:r w:rsidRPr="00D762BB">
        <w:rPr>
          <w:rFonts w:ascii="GHEA Mariam" w:hAnsi="GHEA Mariam" w:cs="Arial"/>
          <w:sz w:val="24"/>
          <w:szCs w:val="24"/>
        </w:rPr>
        <w:t>՝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762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762B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762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762B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762B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762BB">
        <w:rPr>
          <w:rFonts w:ascii="GHEA Mariam" w:hAnsi="GHEA Mariam" w:cs="Sylfaen"/>
          <w:sz w:val="24"/>
          <w:szCs w:val="22"/>
          <w:lang w:val="de-DE"/>
        </w:rPr>
        <w:t>ո</w:t>
      </w:r>
      <w:r w:rsidRPr="00D762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762BB">
        <w:rPr>
          <w:rFonts w:ascii="GHEA Mariam" w:hAnsi="GHEA Mariam" w:cs="Sylfaen"/>
          <w:sz w:val="24"/>
          <w:szCs w:val="22"/>
          <w:lang w:val="de-DE"/>
        </w:rPr>
        <w:t>ր</w:t>
      </w:r>
      <w:r w:rsidRPr="00D762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762BB">
        <w:rPr>
          <w:rFonts w:ascii="GHEA Mariam" w:hAnsi="GHEA Mariam" w:cs="Sylfaen"/>
          <w:sz w:val="24"/>
          <w:szCs w:val="22"/>
          <w:lang w:val="de-DE"/>
        </w:rPr>
        <w:t>ո</w:t>
      </w:r>
      <w:r w:rsidRPr="00D762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762BB">
        <w:rPr>
          <w:rFonts w:ascii="GHEA Mariam" w:hAnsi="GHEA Mariam" w:cs="Sylfaen"/>
          <w:sz w:val="24"/>
          <w:szCs w:val="22"/>
          <w:lang w:val="de-DE"/>
        </w:rPr>
        <w:t>շ</w:t>
      </w:r>
      <w:r w:rsidRPr="00D762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762BB">
        <w:rPr>
          <w:rFonts w:ascii="GHEA Mariam" w:hAnsi="GHEA Mariam" w:cs="Sylfaen"/>
          <w:sz w:val="24"/>
          <w:szCs w:val="22"/>
          <w:lang w:val="de-DE"/>
        </w:rPr>
        <w:t>ու</w:t>
      </w:r>
      <w:r w:rsidRPr="00D762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762BB">
        <w:rPr>
          <w:rFonts w:ascii="GHEA Mariam" w:hAnsi="GHEA Mariam" w:cs="Sylfaen"/>
          <w:sz w:val="24"/>
          <w:szCs w:val="22"/>
          <w:lang w:val="de-DE"/>
        </w:rPr>
        <w:t>մ</w:t>
      </w:r>
      <w:r w:rsidRPr="00D762B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762BB">
        <w:rPr>
          <w:rFonts w:ascii="GHEA Mariam" w:hAnsi="GHEA Mariam" w:cs="Sylfaen"/>
          <w:sz w:val="24"/>
          <w:szCs w:val="22"/>
          <w:lang w:val="de-DE"/>
        </w:rPr>
        <w:t>է</w:t>
      </w:r>
      <w:r w:rsidRPr="00D762B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762BB" w:rsidRPr="00D762BB" w:rsidRDefault="00D762BB" w:rsidP="00D762BB">
      <w:pPr>
        <w:pStyle w:val="ListParagraph"/>
        <w:numPr>
          <w:ilvl w:val="0"/>
          <w:numId w:val="1"/>
        </w:numPr>
        <w:shd w:val="clear" w:color="auto" w:fill="FFFFFF"/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fr-FR"/>
        </w:rPr>
      </w:pPr>
      <w:r w:rsidRPr="00D762BB">
        <w:rPr>
          <w:rFonts w:ascii="GHEA Mariam" w:eastAsia="Times New Roman" w:hAnsi="GHEA Mariam" w:cs="Arial"/>
          <w:sz w:val="24"/>
          <w:szCs w:val="24"/>
        </w:rPr>
        <w:t>Հայաստանի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Հանրապետության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կառավարության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2022 </w:t>
      </w:r>
      <w:r w:rsidRPr="00D762BB">
        <w:rPr>
          <w:rFonts w:ascii="GHEA Mariam" w:eastAsia="Times New Roman" w:hAnsi="GHEA Mariam" w:cs="Arial"/>
          <w:sz w:val="24"/>
          <w:szCs w:val="24"/>
        </w:rPr>
        <w:t>թվականի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pacing w:val="-8"/>
          <w:sz w:val="24"/>
          <w:szCs w:val="24"/>
        </w:rPr>
        <w:t>օգոստոսի</w:t>
      </w:r>
      <w:r w:rsidRPr="00D762BB">
        <w:rPr>
          <w:rFonts w:ascii="GHEA Mariam" w:eastAsia="Times New Roman" w:hAnsi="GHEA Mariam" w:cs="Arial"/>
          <w:spacing w:val="-8"/>
          <w:sz w:val="24"/>
          <w:szCs w:val="24"/>
          <w:lang w:val="fr-FR"/>
        </w:rPr>
        <w:t xml:space="preserve"> 24-</w:t>
      </w:r>
      <w:r w:rsidRPr="00D762BB">
        <w:rPr>
          <w:rFonts w:ascii="GHEA Mariam" w:eastAsia="Times New Roman" w:hAnsi="GHEA Mariam" w:cs="Arial"/>
          <w:spacing w:val="-8"/>
          <w:sz w:val="24"/>
          <w:szCs w:val="24"/>
        </w:rPr>
        <w:t>ի</w:t>
      </w:r>
      <w:r w:rsidRPr="00D762BB">
        <w:rPr>
          <w:rFonts w:ascii="GHEA Mariam" w:eastAsia="Times New Roman" w:hAnsi="GHEA Mariam" w:cs="Arial"/>
          <w:spacing w:val="-8"/>
          <w:sz w:val="24"/>
          <w:szCs w:val="24"/>
          <w:lang w:val="fr-FR"/>
        </w:rPr>
        <w:t xml:space="preserve"> «</w:t>
      </w:r>
      <w:r w:rsidRPr="00D762BB">
        <w:rPr>
          <w:rFonts w:ascii="GHEA Mariam" w:eastAsia="Times New Roman" w:hAnsi="GHEA Mariam" w:cs="Arial"/>
          <w:spacing w:val="-8"/>
          <w:sz w:val="24"/>
          <w:szCs w:val="24"/>
        </w:rPr>
        <w:t>Հայաստանի</w:t>
      </w:r>
      <w:r w:rsidRPr="00D762BB">
        <w:rPr>
          <w:rFonts w:ascii="GHEA Mariam" w:eastAsia="Times New Roman" w:hAnsi="GHEA Mariam" w:cs="Arial"/>
          <w:spacing w:val="-8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pacing w:val="-8"/>
          <w:sz w:val="24"/>
          <w:szCs w:val="24"/>
        </w:rPr>
        <w:t>Հանրապետությունում</w:t>
      </w:r>
      <w:r w:rsidRPr="00D762BB">
        <w:rPr>
          <w:rFonts w:ascii="GHEA Mariam" w:eastAsia="Times New Roman" w:hAnsi="GHEA Mariam" w:cs="Arial"/>
          <w:spacing w:val="-8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pacing w:val="-8"/>
          <w:sz w:val="24"/>
          <w:szCs w:val="24"/>
        </w:rPr>
        <w:t>գնահատման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ստանդարտները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, </w:t>
      </w:r>
      <w:r w:rsidRPr="00D762BB">
        <w:rPr>
          <w:rFonts w:ascii="GHEA Mariam" w:eastAsia="Times New Roman" w:hAnsi="GHEA Mariam" w:cs="Arial"/>
          <w:sz w:val="24"/>
          <w:szCs w:val="24"/>
        </w:rPr>
        <w:t>ինչպես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նաև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գնահատողի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վարքագծին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ներկայացվող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պահանջները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սահմանելու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pacing w:val="-8"/>
          <w:sz w:val="24"/>
          <w:szCs w:val="24"/>
        </w:rPr>
        <w:t>մասին</w:t>
      </w:r>
      <w:r w:rsidRPr="00D762BB">
        <w:rPr>
          <w:rFonts w:ascii="GHEA Mariam" w:eastAsia="Times New Roman" w:hAnsi="GHEA Mariam" w:cs="Arial"/>
          <w:spacing w:val="-8"/>
          <w:sz w:val="24"/>
          <w:szCs w:val="24"/>
          <w:lang w:val="fr-FR"/>
        </w:rPr>
        <w:t>» N 1355-</w:t>
      </w:r>
      <w:r w:rsidRPr="00D762BB">
        <w:rPr>
          <w:rFonts w:ascii="GHEA Mariam" w:eastAsia="Times New Roman" w:hAnsi="GHEA Mariam" w:cs="Arial"/>
          <w:spacing w:val="-8"/>
          <w:sz w:val="24"/>
          <w:szCs w:val="24"/>
        </w:rPr>
        <w:t>Ն</w:t>
      </w:r>
      <w:r w:rsidRPr="00D762BB">
        <w:rPr>
          <w:rFonts w:ascii="GHEA Mariam" w:eastAsia="Times New Roman" w:hAnsi="GHEA Mariam" w:cs="Arial"/>
          <w:spacing w:val="-8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pacing w:val="-8"/>
          <w:sz w:val="24"/>
          <w:szCs w:val="24"/>
        </w:rPr>
        <w:t>որոշման</w:t>
      </w:r>
      <w:r w:rsidRPr="00D762BB">
        <w:rPr>
          <w:rFonts w:ascii="GHEA Mariam" w:eastAsia="Times New Roman" w:hAnsi="GHEA Mariam" w:cs="Arial"/>
          <w:spacing w:val="-8"/>
          <w:sz w:val="24"/>
          <w:szCs w:val="24"/>
          <w:lang w:val="fr-FR"/>
        </w:rPr>
        <w:t xml:space="preserve"> (</w:t>
      </w:r>
      <w:r w:rsidRPr="00D762BB">
        <w:rPr>
          <w:rFonts w:ascii="GHEA Mariam" w:eastAsia="Times New Roman" w:hAnsi="GHEA Mariam" w:cs="Arial"/>
          <w:spacing w:val="-8"/>
          <w:sz w:val="24"/>
          <w:szCs w:val="24"/>
        </w:rPr>
        <w:t>այսուհետ՝</w:t>
      </w:r>
      <w:r w:rsidRPr="00D762BB">
        <w:rPr>
          <w:rFonts w:ascii="GHEA Mariam" w:eastAsia="Times New Roman" w:hAnsi="GHEA Mariam" w:cs="Arial"/>
          <w:spacing w:val="-8"/>
          <w:sz w:val="24"/>
          <w:szCs w:val="24"/>
          <w:lang w:val="fr-FR"/>
        </w:rPr>
        <w:t xml:space="preserve"> </w:t>
      </w:r>
      <w:r w:rsidR="0077306B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</w:t>
      </w:r>
      <w:r w:rsidRPr="00D762BB">
        <w:rPr>
          <w:rFonts w:ascii="GHEA Mariam" w:eastAsia="Times New Roman" w:hAnsi="GHEA Mariam" w:cs="Arial"/>
          <w:spacing w:val="-8"/>
          <w:sz w:val="24"/>
          <w:szCs w:val="24"/>
        </w:rPr>
        <w:t>րոշում</w:t>
      </w:r>
      <w:r w:rsidRPr="00D762BB">
        <w:rPr>
          <w:rFonts w:ascii="GHEA Mariam" w:eastAsia="Times New Roman" w:hAnsi="GHEA Mariam" w:cs="Arial"/>
          <w:spacing w:val="-8"/>
          <w:sz w:val="24"/>
          <w:szCs w:val="24"/>
          <w:lang w:val="fr-FR"/>
        </w:rPr>
        <w:t xml:space="preserve">) </w:t>
      </w:r>
      <w:r w:rsidRPr="00D762BB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նախաբան</w:t>
      </w:r>
      <w:r w:rsidR="0077306B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ը</w:t>
      </w:r>
      <w:r w:rsidRPr="00D762BB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 xml:space="preserve"> «մասը» բառից</w:t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 xml:space="preserve"> հետո </w:t>
      </w:r>
      <w:r w:rsidRPr="0077306B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լրացնել «և «Հանրության գերակա շահերի ապահովման նպատակով սեփակա</w:t>
      </w:r>
      <w:r w:rsidRPr="0077306B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softHyphen/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>նու</w:t>
      </w:r>
      <w:r w:rsidR="0077306B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>թյան օտարման մասին» օրենքի 11-րդ հոդվածի 3.1-ին և 4.2-րդ մասերը» բառեր</w:t>
      </w:r>
      <w:r w:rsidR="0077306B">
        <w:rPr>
          <w:rFonts w:ascii="GHEA Mariam" w:eastAsia="Times New Roman" w:hAnsi="GHEA Mariam" w:cs="Arial"/>
          <w:sz w:val="24"/>
          <w:szCs w:val="24"/>
          <w:lang w:val="hy-AM"/>
        </w:rPr>
        <w:t>ով</w:t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>։</w:t>
      </w:r>
    </w:p>
    <w:p w:rsidR="00D762BB" w:rsidRPr="00D762BB" w:rsidRDefault="00D762BB" w:rsidP="0077306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fr-FR"/>
        </w:rPr>
      </w:pPr>
      <w:r w:rsidRPr="00D762BB">
        <w:rPr>
          <w:rFonts w:ascii="GHEA Mariam" w:eastAsia="Times New Roman" w:hAnsi="GHEA Mariam" w:cs="Arial"/>
          <w:sz w:val="24"/>
          <w:szCs w:val="24"/>
        </w:rPr>
        <w:t>Որոշման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1-</w:t>
      </w:r>
      <w:r w:rsidRPr="00D762BB">
        <w:rPr>
          <w:rFonts w:ascii="GHEA Mariam" w:eastAsia="Times New Roman" w:hAnsi="GHEA Mariam" w:cs="Arial"/>
          <w:sz w:val="24"/>
          <w:szCs w:val="24"/>
        </w:rPr>
        <w:t>ին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կետի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1-</w:t>
      </w:r>
      <w:r w:rsidRPr="00D762BB">
        <w:rPr>
          <w:rFonts w:ascii="GHEA Mariam" w:eastAsia="Times New Roman" w:hAnsi="GHEA Mariam" w:cs="Arial"/>
          <w:sz w:val="24"/>
          <w:szCs w:val="24"/>
        </w:rPr>
        <w:t>ին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ենթակետով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սահմանված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N 1 </w:t>
      </w:r>
      <w:r w:rsidRPr="00D762BB">
        <w:rPr>
          <w:rFonts w:ascii="GHEA Mariam" w:eastAsia="Times New Roman" w:hAnsi="GHEA Mariam" w:cs="Arial"/>
          <w:sz w:val="24"/>
          <w:szCs w:val="24"/>
        </w:rPr>
        <w:t>հավելվածի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11-</w:t>
      </w:r>
      <w:r w:rsidRPr="00D762BB">
        <w:rPr>
          <w:rFonts w:ascii="GHEA Mariam" w:eastAsia="Times New Roman" w:hAnsi="GHEA Mariam" w:cs="Arial"/>
          <w:sz w:val="24"/>
          <w:szCs w:val="24"/>
        </w:rPr>
        <w:t>րդ</w:t>
      </w:r>
      <w:r w:rsidRPr="00D762BB">
        <w:rPr>
          <w:rFonts w:ascii="GHEA Mariam" w:eastAsia="Times New Roman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eastAsia="Times New Roman" w:hAnsi="GHEA Mariam" w:cs="Arial"/>
          <w:sz w:val="24"/>
          <w:szCs w:val="24"/>
        </w:rPr>
        <w:t>կետ</w:t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>ի 1-ին ենթակետ</w:t>
      </w:r>
      <w:r w:rsidR="0077306B">
        <w:rPr>
          <w:rFonts w:ascii="GHEA Mariam" w:eastAsia="Times New Roman" w:hAnsi="GHEA Mariam" w:cs="Arial"/>
          <w:sz w:val="24"/>
          <w:szCs w:val="24"/>
          <w:lang w:val="hy-AM"/>
        </w:rPr>
        <w:t>ը</w:t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 xml:space="preserve"> «օբյեկտի տեղազննությունը» բառերից հետո լրացնել </w:t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«(բացառությամբ հանրության գերակա շահերի ապահովման նպատակով սեփա</w:t>
      </w:r>
      <w:r w:rsidR="0077306B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>կանության օտարման գնահատման, որոնց դեպքում տեղազննման արդյունքները կազմվում են «Հանրության գերակա շահերի ապահովման նպատակով սեփա</w:t>
      </w:r>
      <w:r w:rsidR="0077306B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>կանության օտարման մասին» օրենքի հիման վրա ընդունված՝ նկարագրության արձանագրության կազմման կարգը սահմանող կառավարության որոշմամբ նախատեսված կարգով)» բառեր</w:t>
      </w:r>
      <w:r w:rsidR="0077306B">
        <w:rPr>
          <w:rFonts w:ascii="GHEA Mariam" w:eastAsia="Times New Roman" w:hAnsi="GHEA Mariam" w:cs="Arial"/>
          <w:sz w:val="24"/>
          <w:szCs w:val="24"/>
          <w:lang w:val="hy-AM"/>
        </w:rPr>
        <w:t>ով</w:t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>:</w:t>
      </w:r>
    </w:p>
    <w:p w:rsidR="00D762BB" w:rsidRPr="00D762BB" w:rsidRDefault="00D762BB" w:rsidP="00D762BB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fr-FR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>3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. </w:t>
      </w:r>
      <w:r w:rsidRPr="00D762BB">
        <w:rPr>
          <w:rFonts w:ascii="GHEA Mariam" w:hAnsi="GHEA Mariam" w:cs="Arial"/>
          <w:sz w:val="24"/>
          <w:szCs w:val="24"/>
        </w:rPr>
        <w:t>Որոշման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1-</w:t>
      </w:r>
      <w:r w:rsidRPr="00D762BB">
        <w:rPr>
          <w:rFonts w:ascii="GHEA Mariam" w:hAnsi="GHEA Mariam" w:cs="Arial"/>
          <w:sz w:val="24"/>
          <w:szCs w:val="24"/>
        </w:rPr>
        <w:t>ին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կետի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2-</w:t>
      </w:r>
      <w:r w:rsidRPr="00D762BB">
        <w:rPr>
          <w:rFonts w:ascii="GHEA Mariam" w:hAnsi="GHEA Mariam" w:cs="Arial"/>
          <w:sz w:val="24"/>
          <w:szCs w:val="24"/>
        </w:rPr>
        <w:t>րդ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ենթակետով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սահմանված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N 2 </w:t>
      </w:r>
      <w:r w:rsidRPr="00D762BB">
        <w:rPr>
          <w:rFonts w:ascii="GHEA Mariam" w:hAnsi="GHEA Mariam" w:cs="Arial"/>
          <w:sz w:val="24"/>
          <w:szCs w:val="24"/>
        </w:rPr>
        <w:t>հավելվածում</w:t>
      </w:r>
      <w:r w:rsidRPr="00D762BB">
        <w:rPr>
          <w:rFonts w:ascii="GHEA Mariam" w:hAnsi="GHEA Mariam" w:cs="Arial"/>
          <w:sz w:val="24"/>
          <w:szCs w:val="24"/>
          <w:lang w:val="fr-FR"/>
        </w:rPr>
        <w:t>.</w:t>
      </w:r>
    </w:p>
    <w:p w:rsidR="00D762BB" w:rsidRPr="007638DB" w:rsidRDefault="00D762BB" w:rsidP="00D762BB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fr-FR"/>
        </w:rPr>
        <w:t>1) 12-</w:t>
      </w:r>
      <w:r w:rsidRPr="00D762BB">
        <w:rPr>
          <w:rFonts w:ascii="GHEA Mariam" w:hAnsi="GHEA Mariam" w:cs="Arial"/>
          <w:sz w:val="24"/>
          <w:szCs w:val="24"/>
        </w:rPr>
        <w:t>րդ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կետ</w:t>
      </w:r>
      <w:r w:rsidR="0077306B">
        <w:rPr>
          <w:rFonts w:ascii="GHEA Mariam" w:hAnsi="GHEA Mariam" w:cs="Arial"/>
          <w:sz w:val="24"/>
          <w:szCs w:val="24"/>
          <w:lang w:val="hy-AM"/>
        </w:rPr>
        <w:t>ը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«</w:t>
      </w:r>
      <w:r w:rsidRPr="00D762BB">
        <w:rPr>
          <w:rFonts w:ascii="GHEA Mariam" w:hAnsi="GHEA Mariam" w:cs="Arial"/>
          <w:sz w:val="24"/>
          <w:szCs w:val="24"/>
        </w:rPr>
        <w:t>եթե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այլ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բան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գնահատման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առաջադրանքով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սահմանված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չէ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» </w:t>
      </w:r>
      <w:r w:rsidRPr="00D762BB">
        <w:rPr>
          <w:rFonts w:ascii="GHEA Mariam" w:hAnsi="GHEA Mariam" w:cs="Arial"/>
          <w:sz w:val="24"/>
          <w:szCs w:val="24"/>
        </w:rPr>
        <w:t>բառերից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հետո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լրացնել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«, </w:t>
      </w:r>
      <w:r w:rsidRPr="00D762BB">
        <w:rPr>
          <w:rFonts w:ascii="GHEA Mariam" w:hAnsi="GHEA Mariam" w:cs="Arial"/>
          <w:sz w:val="24"/>
          <w:szCs w:val="24"/>
        </w:rPr>
        <w:t>բացառությամբ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հանրության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գերակա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շահերի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ապա</w:t>
      </w:r>
      <w:r w:rsidR="0077306B" w:rsidRPr="0077306B">
        <w:rPr>
          <w:rFonts w:ascii="GHEA Mariam" w:hAnsi="GHEA Mariam" w:cs="Arial"/>
          <w:sz w:val="24"/>
          <w:szCs w:val="24"/>
          <w:lang w:val="fr-FR"/>
        </w:rPr>
        <w:softHyphen/>
      </w:r>
      <w:r w:rsidRPr="00D762BB">
        <w:rPr>
          <w:rFonts w:ascii="GHEA Mariam" w:hAnsi="GHEA Mariam" w:cs="Arial"/>
          <w:sz w:val="24"/>
          <w:szCs w:val="24"/>
        </w:rPr>
        <w:t>հովման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նպատակով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սեփականության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օտարման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գնահատման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, </w:t>
      </w:r>
      <w:r w:rsidRPr="00D762BB">
        <w:rPr>
          <w:rFonts w:ascii="GHEA Mariam" w:hAnsi="GHEA Mariam" w:cs="Arial"/>
          <w:sz w:val="24"/>
          <w:szCs w:val="24"/>
        </w:rPr>
        <w:t>որոնց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դեպքում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տեղազննման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արդյունքները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կազմվում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են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«</w:t>
      </w:r>
      <w:r w:rsidRPr="00D762BB">
        <w:rPr>
          <w:rFonts w:ascii="GHEA Mariam" w:hAnsi="GHEA Mariam" w:cs="Arial"/>
          <w:sz w:val="24"/>
          <w:szCs w:val="24"/>
        </w:rPr>
        <w:t>Հանրության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գերակա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շահերի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ապա</w:t>
      </w:r>
      <w:r w:rsidR="0077306B" w:rsidRPr="0077306B">
        <w:rPr>
          <w:rFonts w:ascii="GHEA Mariam" w:hAnsi="GHEA Mariam" w:cs="Arial"/>
          <w:sz w:val="24"/>
          <w:szCs w:val="24"/>
          <w:lang w:val="fr-FR"/>
        </w:rPr>
        <w:softHyphen/>
      </w:r>
      <w:r w:rsidRPr="00D762BB">
        <w:rPr>
          <w:rFonts w:ascii="GHEA Mariam" w:hAnsi="GHEA Mariam" w:cs="Arial"/>
          <w:sz w:val="24"/>
          <w:szCs w:val="24"/>
        </w:rPr>
        <w:t>հով</w:t>
      </w:r>
      <w:r w:rsidR="0077306B" w:rsidRPr="0077306B">
        <w:rPr>
          <w:rFonts w:ascii="GHEA Mariam" w:hAnsi="GHEA Mariam" w:cs="Arial"/>
          <w:sz w:val="24"/>
          <w:szCs w:val="24"/>
          <w:lang w:val="fr-FR"/>
        </w:rPr>
        <w:softHyphen/>
      </w:r>
      <w:r w:rsidRPr="00D762BB">
        <w:rPr>
          <w:rFonts w:ascii="GHEA Mariam" w:hAnsi="GHEA Mariam" w:cs="Arial"/>
          <w:sz w:val="24"/>
          <w:szCs w:val="24"/>
        </w:rPr>
        <w:t>ման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նպատակով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սեփականության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օտարման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մասին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» </w:t>
      </w:r>
      <w:r w:rsidRPr="00D762BB">
        <w:rPr>
          <w:rFonts w:ascii="GHEA Mariam" w:hAnsi="GHEA Mariam" w:cs="Arial"/>
          <w:sz w:val="24"/>
          <w:szCs w:val="24"/>
        </w:rPr>
        <w:t>օրենքով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սահմանված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նկարագրության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արձանագրության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D762BB">
        <w:rPr>
          <w:rFonts w:ascii="GHEA Mariam" w:hAnsi="GHEA Mariam" w:cs="Arial"/>
          <w:sz w:val="24"/>
          <w:szCs w:val="24"/>
        </w:rPr>
        <w:t>կարգով</w:t>
      </w:r>
      <w:r w:rsidRPr="00D762BB">
        <w:rPr>
          <w:rFonts w:ascii="GHEA Mariam" w:hAnsi="GHEA Mariam" w:cs="Arial"/>
          <w:sz w:val="24"/>
          <w:szCs w:val="24"/>
          <w:lang w:val="fr-FR"/>
        </w:rPr>
        <w:t xml:space="preserve">» </w:t>
      </w:r>
      <w:r w:rsidRPr="00D762BB">
        <w:rPr>
          <w:rFonts w:ascii="GHEA Mariam" w:hAnsi="GHEA Mariam" w:cs="Arial"/>
          <w:sz w:val="24"/>
          <w:szCs w:val="24"/>
        </w:rPr>
        <w:t>բառեր</w:t>
      </w:r>
      <w:r w:rsidR="0077306B">
        <w:rPr>
          <w:rFonts w:ascii="GHEA Mariam" w:hAnsi="GHEA Mariam" w:cs="Arial"/>
          <w:sz w:val="24"/>
          <w:szCs w:val="24"/>
          <w:lang w:val="hy-AM"/>
        </w:rPr>
        <w:t>ով</w:t>
      </w:r>
      <w:r w:rsidR="007638DB">
        <w:rPr>
          <w:rFonts w:ascii="GHEA Mariam" w:hAnsi="GHEA Mariam" w:cs="Arial"/>
          <w:sz w:val="24"/>
          <w:szCs w:val="24"/>
          <w:lang w:val="hy-AM"/>
        </w:rPr>
        <w:t>.</w:t>
      </w:r>
    </w:p>
    <w:p w:rsidR="00D762BB" w:rsidRPr="00D762BB" w:rsidRDefault="00D762BB" w:rsidP="00D762BB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 xml:space="preserve">2) լրացնել </w:t>
      </w:r>
      <w:r w:rsidR="0077306B" w:rsidRPr="00D762BB">
        <w:rPr>
          <w:rFonts w:ascii="GHEA Mariam" w:hAnsi="GHEA Mariam" w:cs="Arial"/>
          <w:sz w:val="24"/>
          <w:szCs w:val="24"/>
          <w:lang w:val="hy-AM"/>
        </w:rPr>
        <w:t xml:space="preserve">հետևյալ բովանդակությամբ 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նոր` </w:t>
      </w:r>
      <w:r w:rsidR="0077306B">
        <w:rPr>
          <w:rFonts w:ascii="GHEA Mariam" w:hAnsi="GHEA Mariam" w:cs="Arial"/>
          <w:sz w:val="24"/>
          <w:szCs w:val="24"/>
          <w:lang w:val="hy-AM"/>
        </w:rPr>
        <w:t>9-րդ գլ</w:t>
      </w:r>
      <w:r w:rsidRPr="00D762BB">
        <w:rPr>
          <w:rFonts w:ascii="GHEA Mariam" w:hAnsi="GHEA Mariam" w:cs="Arial"/>
          <w:sz w:val="24"/>
          <w:szCs w:val="24"/>
          <w:lang w:val="hy-AM"/>
        </w:rPr>
        <w:t>խ</w:t>
      </w:r>
      <w:r w:rsidR="0077306B">
        <w:rPr>
          <w:rFonts w:ascii="GHEA Mariam" w:hAnsi="GHEA Mariam" w:cs="Arial"/>
          <w:sz w:val="24"/>
          <w:szCs w:val="24"/>
          <w:lang w:val="hy-AM"/>
        </w:rPr>
        <w:t>ով</w:t>
      </w:r>
      <w:r w:rsidRPr="00D762BB">
        <w:rPr>
          <w:rFonts w:ascii="GHEA Mariam" w:hAnsi="GHEA Mariam" w:cs="Arial"/>
          <w:sz w:val="24"/>
          <w:szCs w:val="24"/>
          <w:lang w:val="hy-AM"/>
        </w:rPr>
        <w:t>.</w:t>
      </w:r>
    </w:p>
    <w:p w:rsidR="00D762BB" w:rsidRPr="00D762BB" w:rsidRDefault="00D762BB" w:rsidP="00D762BB">
      <w:pPr>
        <w:shd w:val="clear" w:color="auto" w:fill="FFFFFF"/>
        <w:spacing w:line="360" w:lineRule="auto"/>
        <w:jc w:val="center"/>
        <w:rPr>
          <w:rFonts w:ascii="GHEA Mariam" w:hAnsi="GHEA Mariam" w:cs="Arial"/>
          <w:b/>
          <w:bCs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>«</w:t>
      </w:r>
      <w:r w:rsidRPr="00D762BB">
        <w:rPr>
          <w:rFonts w:ascii="GHEA Mariam" w:hAnsi="GHEA Mariam" w:cs="Arial"/>
          <w:b/>
          <w:bCs/>
          <w:sz w:val="24"/>
          <w:szCs w:val="24"/>
          <w:lang w:val="hy-AM"/>
        </w:rPr>
        <w:t>9. ՀԱՆՐՈՒԹՅԱՆ ԳԵՐԱԿԱ ՇԱՀԵՐԻ ԱՊԱՀՈՎՄԱՆ ՆՊԱՏԱԿՈՎ ՕՏԱՐՄԱՆ ԵՆԹԱԿԱ ՍԵՓԱԿԱՆՈՒԹՅԱՆ ԳՆԱՀԱՏՈՒՄ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82. Հանրության գերակա շահերի ապահովման նպատակով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սեփականության օտարման գնահատման իրականացման վրա տարածվում </w:t>
      </w:r>
      <w:r w:rsidR="0077306B">
        <w:rPr>
          <w:rFonts w:ascii="GHEA Mariam" w:hAnsi="GHEA Mariam" w:cs="Arial"/>
          <w:sz w:val="24"/>
          <w:szCs w:val="24"/>
          <w:lang w:val="hy-AM"/>
        </w:rPr>
        <w:t>են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նաև «Հանրության գերակա շահերի ապահովման նպատակով սեփականության օտարման մասին» օրենքով սահմանված պահանջները: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83. Հանրության գերակա շահերի ապահովման նպատակով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սեփականության օտարման դեպքում գնահատվում է անշարժ գույքի շուկայական արժեքը: 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>84.</w:t>
      </w:r>
      <w:r w:rsidRPr="00D762BB">
        <w:rPr>
          <w:rFonts w:ascii="GHEA Mariam" w:hAnsi="GHEA Mariam" w:cs="Arial"/>
          <w:sz w:val="24"/>
          <w:szCs w:val="24"/>
          <w:lang w:val="hy-AM"/>
        </w:rPr>
        <w:tab/>
        <w:t xml:space="preserve">Հանրության գերակա շահերի ապահովման նպատակով օտարման դեպքում օտարվող սեփականության շուկայական արժեքը չպետք է ներառի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սեփականության արժեքի որևէ նվազեցում կամ ավելացում, որը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պայմանավորված է</w:t>
      </w:r>
      <w:r w:rsidRPr="00D762BB">
        <w:rPr>
          <w:rFonts w:ascii="GHEA Mariam" w:hAnsi="GHEA Mariam"/>
          <w:lang w:val="hy-AM"/>
        </w:rPr>
        <w:t xml:space="preserve"> </w:t>
      </w:r>
      <w:r w:rsidRPr="00D762BB">
        <w:rPr>
          <w:rFonts w:ascii="GHEA Mariam" w:hAnsi="GHEA Mariam" w:cs="Arial"/>
          <w:sz w:val="24"/>
          <w:szCs w:val="24"/>
          <w:lang w:val="hy-AM"/>
        </w:rPr>
        <w:t>սեփականության նկատմամբ առկա գույքային իրավունքներով: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85. Հանրության գերակա շահերի ապահովման նպատակով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սեփականության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օտարման դեպքում գնահատում իրականացնելիս պարտադիր պետք է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իրականացվի գույքի տեղազննություն։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86. Գնահատում իրականացնելիս ենթադրությունները և հատուկ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ենթադրու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7306B">
        <w:rPr>
          <w:rFonts w:ascii="GHEA Mariam" w:hAnsi="GHEA Mariam" w:cs="Arial"/>
          <w:spacing w:val="-8"/>
          <w:sz w:val="24"/>
          <w:szCs w:val="24"/>
          <w:lang w:val="hy-AM"/>
        </w:rPr>
        <w:t xml:space="preserve">թյունները պետք է իրականացնել </w:t>
      </w:r>
      <w:r w:rsidR="0077306B" w:rsidRPr="0077306B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77306B">
        <w:rPr>
          <w:rFonts w:ascii="GHEA Mariam" w:hAnsi="GHEA Mariam" w:cs="Arial"/>
          <w:spacing w:val="-8"/>
          <w:sz w:val="24"/>
          <w:szCs w:val="24"/>
          <w:lang w:val="hy-AM"/>
        </w:rPr>
        <w:t>նդհանուր ստանդարտի 30-րդ կետով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սահմանված դրույթներին համապատասխան: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87. Հանրության գերակա շահերի ապահովման նպատակով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սեփականության </w:t>
      </w:r>
      <w:r w:rsidRPr="0077306B">
        <w:rPr>
          <w:rFonts w:ascii="GHEA Mariam" w:hAnsi="GHEA Mariam" w:cs="Arial"/>
          <w:spacing w:val="-8"/>
          <w:sz w:val="24"/>
          <w:szCs w:val="24"/>
          <w:lang w:val="hy-AM"/>
        </w:rPr>
        <w:t>օտարման դեպքում գնահատ</w:t>
      </w:r>
      <w:r w:rsidR="0077306B" w:rsidRPr="0077306B">
        <w:rPr>
          <w:rFonts w:ascii="GHEA Mariam" w:hAnsi="GHEA Mariam" w:cs="Arial"/>
          <w:spacing w:val="-8"/>
          <w:sz w:val="24"/>
          <w:szCs w:val="24"/>
          <w:lang w:val="hy-AM"/>
        </w:rPr>
        <w:t>ման համար պետք է կիրառվեն ը</w:t>
      </w:r>
      <w:r w:rsidRPr="0077306B">
        <w:rPr>
          <w:rFonts w:ascii="GHEA Mariam" w:hAnsi="GHEA Mariam" w:cs="Arial"/>
          <w:spacing w:val="-8"/>
          <w:sz w:val="24"/>
          <w:szCs w:val="24"/>
          <w:lang w:val="hy-AM"/>
        </w:rPr>
        <w:t>նդհանուր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ստանդարտի 32-րդ կետով սահմանված հիմնական մոտեցումները և մեթոդները: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>88. Հանրության գերակա շահերի ապահովման նպատակով սեփակա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62BB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62BB">
        <w:rPr>
          <w:rFonts w:ascii="GHEA Mariam" w:hAnsi="GHEA Mariam" w:cs="Arial"/>
          <w:sz w:val="24"/>
          <w:szCs w:val="24"/>
          <w:lang w:val="hy-AM"/>
        </w:rPr>
        <w:t>թյան օտարման դեպքում համեմատական մոտեցմամբ անշարժ գույքի գնահատ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ման համար անհրաժեշտ է պահպանել սույն հավելվածի 24-33-րդ կետերով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սահմանված պահանջները, բացառությամբ վթարային բազմաբնակարան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բնակելի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շենքերի, որոնց դեպքում բնակելի տարածք հանդիսացող գույքի (առանց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հողամասի) արժեքը որոշվում է նույն տարածագնահատման գոտում գտնվող համանման ոչ վթարային գույքի արժեքը 30 տոկոսով նվազեցնելով: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89. Հանրության գերակա շահերի ապահովման նպատակով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սեփականության օտարման դեպքում եկամտային մոտեցմամբ անշարժ գույքի գնահատման համար անհրաժեշտ է պահպանել սույն հավելվածի 34-38-րդ կետերով սահմանված պահանջները: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90. Հանրության գերակա շահերի ապահովման նպատակով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սեփականության օտարման դեպքում ծախսային մոտեցմամբ անշարժ գույքի գնահատման համար անհրաժեշտ է պահպանել սույն հավելվածի 39-47-րդ կետերով սահմանված պահանջները: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91. Հանրության գերակա շահերի ապահովման նպատակով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սեփականության օտարման դեպքում ծախսային մոտեցմամբ գնահատման ժամանակ հողամասերը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պետք է դիտարկել որպես չկառուցապատված (ազատ) հողամաս առանց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բարելավում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62BB">
        <w:rPr>
          <w:rFonts w:ascii="GHEA Mariam" w:hAnsi="GHEA Mariam" w:cs="Arial"/>
          <w:sz w:val="24"/>
          <w:szCs w:val="24"/>
          <w:lang w:val="hy-AM"/>
        </w:rPr>
        <w:t>ների, իսկ հողամասում առկա շենք-շինությունները, ծառերը և մշակաբույսերը պետք է գնահատվեն առանձին:</w:t>
      </w:r>
      <w:r w:rsidRPr="00D762BB">
        <w:rPr>
          <w:rFonts w:ascii="GHEA Mariam" w:hAnsi="GHEA Mariam"/>
          <w:lang w:val="hy-AM"/>
        </w:rPr>
        <w:t xml:space="preserve"> 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Հանրության գերակա շահերի ապահովման նպատակով սեփականության օտարման դեպքում օտարվող սեփականության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շուկայական արժեքը որոշելիս հաշվի չեն առնվում (չեն գնահատվում)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Հայաստանի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Հանրապետության օրենսդրությամբ սահմանված կարգով չհաշվառված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ինքնակամ շենքերը կամ շինությունները: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>92. Ծախսային մոտեցմամբ հողամասում առկա շենք-շինությունների գնա</w:t>
      </w:r>
      <w:r w:rsidR="0077306B">
        <w:rPr>
          <w:rFonts w:ascii="GHEA Mariam" w:hAnsi="GHEA Mariam" w:cs="Arial"/>
          <w:sz w:val="24"/>
          <w:szCs w:val="24"/>
          <w:lang w:val="hy-AM"/>
        </w:rPr>
        <w:softHyphen/>
      </w:r>
      <w:r w:rsidRPr="00D762BB">
        <w:rPr>
          <w:rFonts w:ascii="GHEA Mariam" w:hAnsi="GHEA Mariam" w:cs="Arial"/>
          <w:sz w:val="24"/>
          <w:szCs w:val="24"/>
          <w:lang w:val="hy-AM"/>
        </w:rPr>
        <w:t>հատումը պետք է իրականացվի սույն հավելվածի 45-47</w:t>
      </w:r>
      <w:r w:rsidR="0077306B">
        <w:rPr>
          <w:rFonts w:ascii="GHEA Mariam" w:hAnsi="GHEA Mariam" w:cs="Arial"/>
          <w:sz w:val="24"/>
          <w:szCs w:val="24"/>
          <w:lang w:val="hy-AM"/>
        </w:rPr>
        <w:t>-րդ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կետերի համաձայն: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 xml:space="preserve">93. Ծախսային մոտեցմամբ հողամասում առկա ծառերի և մշակաբույսերի գնահատումը պետք է իրականացվի հաշվի առնելով դրանց բերքատվությունը,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փայտանյութ համարվող ծառերի դեպքում փայտի որակը և ծավալը, իսկ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դեկորատիվ </w:t>
      </w:r>
      <w:r w:rsidRPr="0077306B">
        <w:rPr>
          <w:rFonts w:ascii="GHEA Mariam" w:hAnsi="GHEA Mariam" w:cs="Arial"/>
          <w:spacing w:val="-8"/>
          <w:sz w:val="24"/>
          <w:szCs w:val="24"/>
          <w:lang w:val="hy-AM"/>
        </w:rPr>
        <w:t>ծառերի դեպքում (տվյալ վիճակում) դրանց շուկայական արժեքը</w:t>
      </w:r>
      <w:r w:rsidR="0077306B" w:rsidRPr="0077306B">
        <w:rPr>
          <w:rFonts w:ascii="GHEA Mariam" w:hAnsi="GHEA Mariam" w:cs="Arial"/>
          <w:spacing w:val="-8"/>
          <w:sz w:val="24"/>
          <w:szCs w:val="24"/>
          <w:lang w:val="hy-AM"/>
        </w:rPr>
        <w:t>,</w:t>
      </w:r>
      <w:r w:rsidR="0077306B">
        <w:rPr>
          <w:rFonts w:ascii="GHEA Mariam" w:hAnsi="GHEA Mariam" w:cs="Arial"/>
          <w:sz w:val="24"/>
          <w:szCs w:val="24"/>
          <w:lang w:val="hy-AM"/>
        </w:rPr>
        <w:t xml:space="preserve"> մասնավորապես՝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 xml:space="preserve">1) պտղատու ծառերը պետք է գնահատվեն այգետնկման տարիքի հիման վրա: Պտղատու ծառերի (թփերի) դիմաց շուկայական արժեքը որոշվում է դրա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պահպանման և սպասարկման համար անհրաժեշտ ծախսերի և տվյալ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ծառատեսակի (թփատեսակի) մեկ տարվա բերքի փոխհատուցման համար որոշվող շուկայական արժեքի հանրագումարի հիման վրա, որը բազմապատկվում է այն տարիների քանակով, որոնք անցել են ծառի տնկումից սկսած: Ծառատեսակի (թփատեսակի) շուկայական արժեքը որոշելու համար հաշվարկվող տարիների քանակը չի կարող լինել ավելի քան դրանց բերքատվության համար նախատեսված կենսաբանական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(վեգետացիոն) ժամանակաշրջանը: Գնահատման համար անհրաժեշտ են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հետևյալ </w:t>
      </w:r>
      <w:r w:rsidRPr="0077306B">
        <w:rPr>
          <w:rFonts w:ascii="GHEA Mariam" w:hAnsi="GHEA Mariam" w:cs="Arial"/>
          <w:spacing w:val="-8"/>
          <w:sz w:val="24"/>
          <w:szCs w:val="24"/>
          <w:lang w:val="hy-AM"/>
        </w:rPr>
        <w:t>ելակետային տվյալները՝ ծառատեսակ</w:t>
      </w:r>
      <w:r w:rsidR="0077306B" w:rsidRPr="0077306B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77306B">
        <w:rPr>
          <w:rFonts w:ascii="GHEA Mariam" w:hAnsi="GHEA Mariam" w:cs="Arial"/>
          <w:spacing w:val="-8"/>
          <w:sz w:val="24"/>
          <w:szCs w:val="24"/>
          <w:lang w:val="hy-AM"/>
        </w:rPr>
        <w:t>, ծառի տարիք</w:t>
      </w:r>
      <w:r w:rsidR="0077306B" w:rsidRPr="0077306B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77306B">
        <w:rPr>
          <w:rFonts w:ascii="GHEA Mariam" w:hAnsi="GHEA Mariam" w:cs="Arial"/>
          <w:spacing w:val="-8"/>
          <w:sz w:val="24"/>
          <w:szCs w:val="24"/>
          <w:lang w:val="hy-AM"/>
        </w:rPr>
        <w:t>: Պտղատու ծառերի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(թփերի) վրա կատարված ներդրման արժեքի որոշման համար պետք է որոշվի տնկիների շուկայական արժեքը՝ Հայաստանի Հանրապետությունում տնկիների շուկայական միջին գների հիման վրա, իսկ ներմուծված տեսակների դեպքում՝ ներմուծման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արժեքի հիման վրա: Սահմանված ծառատեսակի տնկիի գինը որոշելուց հետո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պետք է հաշվարկվ</w:t>
      </w:r>
      <w:r w:rsidR="0077306B">
        <w:rPr>
          <w:rFonts w:ascii="GHEA Mariam" w:hAnsi="GHEA Mariam" w:cs="Arial"/>
          <w:sz w:val="24"/>
          <w:szCs w:val="24"/>
          <w:lang w:val="hy-AM"/>
        </w:rPr>
        <w:t>են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պտղատու ծառի պահպանման համար անհրաժեշտ տարեկան ծախսերը, որպես այդ տարածքում ընդունված ծախսերի համագումար: Պտղատու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ծառերը գնահատելիս պետք է հաշվի առնել (ուսումնասիրել) հետևյալ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գործոնները՝ ծառի տարիք</w:t>
      </w:r>
      <w:r w:rsidR="0077306B">
        <w:rPr>
          <w:rFonts w:ascii="GHEA Mariam" w:hAnsi="GHEA Mariam" w:cs="Arial"/>
          <w:sz w:val="24"/>
          <w:szCs w:val="24"/>
          <w:lang w:val="hy-AM"/>
        </w:rPr>
        <w:t>ը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(ոչ ավել</w:t>
      </w:r>
      <w:r w:rsidR="0077306B">
        <w:rPr>
          <w:rFonts w:ascii="GHEA Mariam" w:hAnsi="GHEA Mariam" w:cs="Arial"/>
          <w:sz w:val="24"/>
          <w:szCs w:val="24"/>
          <w:lang w:val="hy-AM"/>
        </w:rPr>
        <w:t>ի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քան ծառի բերք տալու տարիք</w:t>
      </w:r>
      <w:r w:rsidR="0077306B">
        <w:rPr>
          <w:rFonts w:ascii="GHEA Mariam" w:hAnsi="GHEA Mariam" w:cs="Arial"/>
          <w:sz w:val="24"/>
          <w:szCs w:val="24"/>
          <w:lang w:val="hy-AM"/>
        </w:rPr>
        <w:t>ը</w:t>
      </w:r>
      <w:r w:rsidRPr="00D762BB">
        <w:rPr>
          <w:rFonts w:ascii="GHEA Mariam" w:hAnsi="GHEA Mariam" w:cs="Arial"/>
          <w:sz w:val="24"/>
          <w:szCs w:val="24"/>
          <w:lang w:val="hy-AM"/>
        </w:rPr>
        <w:t>), մեկ տարվա բերքի միջինացված շուկայական արժեք</w:t>
      </w:r>
      <w:r w:rsidR="0077306B">
        <w:rPr>
          <w:rFonts w:ascii="GHEA Mariam" w:hAnsi="GHEA Mariam" w:cs="Arial"/>
          <w:sz w:val="24"/>
          <w:szCs w:val="24"/>
          <w:lang w:val="hy-AM"/>
        </w:rPr>
        <w:t>ը</w:t>
      </w:r>
      <w:r w:rsidRPr="00D762BB">
        <w:rPr>
          <w:rFonts w:ascii="GHEA Mariam" w:hAnsi="GHEA Mariam" w:cs="Arial"/>
          <w:sz w:val="24"/>
          <w:szCs w:val="24"/>
          <w:lang w:val="hy-AM"/>
        </w:rPr>
        <w:t>, կատարված ներդրման արժեք</w:t>
      </w:r>
      <w:r w:rsidR="0077306B">
        <w:rPr>
          <w:rFonts w:ascii="GHEA Mariam" w:hAnsi="GHEA Mariam" w:cs="Arial"/>
          <w:sz w:val="24"/>
          <w:szCs w:val="24"/>
          <w:lang w:val="hy-AM"/>
        </w:rPr>
        <w:t>ը.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2) փայտանյութ տվող ծառերը պետք է գնահատվեն ըստ տարիքի՝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փայտա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նյութի որակի ու ծավալի հիման վրա։ Փայտանյութ տվող ծառերը գնահատելիս </w:t>
      </w:r>
      <w:r w:rsidRPr="00D762BB">
        <w:rPr>
          <w:rFonts w:ascii="GHEA Mariam" w:hAnsi="GHEA Mariam" w:cs="Arial"/>
          <w:sz w:val="24"/>
          <w:szCs w:val="24"/>
          <w:lang w:val="hy-AM"/>
        </w:rPr>
        <w:lastRenderedPageBreak/>
        <w:t xml:space="preserve">պետք է հաշվի առնել (ուսումնասիրել) հետևյալ գործոնները`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ծառատեսակ</w:t>
      </w:r>
      <w:r w:rsidR="0077306B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, ծառի տրամագիծ</w:t>
      </w:r>
      <w:r w:rsidR="0077306B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, վերամշակման ենթակա բնի չափսեր</w:t>
      </w:r>
      <w:r w:rsidR="0077306B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: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Փայտանյութի շուկայական արժեքը պետք է սահմանվի գնահատման պահի դրությամբ Հայաստանի Հանրապետությունում փայտանյութի շուկայում առկա միջին արժեքի հիման վրա</w:t>
      </w:r>
      <w:r w:rsidR="0077306B">
        <w:rPr>
          <w:rFonts w:ascii="GHEA Mariam" w:hAnsi="GHEA Mariam" w:cs="Arial"/>
          <w:sz w:val="24"/>
          <w:szCs w:val="24"/>
          <w:lang w:val="hy-AM"/>
        </w:rPr>
        <w:t>.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>3) մշակաբույսերը գնահատվում են` հիմք ընդունելով մշակաբույսի տարեկան զուտ շուկայական արժեքը: Մշակաբույս</w:t>
      </w:r>
      <w:r w:rsidR="0077306B">
        <w:rPr>
          <w:rFonts w:ascii="GHEA Mariam" w:hAnsi="GHEA Mariam" w:cs="Arial"/>
          <w:sz w:val="24"/>
          <w:szCs w:val="24"/>
          <w:lang w:val="hy-AM"/>
        </w:rPr>
        <w:t>ը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գնահատելիս պետք է հաշվի առնել (ուսումնասիրել) հետևյալ գործոնները՝ մշակաբույսի շրջանը, մշակաբույսի տեսակը, բերքատվությունը, մշակաբույսի արժեքը, հողամասի մակերեսը, որի վրա գտնվում է գնահատվող մշակաբույսը: Մշակաբույսի մեկ տարվա եկամտի զուտ շուկայական արժեքը մշակաբույսից ստացվող մեկ տարվա բերքի շուկայական արժեքն է: Մեկ տարվա եկամտի զուտ շուկայական արժեքի որոշման համար պետք է որոշվի տվյալ մշակաբույսից ստացվող բերքի մեկ կիլոգրամի շուկայական արժեքը նվազեցնելով դրա պահպանման և սպասա</w:t>
      </w:r>
      <w:r w:rsidR="0077306B">
        <w:rPr>
          <w:rFonts w:ascii="GHEA Mariam" w:hAnsi="GHEA Mariam" w:cs="Arial"/>
          <w:sz w:val="24"/>
          <w:szCs w:val="24"/>
          <w:lang w:val="hy-AM"/>
        </w:rPr>
        <w:t>րկման համար իրականացված ծախսերը.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>4) դեկորատիվ ծառերը պետք է գնահատվեն ըստ ծառատեսակի տարիքի, տեսակի և ծառի բարձրության հիման վրա։ Դեկորատիվ ծառերը գնահատելիս պետք է հաշվի առնել (ուսումնասիրել) հետևյալ գործոնները` ծառատեսակ</w:t>
      </w:r>
      <w:r w:rsidR="0077306B">
        <w:rPr>
          <w:rFonts w:ascii="GHEA Mariam" w:hAnsi="GHEA Mariam" w:cs="Arial"/>
          <w:sz w:val="24"/>
          <w:szCs w:val="24"/>
          <w:lang w:val="hy-AM"/>
        </w:rPr>
        <w:t>ը</w:t>
      </w:r>
      <w:r w:rsidRPr="00D762BB">
        <w:rPr>
          <w:rFonts w:ascii="GHEA Mariam" w:hAnsi="GHEA Mariam" w:cs="Arial"/>
          <w:sz w:val="24"/>
          <w:szCs w:val="24"/>
          <w:lang w:val="hy-AM"/>
        </w:rPr>
        <w:t>, ծառի տարիք</w:t>
      </w:r>
      <w:r w:rsidR="0077306B">
        <w:rPr>
          <w:rFonts w:ascii="GHEA Mariam" w:hAnsi="GHEA Mariam" w:cs="Arial"/>
          <w:sz w:val="24"/>
          <w:szCs w:val="24"/>
          <w:lang w:val="hy-AM"/>
        </w:rPr>
        <w:t>ը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(այդ թվում</w:t>
      </w:r>
      <w:r w:rsidR="0077306B">
        <w:rPr>
          <w:rFonts w:ascii="GHEA Mariam" w:hAnsi="GHEA Mariam" w:cs="Arial"/>
          <w:sz w:val="24"/>
          <w:szCs w:val="24"/>
          <w:lang w:val="hy-AM"/>
        </w:rPr>
        <w:t>՝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մնացորդային տարիքը), ծառի բարձրություն</w:t>
      </w:r>
      <w:r w:rsidR="0077306B">
        <w:rPr>
          <w:rFonts w:ascii="GHEA Mariam" w:hAnsi="GHEA Mariam" w:cs="Arial"/>
          <w:sz w:val="24"/>
          <w:szCs w:val="24"/>
          <w:lang w:val="hy-AM"/>
        </w:rPr>
        <w:t>ը</w:t>
      </w:r>
      <w:r w:rsidRPr="00D762BB">
        <w:rPr>
          <w:rFonts w:ascii="GHEA Mariam" w:hAnsi="GHEA Mariam" w:cs="Arial"/>
          <w:sz w:val="24"/>
          <w:szCs w:val="24"/>
          <w:lang w:val="hy-AM"/>
        </w:rPr>
        <w:t>: Դեկորատիվ ծառերի շուկայական արժեքը պետք է սահմանվի գնահատման պահի դրությամբ Հայաստանի Հանրապետության շուկայում առկա նույնական ծառի միջին արժեքի հիման վրա: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>94. Բերքատվության միջինացված չափը և այլ գնագոյացման գործոնները որոշվում են՝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 xml:space="preserve">1) հիմք ընդունելով «Հանրային տեղեկությունների մասին» օրենքով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սահմանված տվյալների շտեմարաններում առկա տեղեկությունները,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վիճակագրական կոմիտեի հրապարակած տվյալները, ինչպես </w:t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նաև մասնագիտացված տեղեկագրերում ներառված համապատասխան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տվյալները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2) սույն կետի 1-ին ենթակետով նախատեսված տեղեկատվական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աղբյուր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62BB">
        <w:rPr>
          <w:rFonts w:ascii="GHEA Mariam" w:hAnsi="GHEA Mariam" w:cs="Arial"/>
          <w:spacing w:val="-8"/>
          <w:sz w:val="24"/>
          <w:szCs w:val="24"/>
          <w:lang w:val="hy-AM"/>
        </w:rPr>
        <w:t>ներում համապատասխան տեղեկությունների բացակայության դեպքում՝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պայմանագրային </w:t>
      </w:r>
      <w:r w:rsidRPr="00D762BB">
        <w:rPr>
          <w:rFonts w:ascii="GHEA Mariam" w:hAnsi="GHEA Mariam" w:cs="Arial"/>
          <w:sz w:val="24"/>
          <w:szCs w:val="24"/>
          <w:lang w:val="hy-AM"/>
        </w:rPr>
        <w:lastRenderedPageBreak/>
        <w:t>հիմունքներով գնահատման գործընթացում ներգրավված համապատասխան մասնագետի կողմից տրամադրված տվյալների հիման վրա։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>95. Գնահատման իրականացման համար պարտադիր պետք է կիրառվ</w:t>
      </w:r>
      <w:r w:rsidR="0077306B">
        <w:rPr>
          <w:rFonts w:ascii="GHEA Mariam" w:hAnsi="GHEA Mariam" w:cs="Arial"/>
          <w:sz w:val="24"/>
          <w:szCs w:val="24"/>
          <w:lang w:val="hy-AM"/>
        </w:rPr>
        <w:t>են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սույն որոշման</w:t>
      </w:r>
      <w:r w:rsidR="0077306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77306B" w:rsidRPr="0077306B">
        <w:rPr>
          <w:rFonts w:ascii="GHEA Mariam" w:hAnsi="GHEA Mariam" w:cs="Arial"/>
          <w:sz w:val="24"/>
          <w:szCs w:val="24"/>
          <w:lang w:val="hy-AM" w:eastAsia="en-US"/>
        </w:rPr>
        <w:t>N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1 հավելվածի 32-րդ կետով սահմանված բոլոր մոտեցումները, իսկ մեկ կամ երկու դասական մոտեցումների կիրառման անհնարինության դեպքում՝ դրանց չկիրառման հիմնավոր պատճառաբանությունը: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 xml:space="preserve">96. Այն դեպքերում, երբ գնահատման համար օգտագործվում </w:t>
      </w:r>
      <w:r w:rsidR="0077306B">
        <w:rPr>
          <w:rFonts w:ascii="GHEA Mariam" w:hAnsi="GHEA Mariam" w:cs="Arial"/>
          <w:sz w:val="24"/>
          <w:szCs w:val="24"/>
          <w:lang w:val="hy-AM"/>
        </w:rPr>
        <w:t>են</w:t>
      </w:r>
      <w:r w:rsidRPr="00D762BB">
        <w:rPr>
          <w:rFonts w:ascii="GHEA Mariam" w:hAnsi="GHEA Mariam" w:cs="Arial"/>
          <w:sz w:val="24"/>
          <w:szCs w:val="24"/>
          <w:lang w:val="hy-AM"/>
        </w:rPr>
        <w:t xml:space="preserve"> մեկից ավելի մոտեցումներ՝ ձևավորված շուկայական արժեք է ընդունվում մոտեցումների կիրառման արդյունքում ստացված առավել բարձր արժեքը:</w:t>
      </w:r>
      <w:r w:rsidRPr="00D762BB">
        <w:rPr>
          <w:rFonts w:ascii="GHEA Mariam" w:hAnsi="GHEA Mariam"/>
          <w:lang w:val="hy-AM"/>
        </w:rPr>
        <w:t xml:space="preserve"> </w:t>
      </w:r>
      <w:r w:rsidRPr="00D762BB">
        <w:rPr>
          <w:rFonts w:ascii="GHEA Mariam" w:hAnsi="GHEA Mariam" w:cs="Arial"/>
          <w:sz w:val="24"/>
          <w:szCs w:val="24"/>
          <w:lang w:val="hy-AM"/>
        </w:rPr>
        <w:t>Իսկ մեկ մոտեցման կիրառման դեպքում հիմք է ընդունվում դրա ձևավորված շուկայական արժեքը:»։</w:t>
      </w:r>
    </w:p>
    <w:p w:rsidR="00D762BB" w:rsidRPr="00D762BB" w:rsidRDefault="00D762BB" w:rsidP="00D762BB">
      <w:pPr>
        <w:shd w:val="clear" w:color="auto" w:fill="FFFFFF"/>
        <w:tabs>
          <w:tab w:val="left" w:pos="450"/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762BB">
        <w:rPr>
          <w:rFonts w:ascii="GHEA Mariam" w:hAnsi="GHEA Mariam" w:cs="Arial"/>
          <w:sz w:val="24"/>
          <w:szCs w:val="24"/>
          <w:lang w:val="hy-AM"/>
        </w:rPr>
        <w:t>4</w:t>
      </w:r>
      <w:r w:rsidR="0077306B">
        <w:rPr>
          <w:rFonts w:ascii="GHEA Mariam" w:hAnsi="GHEA Mariam" w:cs="Arial"/>
          <w:sz w:val="24"/>
          <w:szCs w:val="24"/>
          <w:lang w:val="hy-AM"/>
        </w:rPr>
        <w:t>.</w:t>
      </w:r>
      <w:r w:rsidRPr="00D762BB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D762BB">
        <w:rPr>
          <w:rFonts w:ascii="GHEA Mariam" w:hAnsi="GHEA Mariam" w:cs="Arial"/>
          <w:sz w:val="24"/>
          <w:szCs w:val="24"/>
          <w:lang w:val="hy-AM"/>
        </w:rPr>
        <w:t>Որոշման 1-ին կետի 4-րդ ենթակետով սահմանված N 4 հավելվածի 8-րդ կետու</w:t>
      </w:r>
      <w:r>
        <w:rPr>
          <w:rFonts w:ascii="GHEA Mariam" w:hAnsi="GHEA Mariam" w:cs="Arial"/>
          <w:sz w:val="24"/>
          <w:szCs w:val="24"/>
          <w:lang w:val="hy-AM"/>
        </w:rPr>
        <w:t>մ.</w:t>
      </w:r>
    </w:p>
    <w:p w:rsidR="00D762BB" w:rsidRPr="00D762BB" w:rsidRDefault="00D762BB" w:rsidP="00D762BB">
      <w:pPr>
        <w:pStyle w:val="ListParagraph"/>
        <w:numPr>
          <w:ilvl w:val="0"/>
          <w:numId w:val="2"/>
        </w:numPr>
        <w:shd w:val="clear" w:color="auto" w:fill="FFFFFF"/>
        <w:tabs>
          <w:tab w:val="left" w:pos="540"/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pacing w:val="-8"/>
          <w:sz w:val="24"/>
          <w:szCs w:val="24"/>
          <w:lang w:val="hy-AM"/>
        </w:rPr>
      </w:pPr>
      <w:r w:rsidRPr="00D762BB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 xml:space="preserve">5-րդ ենթակետում «։» կետադրական նշանը </w:t>
      </w:r>
      <w:r w:rsidR="0077306B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փոխարինել «,» կետադրական նշանով.</w:t>
      </w:r>
    </w:p>
    <w:p w:rsidR="00D762BB" w:rsidRPr="00D762BB" w:rsidRDefault="00D762BB" w:rsidP="00D762BB">
      <w:pPr>
        <w:pStyle w:val="ListParagraph"/>
        <w:numPr>
          <w:ilvl w:val="0"/>
          <w:numId w:val="2"/>
        </w:numPr>
        <w:shd w:val="clear" w:color="auto" w:fill="FFFFFF"/>
        <w:tabs>
          <w:tab w:val="left" w:pos="450"/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 xml:space="preserve">լրացնել </w:t>
      </w:r>
      <w:r w:rsidR="0077306B" w:rsidRPr="00D762BB">
        <w:rPr>
          <w:rFonts w:ascii="GHEA Mariam" w:eastAsia="Times New Roman" w:hAnsi="GHEA Mariam" w:cs="Arial"/>
          <w:sz w:val="24"/>
          <w:szCs w:val="24"/>
          <w:lang w:val="hy-AM"/>
        </w:rPr>
        <w:t xml:space="preserve">հետևյալ բովանդակությամբ </w:t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>նոր</w:t>
      </w:r>
      <w:r w:rsidR="0077306B">
        <w:rPr>
          <w:rFonts w:ascii="GHEA Mariam" w:eastAsia="Times New Roman" w:hAnsi="GHEA Mariam" w:cs="Arial"/>
          <w:sz w:val="24"/>
          <w:szCs w:val="24"/>
          <w:lang w:val="hy-AM"/>
        </w:rPr>
        <w:t>՝ 6-րդ ենթակետով.</w:t>
      </w:r>
    </w:p>
    <w:p w:rsidR="00D762BB" w:rsidRPr="00D762BB" w:rsidRDefault="00D762BB" w:rsidP="00D762BB">
      <w:pPr>
        <w:pStyle w:val="ListParagraph"/>
        <w:shd w:val="clear" w:color="auto" w:fill="FFFFFF"/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D762BB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«6) Հակամրցակցային վարքագծից զերծ մնալ. գնահատման</w:t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 xml:space="preserve"> գործունեության իրականացման ընթացքում չդրսևորել հակամրցակցային վարքագիծ, այդ թվում՝ այլ գնահատողների հետ չկնքել կամ ձեռք չբերել գնահատման ծառայությունների </w:t>
      </w:r>
      <w:r w:rsidRPr="00D762BB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արժեքի վերաբերյալ նախնական համաձայնություն, ինչպես նաև չկատարել</w:t>
      </w:r>
      <w:r w:rsidRPr="00D762BB">
        <w:rPr>
          <w:rFonts w:ascii="GHEA Mariam" w:eastAsia="Times New Roman" w:hAnsi="GHEA Mariam" w:cs="Arial"/>
          <w:sz w:val="24"/>
          <w:szCs w:val="24"/>
          <w:lang w:val="hy-AM"/>
        </w:rPr>
        <w:t xml:space="preserve"> այնպիսի գործողություններ, որոնք կարող են սահմանափակել կամ խաթարել ազատ և բարեխիղճ մրցակցությունը։»։</w:t>
      </w:r>
    </w:p>
    <w:p w:rsidR="00D762BB" w:rsidRPr="00D762BB" w:rsidRDefault="00D762BB" w:rsidP="00D762BB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762BB">
        <w:rPr>
          <w:rFonts w:ascii="GHEA Mariam" w:hAnsi="GHEA Mariam"/>
          <w:spacing w:val="-8"/>
          <w:sz w:val="24"/>
          <w:szCs w:val="24"/>
          <w:lang w:val="hy-AM"/>
        </w:rPr>
        <w:t>5. Սույն որոշումն ուժի մեջ է մտնում պաշտոնական հրապարակմանը</w:t>
      </w:r>
      <w:r w:rsidRPr="00D762BB">
        <w:rPr>
          <w:rFonts w:ascii="GHEA Mariam" w:hAnsi="GHEA Mariam"/>
          <w:sz w:val="24"/>
          <w:szCs w:val="24"/>
          <w:lang w:val="hy-AM"/>
        </w:rPr>
        <w:t xml:space="preserve"> հաջորդող օրվանից:</w:t>
      </w:r>
    </w:p>
    <w:p w:rsidR="00D762BB" w:rsidRPr="00D762BB" w:rsidRDefault="00D762B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2BB" w:rsidRPr="00D762BB" w:rsidRDefault="00D762BB" w:rsidP="00A71CED">
      <w:pPr>
        <w:jc w:val="center"/>
        <w:rPr>
          <w:rFonts w:ascii="GHEA Mariam" w:hAnsi="GHEA Mariam"/>
          <w:szCs w:val="24"/>
          <w:lang w:val="fr-FR"/>
        </w:rPr>
      </w:pPr>
    </w:p>
    <w:p w:rsidR="00D762BB" w:rsidRPr="000F4671" w:rsidRDefault="00D762B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2BB" w:rsidRPr="000F4671" w:rsidRDefault="00D762B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2BB" w:rsidRPr="000F4671" w:rsidRDefault="00D762B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D762BB" w:rsidRDefault="00D762BB" w:rsidP="00D762B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D762B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BA3" w:rsidRDefault="00033BA3">
      <w:r>
        <w:separator/>
      </w:r>
    </w:p>
  </w:endnote>
  <w:endnote w:type="continuationSeparator" w:id="0">
    <w:p w:rsidR="00033BA3" w:rsidRDefault="00033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762BB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BA3" w:rsidRDefault="00033BA3">
      <w:r>
        <w:separator/>
      </w:r>
    </w:p>
  </w:footnote>
  <w:footnote w:type="continuationSeparator" w:id="0">
    <w:p w:rsidR="00033BA3" w:rsidRDefault="00033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2CED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20307"/>
    <w:multiLevelType w:val="hybridMultilevel"/>
    <w:tmpl w:val="C338B4E6"/>
    <w:lvl w:ilvl="0" w:tplc="2F52C6F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2E97184A"/>
    <w:multiLevelType w:val="hybridMultilevel"/>
    <w:tmpl w:val="2A72DCEE"/>
    <w:lvl w:ilvl="0" w:tplc="04090011">
      <w:start w:val="1"/>
      <w:numFmt w:val="decimal"/>
      <w:lvlText w:val="%1)"/>
      <w:lvlJc w:val="left"/>
      <w:pPr>
        <w:ind w:left="983" w:hanging="360"/>
      </w:pPr>
    </w:lvl>
    <w:lvl w:ilvl="1" w:tplc="04090019" w:tentative="1">
      <w:start w:val="1"/>
      <w:numFmt w:val="lowerLetter"/>
      <w:lvlText w:val="%2."/>
      <w:lvlJc w:val="left"/>
      <w:pPr>
        <w:ind w:left="1703" w:hanging="360"/>
      </w:pPr>
    </w:lvl>
    <w:lvl w:ilvl="2" w:tplc="0409001B" w:tentative="1">
      <w:start w:val="1"/>
      <w:numFmt w:val="lowerRoman"/>
      <w:lvlText w:val="%3."/>
      <w:lvlJc w:val="right"/>
      <w:pPr>
        <w:ind w:left="2423" w:hanging="180"/>
      </w:pPr>
    </w:lvl>
    <w:lvl w:ilvl="3" w:tplc="0409000F" w:tentative="1">
      <w:start w:val="1"/>
      <w:numFmt w:val="decimal"/>
      <w:lvlText w:val="%4."/>
      <w:lvlJc w:val="left"/>
      <w:pPr>
        <w:ind w:left="3143" w:hanging="360"/>
      </w:pPr>
    </w:lvl>
    <w:lvl w:ilvl="4" w:tplc="04090019" w:tentative="1">
      <w:start w:val="1"/>
      <w:numFmt w:val="lowerLetter"/>
      <w:lvlText w:val="%5."/>
      <w:lvlJc w:val="left"/>
      <w:pPr>
        <w:ind w:left="3863" w:hanging="360"/>
      </w:pPr>
    </w:lvl>
    <w:lvl w:ilvl="5" w:tplc="0409001B" w:tentative="1">
      <w:start w:val="1"/>
      <w:numFmt w:val="lowerRoman"/>
      <w:lvlText w:val="%6."/>
      <w:lvlJc w:val="right"/>
      <w:pPr>
        <w:ind w:left="4583" w:hanging="180"/>
      </w:pPr>
    </w:lvl>
    <w:lvl w:ilvl="6" w:tplc="0409000F" w:tentative="1">
      <w:start w:val="1"/>
      <w:numFmt w:val="decimal"/>
      <w:lvlText w:val="%7."/>
      <w:lvlJc w:val="left"/>
      <w:pPr>
        <w:ind w:left="5303" w:hanging="360"/>
      </w:pPr>
    </w:lvl>
    <w:lvl w:ilvl="7" w:tplc="04090019" w:tentative="1">
      <w:start w:val="1"/>
      <w:numFmt w:val="lowerLetter"/>
      <w:lvlText w:val="%8."/>
      <w:lvlJc w:val="left"/>
      <w:pPr>
        <w:ind w:left="6023" w:hanging="360"/>
      </w:pPr>
    </w:lvl>
    <w:lvl w:ilvl="8" w:tplc="0409001B" w:tentative="1">
      <w:start w:val="1"/>
      <w:numFmt w:val="lowerRoman"/>
      <w:lvlText w:val="%9."/>
      <w:lvlJc w:val="right"/>
      <w:pPr>
        <w:ind w:left="67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2B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BA3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9AA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38DB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06B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399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CED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2BB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2DB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80FA00"/>
  <w15:chartTrackingRefBased/>
  <w15:docId w15:val="{938A7060-5516-471C-8D5F-73612BD3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762B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2B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2B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762B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762BB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1415</Words>
  <Characters>8068</Characters>
  <Application>Microsoft Office Word</Application>
  <DocSecurity>0</DocSecurity>
  <Lines>67</Lines>
  <Paragraphs>18</Paragraphs>
  <ScaleCrop>false</ScaleCrop>
  <Company/>
  <LinksUpToDate>false</LinksUpToDate>
  <CharactersWithSpaces>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2026-06-29T06:49:00Z</dcterms:created>
  <dcterms:modified xsi:type="dcterms:W3CDTF">2026-06-30T12:57:00Z</dcterms:modified>
</cp:coreProperties>
</file>