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C1B9F" w14:textId="77777777" w:rsidR="009454DF" w:rsidRPr="007C5A78" w:rsidRDefault="009454DF" w:rsidP="007C5A78">
      <w:pPr>
        <w:spacing w:line="360" w:lineRule="auto"/>
        <w:ind w:firstLine="720"/>
        <w:jc w:val="center"/>
        <w:rPr>
          <w:rFonts w:ascii="GHEA Grapalat" w:hAnsi="GHEA Grapalat"/>
          <w:b/>
          <w:sz w:val="24"/>
          <w:szCs w:val="24"/>
          <w:lang w:val="hy-AM"/>
        </w:rPr>
      </w:pPr>
      <w:r w:rsidRPr="007C5A78">
        <w:rPr>
          <w:rFonts w:ascii="GHEA Grapalat" w:hAnsi="GHEA Grapalat"/>
          <w:b/>
          <w:sz w:val="24"/>
          <w:szCs w:val="24"/>
          <w:lang w:val="hy-AM"/>
        </w:rPr>
        <w:t>ՀԻՄՆԱՎՈՐՈՒՄ</w:t>
      </w:r>
    </w:p>
    <w:p w14:paraId="21BC752F" w14:textId="77777777" w:rsidR="009454DF" w:rsidRPr="007C5A78" w:rsidRDefault="009454DF" w:rsidP="007C5A78">
      <w:pPr>
        <w:shd w:val="clear" w:color="auto" w:fill="FFFFFF"/>
        <w:spacing w:before="100" w:beforeAutospacing="1" w:after="0" w:line="360" w:lineRule="auto"/>
        <w:ind w:firstLine="709"/>
        <w:jc w:val="center"/>
        <w:rPr>
          <w:rFonts w:ascii="GHEA Grapalat" w:eastAsia="Times New Roman" w:hAnsi="GHEA Grapalat" w:cs="Times New Roman"/>
          <w:b/>
          <w:sz w:val="24"/>
          <w:szCs w:val="24"/>
          <w:lang w:val="hy-AM" w:eastAsia="en-GB"/>
        </w:rPr>
      </w:pPr>
      <w:r w:rsidRPr="007C5A78">
        <w:rPr>
          <w:rFonts w:ascii="GHEA Grapalat" w:eastAsia="Times New Roman" w:hAnsi="GHEA Grapalat" w:cs="Times New Roman"/>
          <w:b/>
          <w:sz w:val="24"/>
          <w:szCs w:val="24"/>
          <w:lang w:val="hy-AM" w:eastAsia="en-GB"/>
        </w:rPr>
        <w:t>ՀԱՅԱՍՏԱՆԻ ՀԱՆՐԱՊԵՏՈՒԹՅՈՒՆԻՑ ԱՐՏԱՀԱՆՄԱՆ ԵՎ ՀԱՅԱՍՏԱՆԻ ՀԱՆՐԱՊԵՏՈՒԹՅՈՒՆ ՆԵՐՄՈՒԾՄԱՆ ՀԱՄԱՐ ԱՐԳԵԼՎԱԾ ՍՆԴԻԿԻ ՀԱՎԵԼԻՉՈՎ ԱՐՏԱԴՐԱՆՔԻ ՑԱՆԿԸ</w:t>
      </w:r>
      <w:r w:rsidRPr="007C5A78">
        <w:rPr>
          <w:rFonts w:ascii="Calibri" w:eastAsia="Times New Roman" w:hAnsi="Calibri" w:cs="Calibri"/>
          <w:b/>
          <w:sz w:val="24"/>
          <w:szCs w:val="24"/>
          <w:lang w:val="hy-AM" w:eastAsia="en-GB"/>
        </w:rPr>
        <w:t> </w:t>
      </w:r>
      <w:r w:rsidRPr="007C5A78">
        <w:rPr>
          <w:rFonts w:ascii="GHEA Grapalat" w:eastAsia="Times New Roman" w:hAnsi="GHEA Grapalat" w:cs="Times New Roman"/>
          <w:b/>
          <w:sz w:val="24"/>
          <w:szCs w:val="24"/>
          <w:lang w:val="hy-AM" w:eastAsia="en-GB"/>
        </w:rPr>
        <w:t xml:space="preserve">ՍԱՀՄԱՆԵԼՈՒ ՄԱՍԻՆ </w:t>
      </w:r>
    </w:p>
    <w:p w14:paraId="55E85E6B" w14:textId="77777777" w:rsidR="009454DF" w:rsidRPr="007C5A78" w:rsidRDefault="009454DF" w:rsidP="007C5A78">
      <w:pPr>
        <w:spacing w:after="0" w:line="360" w:lineRule="auto"/>
        <w:jc w:val="center"/>
        <w:rPr>
          <w:rFonts w:ascii="GHEA Grapalat" w:hAnsi="GHEA Grapalat"/>
          <w:b/>
          <w:sz w:val="24"/>
          <w:szCs w:val="24"/>
          <w:lang w:val="hy-AM"/>
        </w:rPr>
      </w:pPr>
      <w:r w:rsidRPr="007C5A78">
        <w:rPr>
          <w:rFonts w:ascii="GHEA Grapalat" w:hAnsi="GHEA Grapalat"/>
          <w:b/>
          <w:sz w:val="24"/>
          <w:szCs w:val="24"/>
          <w:lang w:val="hy-AM"/>
        </w:rPr>
        <w:t>ԿԱՌԱՎԱՐՈՒԹՅԱՆ ՈՐՈՇՄԱՆ ԸՆԴՈՒՆՄԱՆ</w:t>
      </w:r>
    </w:p>
    <w:p w14:paraId="4E7B209D" w14:textId="77777777" w:rsidR="009454DF" w:rsidRPr="007C5A78" w:rsidRDefault="009454DF" w:rsidP="007C5A78">
      <w:pPr>
        <w:spacing w:after="0" w:line="360" w:lineRule="auto"/>
        <w:jc w:val="center"/>
        <w:rPr>
          <w:rFonts w:ascii="GHEA Grapalat" w:hAnsi="GHEA Grapalat"/>
          <w:b/>
          <w:sz w:val="24"/>
          <w:szCs w:val="24"/>
          <w:lang w:val="hy-AM"/>
        </w:rPr>
      </w:pPr>
    </w:p>
    <w:p w14:paraId="649EF688" w14:textId="77777777" w:rsidR="009454DF" w:rsidRPr="007C5A78" w:rsidRDefault="009454DF" w:rsidP="007C5A78">
      <w:pPr>
        <w:spacing w:after="0" w:line="360" w:lineRule="auto"/>
        <w:ind w:firstLine="450"/>
        <w:jc w:val="both"/>
        <w:rPr>
          <w:rFonts w:ascii="GHEA Grapalat" w:eastAsia="Times New Roman" w:hAnsi="GHEA Grapalat" w:cs="Sylfaen"/>
          <w:b/>
          <w:bCs/>
          <w:noProof/>
          <w:spacing w:val="10"/>
          <w:sz w:val="24"/>
          <w:szCs w:val="24"/>
          <w:lang w:val="hy-AM"/>
        </w:rPr>
      </w:pPr>
      <w:r w:rsidRPr="007C5A78">
        <w:rPr>
          <w:rFonts w:ascii="GHEA Grapalat" w:eastAsia="Times New Roman" w:hAnsi="GHEA Grapalat" w:cs="Sylfaen"/>
          <w:b/>
          <w:bCs/>
          <w:noProof/>
          <w:spacing w:val="10"/>
          <w:sz w:val="24"/>
          <w:szCs w:val="24"/>
          <w:lang w:val="hy-AM"/>
        </w:rPr>
        <w:t>1. Ընթացիկ իրավիճակը և իրավական ակտի ընդունման  անհրաժեշտությունը</w:t>
      </w:r>
    </w:p>
    <w:p w14:paraId="2EEA6A12" w14:textId="77777777" w:rsidR="007C5A78" w:rsidRPr="007C5A78" w:rsidRDefault="009454DF" w:rsidP="007C5A78">
      <w:pPr>
        <w:spacing w:after="0" w:line="360" w:lineRule="auto"/>
        <w:ind w:firstLine="540"/>
        <w:jc w:val="both"/>
        <w:rPr>
          <w:rFonts w:ascii="GHEA Grapalat" w:hAnsi="GHEA Grapalat"/>
          <w:sz w:val="24"/>
          <w:szCs w:val="24"/>
          <w:lang w:val="hy-AM"/>
        </w:rPr>
      </w:pPr>
      <w:r w:rsidRPr="007C5A78">
        <w:rPr>
          <w:rFonts w:ascii="GHEA Grapalat" w:hAnsi="GHEA Grapalat"/>
          <w:sz w:val="24"/>
          <w:szCs w:val="24"/>
          <w:lang w:val="hy-AM"/>
        </w:rPr>
        <w:t>Հայաստանի Հանրապետությունից արտահանման և Հայաստանի Հանրապետություն ներմուծման համար արգելված սնդիկի հավելիչով արտադրանքի ցանկը սահմանելու մասին կառավարության որոշման նախագծի (այսուհետ՝ Նախագծի) մշակումը պայմանավորված է «Սնդիկի մասին» 2022 թվականի մարտի 23-ի ՀՕ-84-Ն օրենքի 4-րդ հոդվածի   1-ին մասի 1-ին կետի պահանջով։ «Սնդիկի մասին» օրենքն ընդունվել է Հայաստանի Հանրապետության կողմից 2017 թվականին վավերացված «Սնդիկի վերաբերյալ» Մինամատայի կոնվենցիայով (այսուհետ՝ Կոնվենցիա) ստանձնած պարտավորությունների կատարումն ապահովելու նպատակով:</w:t>
      </w:r>
    </w:p>
    <w:p w14:paraId="4F7C87D6" w14:textId="0378087E" w:rsidR="009454DF" w:rsidRPr="007C5A78" w:rsidRDefault="009454DF" w:rsidP="007C5A78">
      <w:pPr>
        <w:spacing w:after="0" w:line="360" w:lineRule="auto"/>
        <w:ind w:firstLine="540"/>
        <w:jc w:val="both"/>
        <w:rPr>
          <w:rFonts w:ascii="GHEA Grapalat" w:hAnsi="GHEA Grapalat"/>
          <w:sz w:val="24"/>
          <w:szCs w:val="24"/>
          <w:lang w:val="hy-AM"/>
        </w:rPr>
      </w:pPr>
      <w:r w:rsidRPr="007C5A78">
        <w:rPr>
          <w:rFonts w:ascii="GHEA Grapalat" w:hAnsi="GHEA Grapalat"/>
          <w:sz w:val="24"/>
          <w:szCs w:val="24"/>
          <w:lang w:val="hy-AM"/>
        </w:rPr>
        <w:t>Նախագծի նպատակը մարդու առողջության և շրջակա միջավայրի պահպանումն է սնդիկի և սնդիկի միացությունների մարդածին ազդեցություններից, քանի որ վերջիններս խիստ թունավոր են և վնասակար մարդու առողջության, վայրի բնության և էկոհամակարգերի համար։ Սնդիկի ներթափանցումը մարդու օրգանիզմ հաճախ տեղի է ունենում դրա գոլորշիների ներշնչման ժամանակ, որոնք հոտ չունեն։ Սնդիկի նույնիսկ փոքր քանակների ազդեցության հետևանքով կարող են առաջանալ առողջական խնդիրներ և ծանր թունավորում։ Սնդիկը թունավոր ազդեցություն է թողնում նյարդային, մարսողական և իմունային համակարգերի, թոքերի, երիկամների, մաշկի և աչքերի վրա։</w:t>
      </w:r>
    </w:p>
    <w:p w14:paraId="777403FE" w14:textId="77777777"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t>Սնդիկը և դրա միացությունները հատկապես վտանգավոր են հղի կանանց համար, քանի որ սպառնում են պտղի բնականոն զարգացմանը։ Սնդիկով պայմանավորված սուր թունավորումները կարող են հանգեցնել մահվան։ Առողջապահության համաշխարհային կազմակերպությունը սնդիկը դիտարկում է այն տասը հիմնական քիմիական նյութերի կամ միացությունների շարքում, որոնք զգալի մտահոգություն են առաջացնում հանրային առողջության համար:</w:t>
      </w:r>
    </w:p>
    <w:p w14:paraId="38CA0CA7" w14:textId="77777777"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lastRenderedPageBreak/>
        <w:t xml:space="preserve">Ի կատարումն Կոնվենցիայով ստանձնած պարտավորությունների, 2020 թվականից հետո Կոնվենցիան վավերացրած երկրները՝ Կոնվենցիայի 4-րդ հոդվածի համաձայն, արգելում են Կոնվենցիայի Ա հավելվածի I մասում թվարկված սնդիկի հավելիչով արտադրանքի արտադրությունը, ներկրումը կամ արտահանումը: </w:t>
      </w:r>
    </w:p>
    <w:p w14:paraId="3A54335E" w14:textId="77777777"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t>Օրենքի 4-րդ հոդվածի 1-ին մասի 1-ին կետի համաձայն՝ Կառավարությունը սահմանում է սնդիկի հավելիչով արտադրանքի ցանկը, որոնց արտահանումը Հայաստանի Հանրապետությունից և ներմուծումը Հայաստանի Հանրապետություն արգելվում է։</w:t>
      </w:r>
    </w:p>
    <w:p w14:paraId="4B4368AD" w14:textId="77777777"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t xml:space="preserve">Շրջակա միջավայրի նախարարության կողմից 2019 թվականից սկսած «Սնդիկի վերաբերյալ» Մինամատայի կոնվենցիայով Հայաստանի Հանրապետության ստանձնած պարտավորությունների կատարման անհրաժեշտության վերաբերյալ իրազեկության բարձրացման նպատակով իրականացվել են մի շարք միջոցառումներ (աշխատանքային քննարկումներ, սեմինարներ)՝ նվիրված սնդիկի հավելիչով արտադրանքի շրջանառությունից փուլային դուրսբերմանը։ </w:t>
      </w:r>
    </w:p>
    <w:p w14:paraId="74139248" w14:textId="77777777"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t xml:space="preserve">«Սնդիկի մասին» օրենքով սահմանված է Հայաստանի Հանրապետությունում սնդիկի հավելիչով ապրանքների արտադրության արգելք։ Հայաստանի Հանրապետությունում սնդիկ պարունակող արտադրանքի հիմնական շրջանառությունն իրականացվում է արտաքին առևտրի իրականացման (ապրանքների ներմուծման) արդյունքում, ուստի շրջանառությունից դրանց փուլային դուրսբերման նպատակով մշակվել է ներմուծման և արտահանման համար արգելված սնդիկի հավելիչով արտադրանքի ցանկը սահմանող նորմատիվ իրավական ակտի նախագիծ։ </w:t>
      </w:r>
    </w:p>
    <w:p w14:paraId="2DDFC167" w14:textId="77777777"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t xml:space="preserve">Կոնվենցիայի Ա հավելվածի I մասում թվարկված արտադրանքից որոշները հանդիսանում են ԵԱՏՄ և ՀՀ տեխնիկական կանոնակարգման օրենսդրության համաձայն՝ տեխնիկական կանոնակարգման օբյեկտ։ Այդ արտադրանքը շուկայահանման դեպքում (ներառյալ՝ ներմուծումը) պետք է ուղեկցվի տեխնիկական կանոնակարգերին արտադրանքի համապատասխանության գնահատման փաստաթղթերով, ինչը տվյալ պարագայում կհավաստի նաև արտադրանքում սնդիկի բացակայությունը կամ քանակության թույլատրելի մակարդակը չգերազանցելը։   Համաձայն «Եվրասիական տնտեսական միության մասին» պայմանագրի 53-րդ հոդվածի 2-րդ մասի՝ այն արտադրանքը, որի մասով ուժի մեջ է մտել Միության տեխնիկական կանոնակարգ, Միության տարածքում շրջանառության (ներառյալ՝ ներմուծումը և արտահանումը) մեջ է դրվում պայմանով, որ այն անցել է Միության </w:t>
      </w:r>
      <w:r w:rsidRPr="007C5A78">
        <w:rPr>
          <w:rFonts w:ascii="GHEA Grapalat" w:hAnsi="GHEA Grapalat"/>
          <w:sz w:val="24"/>
          <w:szCs w:val="24"/>
          <w:lang w:val="hy-AM"/>
        </w:rPr>
        <w:lastRenderedPageBreak/>
        <w:t>տեխնիկական կանոնակարգով  սահմանված համապատասխանության գնահատման անհրաժեշտ ընթացակարգերը։ Անդամ պետություններն իրենց տարածքում ապահովում են Միության տեխնիկական կանոնակարգի պահանջներին համապատասխանող արտադրանքի շրջանառությունը՝ առանց ներկայացնելու Միության տեխնիկական կանոնակարգում ներառված՝ այդ արտադրանքին ներկայացվող պահանջներից բացի լրացուցիչ պահանջներ և առանց իրականացնելու համապատասխանության գնահատման լրացուցիչ ընթացակարգեր։</w:t>
      </w:r>
    </w:p>
    <w:p w14:paraId="7C0B5FF6" w14:textId="77777777"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t>Սույն Նախագծի հավելվածի ցանկում ներառված ապրանքների ներմուծման և արտահանման արգելքը վեց ամիս ժամկետով սահմանելը պայմանավորված է հետևյալ հանգամանքով.</w:t>
      </w:r>
    </w:p>
    <w:p w14:paraId="5B6D4E83" w14:textId="77777777"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t>Եվրասիական տնտեսական միության շրջանակներում ոչ սակագնային կարգավորման միջոց</w:t>
      </w:r>
      <w:r w:rsidRPr="007C5A78">
        <w:rPr>
          <w:rFonts w:ascii="GHEA Grapalat" w:hAnsi="GHEA Grapalat"/>
          <w:sz w:val="24"/>
          <w:szCs w:val="24"/>
          <w:lang w:val="hy-AM"/>
        </w:rPr>
        <w:softHyphen/>
        <w:t>ների կիրառման հետ կապված հարա</w:t>
      </w:r>
      <w:r w:rsidRPr="007C5A78">
        <w:rPr>
          <w:rFonts w:ascii="GHEA Grapalat" w:hAnsi="GHEA Grapalat"/>
          <w:sz w:val="24"/>
          <w:szCs w:val="24"/>
          <w:lang w:val="hy-AM"/>
        </w:rPr>
        <w:softHyphen/>
        <w:t>բե</w:t>
      </w:r>
      <w:r w:rsidRPr="007C5A78">
        <w:rPr>
          <w:rFonts w:ascii="GHEA Grapalat" w:hAnsi="GHEA Grapalat"/>
          <w:sz w:val="24"/>
          <w:szCs w:val="24"/>
          <w:lang w:val="hy-AM"/>
        </w:rPr>
        <w:softHyphen/>
        <w:t>րու</w:t>
      </w:r>
      <w:r w:rsidRPr="007C5A78">
        <w:rPr>
          <w:rFonts w:ascii="GHEA Grapalat" w:hAnsi="GHEA Grapalat"/>
          <w:sz w:val="24"/>
          <w:szCs w:val="24"/>
          <w:lang w:val="hy-AM"/>
        </w:rPr>
        <w:softHyphen/>
      </w:r>
      <w:r w:rsidRPr="007C5A78">
        <w:rPr>
          <w:rFonts w:ascii="GHEA Grapalat" w:hAnsi="GHEA Grapalat"/>
          <w:sz w:val="24"/>
          <w:szCs w:val="24"/>
          <w:lang w:val="hy-AM"/>
        </w:rPr>
        <w:softHyphen/>
      </w:r>
      <w:r w:rsidRPr="007C5A78">
        <w:rPr>
          <w:rFonts w:ascii="GHEA Grapalat" w:hAnsi="GHEA Grapalat"/>
          <w:sz w:val="24"/>
          <w:szCs w:val="24"/>
          <w:lang w:val="hy-AM"/>
        </w:rPr>
        <w:softHyphen/>
        <w:t>թյունները միասնական են և սահմանվում են «Եվրասիական տնտեսական միության մասին» 2014 թվականի մայիսի 29-ի պայմանագրի (այսուհետ՝ Պայմանագիր) 7-րդ հավելվա</w:t>
      </w:r>
      <w:r w:rsidRPr="007C5A78">
        <w:rPr>
          <w:rFonts w:ascii="GHEA Grapalat" w:hAnsi="GHEA Grapalat"/>
          <w:sz w:val="24"/>
          <w:szCs w:val="24"/>
          <w:lang w:val="hy-AM"/>
        </w:rPr>
        <w:softHyphen/>
        <w:t>ծին համապատասխան: Պայմանագրի 29-րդ հոդվածի 1-ին մասի համաձայն՝ ապրանքների փոխա</w:t>
      </w:r>
      <w:r w:rsidRPr="007C5A78">
        <w:rPr>
          <w:rFonts w:ascii="GHEA Grapalat" w:hAnsi="GHEA Grapalat"/>
          <w:sz w:val="24"/>
          <w:szCs w:val="24"/>
          <w:lang w:val="hy-AM"/>
        </w:rPr>
        <w:softHyphen/>
        <w:t>դարձ առևտրում Եվրասիական տնտեսական միության անդամ պետու</w:t>
      </w:r>
      <w:r w:rsidRPr="007C5A78">
        <w:rPr>
          <w:rFonts w:ascii="GHEA Grapalat" w:hAnsi="GHEA Grapalat"/>
          <w:sz w:val="24"/>
          <w:szCs w:val="24"/>
          <w:lang w:val="hy-AM"/>
        </w:rPr>
        <w:softHyphen/>
        <w:t>թյուններն իրա</w:t>
      </w:r>
      <w:r w:rsidRPr="007C5A78">
        <w:rPr>
          <w:rFonts w:ascii="GHEA Grapalat" w:hAnsi="GHEA Grapalat"/>
          <w:sz w:val="24"/>
          <w:szCs w:val="24"/>
          <w:lang w:val="hy-AM"/>
        </w:rPr>
        <w:softHyphen/>
      </w:r>
      <w:r w:rsidRPr="007C5A78">
        <w:rPr>
          <w:rFonts w:ascii="GHEA Grapalat" w:hAnsi="GHEA Grapalat"/>
          <w:sz w:val="24"/>
          <w:szCs w:val="24"/>
          <w:lang w:val="hy-AM"/>
        </w:rPr>
        <w:softHyphen/>
        <w:t>վունք ունեն կիրառելու սահմանափակումներ, եթե այդ սահ</w:t>
      </w:r>
      <w:r w:rsidRPr="007C5A78">
        <w:rPr>
          <w:rFonts w:ascii="GHEA Grapalat" w:hAnsi="GHEA Grapalat"/>
          <w:sz w:val="24"/>
          <w:szCs w:val="24"/>
          <w:lang w:val="hy-AM"/>
        </w:rPr>
        <w:softHyphen/>
        <w:t>մա</w:t>
      </w:r>
      <w:r w:rsidRPr="007C5A78">
        <w:rPr>
          <w:rFonts w:ascii="GHEA Grapalat" w:hAnsi="GHEA Grapalat"/>
          <w:sz w:val="24"/>
          <w:szCs w:val="24"/>
          <w:lang w:val="hy-AM"/>
        </w:rPr>
        <w:softHyphen/>
        <w:t>նափակումներն անհրաժեշտ են  մարդու կյանքի և առողջության պահ</w:t>
      </w:r>
      <w:r w:rsidRPr="007C5A78">
        <w:rPr>
          <w:rFonts w:ascii="GHEA Grapalat" w:hAnsi="GHEA Grapalat"/>
          <w:sz w:val="24"/>
          <w:szCs w:val="24"/>
          <w:lang w:val="hy-AM"/>
        </w:rPr>
        <w:softHyphen/>
        <w:t>պանման,</w:t>
      </w:r>
      <w:r w:rsidRPr="007C5A78">
        <w:rPr>
          <w:rFonts w:ascii="Calibri" w:hAnsi="Calibri" w:cs="Calibri"/>
          <w:sz w:val="24"/>
          <w:szCs w:val="24"/>
          <w:lang w:val="hy-AM"/>
        </w:rPr>
        <w:t> </w:t>
      </w:r>
      <w:r w:rsidRPr="007C5A78">
        <w:rPr>
          <w:rFonts w:ascii="GHEA Grapalat" w:hAnsi="GHEA Grapalat"/>
          <w:sz w:val="24"/>
          <w:szCs w:val="24"/>
          <w:lang w:val="hy-AM"/>
        </w:rPr>
        <w:t>շրջակա միջավայրի պահպանության, կենդանիների և բույսերի պաշտ</w:t>
      </w:r>
      <w:r w:rsidRPr="007C5A78">
        <w:rPr>
          <w:rFonts w:ascii="GHEA Grapalat" w:hAnsi="GHEA Grapalat"/>
          <w:sz w:val="24"/>
          <w:szCs w:val="24"/>
          <w:lang w:val="hy-AM"/>
        </w:rPr>
        <w:softHyphen/>
        <w:t>պանության, միջազ</w:t>
      </w:r>
      <w:r w:rsidRPr="007C5A78">
        <w:rPr>
          <w:rFonts w:ascii="GHEA Grapalat" w:hAnsi="GHEA Grapalat"/>
          <w:sz w:val="24"/>
          <w:szCs w:val="24"/>
          <w:lang w:val="hy-AM"/>
        </w:rPr>
        <w:softHyphen/>
        <w:t>գա</w:t>
      </w:r>
      <w:r w:rsidRPr="007C5A78">
        <w:rPr>
          <w:rFonts w:ascii="GHEA Grapalat" w:hAnsi="GHEA Grapalat"/>
          <w:sz w:val="24"/>
          <w:szCs w:val="24"/>
          <w:lang w:val="hy-AM"/>
        </w:rPr>
        <w:softHyphen/>
        <w:t>յին պարտավորությունների կատարման համար։ Պայմանագրի 47-րդ հոդվածի համաձայն՝ անդամ պետությունները երրորդ երկրների հետ առևտրում կարող են միակողմանիորեն ներմուծել և կիրառել ոչ սակագնային կարգավորման միջոցներ՝ Պայմանագրի 7-րդ հավելվածով սահմանված կարգով: Պայմանագրի 7-րդ հավելվածով սահմանված երրորդ երկրների առնչու</w:t>
      </w:r>
      <w:r w:rsidRPr="007C5A78">
        <w:rPr>
          <w:rFonts w:ascii="GHEA Grapalat" w:hAnsi="GHEA Grapalat"/>
          <w:sz w:val="24"/>
          <w:szCs w:val="24"/>
          <w:lang w:val="hy-AM"/>
        </w:rPr>
        <w:softHyphen/>
        <w:t>թյամբ ոչ սակագնային կարգավորման միջոցների մասին արձանագրության (այսուհետ՝ Արձանագրություն) 4-րդ կետի համաձայն՝ ոչ սակագնային կարգավորման միջոց</w:t>
      </w:r>
      <w:r w:rsidRPr="007C5A78">
        <w:rPr>
          <w:rFonts w:ascii="GHEA Grapalat" w:hAnsi="GHEA Grapalat"/>
          <w:sz w:val="24"/>
          <w:szCs w:val="24"/>
          <w:lang w:val="hy-AM"/>
        </w:rPr>
        <w:softHyphen/>
        <w:t>ների սահման</w:t>
      </w:r>
      <w:r w:rsidRPr="007C5A78">
        <w:rPr>
          <w:rFonts w:ascii="GHEA Grapalat" w:hAnsi="GHEA Grapalat"/>
          <w:sz w:val="24"/>
          <w:szCs w:val="24"/>
          <w:lang w:val="hy-AM"/>
        </w:rPr>
        <w:softHyphen/>
        <w:t>ման, կիրառման, երկարաձգման և վերացման մասին որոշումներն ընդուն</w:t>
      </w:r>
      <w:r w:rsidRPr="007C5A78">
        <w:rPr>
          <w:rFonts w:ascii="GHEA Grapalat" w:hAnsi="GHEA Grapalat"/>
          <w:sz w:val="24"/>
          <w:szCs w:val="24"/>
          <w:lang w:val="hy-AM"/>
        </w:rPr>
        <w:softHyphen/>
        <w:t>վում են Եվրա</w:t>
      </w:r>
      <w:r w:rsidRPr="007C5A78">
        <w:rPr>
          <w:rFonts w:ascii="GHEA Grapalat" w:hAnsi="GHEA Grapalat"/>
          <w:sz w:val="24"/>
          <w:szCs w:val="24"/>
          <w:lang w:val="hy-AM"/>
        </w:rPr>
        <w:softHyphen/>
        <w:t>սիական տնտեսական հանձնաժողովի կողմից: Արձանագրության 50-րդ կետի համաձայն՝ բացառիկ դեպքերում Արձանագրության VII և VIII բաժիններով նախատեսված հիմքերով, անդամ պետու</w:t>
      </w:r>
      <w:r w:rsidRPr="007C5A78">
        <w:rPr>
          <w:rFonts w:ascii="GHEA Grapalat" w:hAnsi="GHEA Grapalat"/>
          <w:sz w:val="24"/>
          <w:szCs w:val="24"/>
          <w:lang w:val="hy-AM"/>
        </w:rPr>
        <w:softHyphen/>
        <w:t xml:space="preserve">թյունները երրորդ երկրների հետ առևտրում կարող են միակողմանիորեն սահմանել ժամանակավոր միջոցներ,  իսկ 51-րդ կետի համաձայն Ժամանակավոր միջոց սահմանող անդամ պետությունը Եվրասիական </w:t>
      </w:r>
      <w:r w:rsidRPr="007C5A78">
        <w:rPr>
          <w:rFonts w:ascii="GHEA Grapalat" w:hAnsi="GHEA Grapalat"/>
          <w:sz w:val="24"/>
          <w:szCs w:val="24"/>
          <w:lang w:val="hy-AM"/>
        </w:rPr>
        <w:lastRenderedPageBreak/>
        <w:t>տնտեսական հանձնաժողովին ծանուցում է դրա մասին և ԵԱՏՄ մաքսային տարածքում այդ միջոցի սահմանման վերաբերյալ առաջարկ է ներկայացնում։ Արձանագրության 54-րդ կետի համաձայն՝ եթե Միության մաքսային տարածքում ժամա</w:t>
      </w:r>
      <w:r w:rsidRPr="007C5A78">
        <w:rPr>
          <w:rFonts w:ascii="GHEA Grapalat" w:hAnsi="GHEA Grapalat"/>
          <w:sz w:val="24"/>
          <w:szCs w:val="24"/>
          <w:lang w:val="hy-AM"/>
        </w:rPr>
        <w:softHyphen/>
        <w:t>նակավոր միջոց սահմանելու մասին որոշում չի ընդունվում, ապա Եվրասիական տնտե</w:t>
      </w:r>
      <w:r w:rsidRPr="007C5A78">
        <w:rPr>
          <w:rFonts w:ascii="GHEA Grapalat" w:hAnsi="GHEA Grapalat"/>
          <w:sz w:val="24"/>
          <w:szCs w:val="24"/>
          <w:lang w:val="hy-AM"/>
        </w:rPr>
        <w:softHyphen/>
        <w:t>սական հանձնաժողովը ժամանակավոր միջոցը սահմանած անդամ պետությանը և անդամ պետությունների մաքսային մարմիններին տեղեկացնում է, որ ժամանակավոր միջոցը գործում է այն սահմանելու օրվանից հետո՝ առավելագույնը վեց ամսվա ընթացքում։</w:t>
      </w:r>
    </w:p>
    <w:p w14:paraId="0B69D208" w14:textId="77777777" w:rsidR="009454DF" w:rsidRPr="007C5A78" w:rsidRDefault="009454DF" w:rsidP="007C5A78">
      <w:pPr>
        <w:spacing w:after="0" w:line="360" w:lineRule="auto"/>
        <w:ind w:firstLine="567"/>
        <w:jc w:val="both"/>
        <w:rPr>
          <w:rFonts w:ascii="GHEA Grapalat" w:eastAsia="Calibri" w:hAnsi="GHEA Grapalat" w:cs="Times New Roman"/>
          <w:sz w:val="24"/>
          <w:szCs w:val="24"/>
          <w:lang w:val="hy-AM"/>
        </w:rPr>
      </w:pPr>
      <w:r w:rsidRPr="007C5A78">
        <w:rPr>
          <w:rFonts w:ascii="GHEA Grapalat" w:eastAsia="Calibri" w:hAnsi="GHEA Grapalat" w:cs="Times New Roman"/>
          <w:sz w:val="24"/>
          <w:szCs w:val="24"/>
          <w:lang w:val="hy-AM"/>
        </w:rPr>
        <w:t>«Սնդիկի վերաբերյալ» Մինամատայի կոնվենցիան ստորագրել են 128 պետություններ, այդ թվում ԵԱՏՄ անդամ պետություններից՝ Ռուսաստանի Դաշնությունը և Բելառուսի Հանրապետությունը, իսկ վավերացրել են այդ երկրներից դեռևս  90-ը, պարտավորվելով սահմանափակել  սնդիկ պարունակող ապրանքների արտադրությունը, ներմուծումը և արտահանումը, ինչպես նաև արգելել սնդիկ պարունակող հանքանյութի արդյունահանումը, եթե  օգտակար հանածո հանդիսանում է սնդիկը։</w:t>
      </w:r>
    </w:p>
    <w:p w14:paraId="75AB3998" w14:textId="77777777"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eastAsia="Calibri" w:hAnsi="GHEA Grapalat" w:cs="Times New Roman"/>
          <w:sz w:val="24"/>
          <w:szCs w:val="24"/>
          <w:lang w:val="hy-AM"/>
        </w:rPr>
        <w:t>Բազմաթիվ երկրներ դադարեցնելով սնդիկ պարունակող ապրանքների արտադրությունը անցում են կատարել այդ ապրանքների սնդիկ չպարունակող այլընտրանքների արտադրությանը և կիրառմանը,  մասնավորապես՝</w:t>
      </w:r>
    </w:p>
    <w:p w14:paraId="44CD815E" w14:textId="77777777" w:rsidR="009454DF" w:rsidRPr="007C5A78" w:rsidRDefault="009454DF" w:rsidP="007C5A78">
      <w:pPr>
        <w:pStyle w:val="ListParagraph"/>
        <w:numPr>
          <w:ilvl w:val="0"/>
          <w:numId w:val="2"/>
        </w:numPr>
        <w:spacing w:after="0" w:line="360" w:lineRule="auto"/>
        <w:jc w:val="both"/>
        <w:rPr>
          <w:rFonts w:ascii="GHEA Grapalat" w:hAnsi="GHEA Grapalat"/>
          <w:sz w:val="24"/>
          <w:szCs w:val="24"/>
          <w:lang w:val="hy-AM"/>
        </w:rPr>
      </w:pPr>
      <w:r w:rsidRPr="007C5A78">
        <w:rPr>
          <w:rFonts w:ascii="GHEA Grapalat" w:hAnsi="GHEA Grapalat"/>
          <w:sz w:val="24"/>
          <w:szCs w:val="24"/>
          <w:lang w:val="hy-AM"/>
        </w:rPr>
        <w:t>սնդիկ պարունակող առաջնային տարրերի և մարտկոցների փոխարեն արտադրվում և օգտագործվում են նիկել-կադմիումային, նիկել-մետաղահիդրիդային, լիթիումային կամ լիթիում-իոնային, ալկալիական՝ ցինկ-մանգանային մարտկոցները, դրանց մեծ մասի վրա առկա է սնդիկ չպարունակելու վերաբերյալ մակնշումը։</w:t>
      </w:r>
    </w:p>
    <w:p w14:paraId="1AE8C473" w14:textId="77777777" w:rsidR="009454DF" w:rsidRPr="007C5A78" w:rsidRDefault="009454DF" w:rsidP="007C5A78">
      <w:pPr>
        <w:pStyle w:val="ListParagraph"/>
        <w:numPr>
          <w:ilvl w:val="0"/>
          <w:numId w:val="2"/>
        </w:numPr>
        <w:spacing w:after="0" w:line="360" w:lineRule="auto"/>
        <w:jc w:val="both"/>
        <w:rPr>
          <w:rFonts w:ascii="GHEA Grapalat" w:hAnsi="GHEA Grapalat"/>
          <w:sz w:val="24"/>
          <w:szCs w:val="24"/>
          <w:lang w:val="hy-AM"/>
        </w:rPr>
      </w:pPr>
      <w:r w:rsidRPr="007C5A78">
        <w:rPr>
          <w:rFonts w:ascii="GHEA Grapalat" w:hAnsi="GHEA Grapalat"/>
          <w:sz w:val="24"/>
          <w:szCs w:val="24"/>
          <w:lang w:val="hy-AM"/>
        </w:rPr>
        <w:t>սնդիկային  (այդ թվում՝ գոլորշու տեսքով) պարունակող ընդհանուր լուսավորության լամպերի (այդ թվում՝ լյումինեսցենտային, նատրիումային)  փոխարեն լայն կիրառում ունեն լուսադիոդային լամպերը։</w:t>
      </w:r>
    </w:p>
    <w:p w14:paraId="6EC52653" w14:textId="77777777" w:rsidR="009454DF" w:rsidRPr="007C5A78" w:rsidRDefault="009454DF" w:rsidP="007C5A78">
      <w:pPr>
        <w:pStyle w:val="ListParagraph"/>
        <w:numPr>
          <w:ilvl w:val="0"/>
          <w:numId w:val="2"/>
        </w:numPr>
        <w:spacing w:after="0" w:line="360" w:lineRule="auto"/>
        <w:jc w:val="both"/>
        <w:rPr>
          <w:rFonts w:ascii="GHEA Grapalat" w:hAnsi="GHEA Grapalat" w:cs="Arial"/>
          <w:bCs/>
          <w:sz w:val="24"/>
          <w:szCs w:val="24"/>
          <w:lang w:val="hy-AM"/>
        </w:rPr>
      </w:pPr>
      <w:r w:rsidRPr="007C5A78">
        <w:rPr>
          <w:rFonts w:ascii="GHEA Grapalat" w:hAnsi="GHEA Grapalat" w:cs="Arial"/>
          <w:sz w:val="24"/>
          <w:szCs w:val="24"/>
          <w:lang w:val="hy-AM"/>
        </w:rPr>
        <w:t>Սնդիկի</w:t>
      </w:r>
      <w:r w:rsidRPr="007C5A78">
        <w:rPr>
          <w:rFonts w:ascii="GHEA Grapalat" w:hAnsi="GHEA Grapalat"/>
          <w:sz w:val="24"/>
          <w:szCs w:val="24"/>
          <w:lang w:val="hy-AM"/>
        </w:rPr>
        <w:t xml:space="preserve"> </w:t>
      </w:r>
      <w:r w:rsidRPr="007C5A78">
        <w:rPr>
          <w:rFonts w:ascii="GHEA Grapalat" w:hAnsi="GHEA Grapalat" w:cs="Arial"/>
          <w:sz w:val="24"/>
          <w:szCs w:val="24"/>
          <w:lang w:val="hy-AM"/>
        </w:rPr>
        <w:t>միացություններ</w:t>
      </w:r>
      <w:r w:rsidRPr="007C5A78">
        <w:rPr>
          <w:rFonts w:ascii="GHEA Grapalat" w:hAnsi="GHEA Grapalat"/>
          <w:sz w:val="24"/>
          <w:szCs w:val="24"/>
          <w:lang w:val="hy-AM"/>
        </w:rPr>
        <w:t xml:space="preserve">, </w:t>
      </w:r>
      <w:r w:rsidRPr="007C5A78">
        <w:rPr>
          <w:rFonts w:ascii="GHEA Grapalat" w:hAnsi="GHEA Grapalat" w:cs="Arial"/>
          <w:sz w:val="24"/>
          <w:szCs w:val="24"/>
          <w:lang w:val="hy-AM"/>
        </w:rPr>
        <w:t>այդ</w:t>
      </w:r>
      <w:r w:rsidRPr="007C5A78">
        <w:rPr>
          <w:rFonts w:ascii="GHEA Grapalat" w:hAnsi="GHEA Grapalat"/>
          <w:sz w:val="24"/>
          <w:szCs w:val="24"/>
          <w:lang w:val="hy-AM"/>
        </w:rPr>
        <w:t xml:space="preserve"> </w:t>
      </w:r>
      <w:r w:rsidRPr="007C5A78">
        <w:rPr>
          <w:rFonts w:ascii="GHEA Grapalat" w:hAnsi="GHEA Grapalat" w:cs="Arial"/>
          <w:sz w:val="24"/>
          <w:szCs w:val="24"/>
          <w:lang w:val="hy-AM"/>
        </w:rPr>
        <w:t>թվում</w:t>
      </w:r>
      <w:r w:rsidRPr="007C5A78">
        <w:rPr>
          <w:rFonts w:ascii="GHEA Grapalat" w:hAnsi="GHEA Grapalat"/>
          <w:sz w:val="24"/>
          <w:szCs w:val="24"/>
          <w:lang w:val="hy-AM"/>
        </w:rPr>
        <w:t xml:space="preserve">` </w:t>
      </w:r>
      <w:r w:rsidRPr="007C5A78">
        <w:rPr>
          <w:rFonts w:ascii="GHEA Grapalat" w:hAnsi="GHEA Grapalat" w:cs="Arial"/>
          <w:sz w:val="24"/>
          <w:szCs w:val="24"/>
          <w:lang w:val="hy-AM"/>
        </w:rPr>
        <w:t>սնդիկի</w:t>
      </w:r>
      <w:r w:rsidRPr="007C5A78">
        <w:rPr>
          <w:rFonts w:ascii="GHEA Grapalat" w:hAnsi="GHEA Grapalat"/>
          <w:sz w:val="24"/>
          <w:szCs w:val="24"/>
          <w:lang w:val="hy-AM"/>
        </w:rPr>
        <w:t xml:space="preserve"> </w:t>
      </w:r>
      <w:r w:rsidRPr="007C5A78">
        <w:rPr>
          <w:rFonts w:ascii="GHEA Grapalat" w:hAnsi="GHEA Grapalat" w:cs="Arial"/>
          <w:sz w:val="24"/>
          <w:szCs w:val="24"/>
          <w:lang w:val="hy-AM"/>
        </w:rPr>
        <w:t>անօրգանական</w:t>
      </w:r>
      <w:r w:rsidRPr="007C5A78">
        <w:rPr>
          <w:rFonts w:ascii="GHEA Grapalat" w:hAnsi="GHEA Grapalat"/>
          <w:sz w:val="24"/>
          <w:szCs w:val="24"/>
          <w:lang w:val="hy-AM"/>
        </w:rPr>
        <w:t xml:space="preserve"> </w:t>
      </w:r>
      <w:r w:rsidRPr="007C5A78">
        <w:rPr>
          <w:rFonts w:ascii="GHEA Grapalat" w:hAnsi="GHEA Grapalat" w:cs="Arial"/>
          <w:sz w:val="24"/>
          <w:szCs w:val="24"/>
          <w:lang w:val="hy-AM"/>
        </w:rPr>
        <w:t>միացություններ</w:t>
      </w:r>
      <w:r w:rsidRPr="007C5A78">
        <w:rPr>
          <w:rFonts w:ascii="GHEA Grapalat" w:hAnsi="GHEA Grapalat"/>
          <w:sz w:val="24"/>
          <w:szCs w:val="24"/>
          <w:lang w:val="hy-AM"/>
        </w:rPr>
        <w:t xml:space="preserve">, </w:t>
      </w:r>
      <w:r w:rsidRPr="007C5A78">
        <w:rPr>
          <w:rFonts w:ascii="GHEA Grapalat" w:hAnsi="GHEA Grapalat" w:cs="Arial"/>
          <w:sz w:val="24"/>
          <w:szCs w:val="24"/>
          <w:lang w:val="hy-AM"/>
        </w:rPr>
        <w:t xml:space="preserve">պարունակող պեստիցիդները </w:t>
      </w:r>
      <w:r w:rsidRPr="007C5A78">
        <w:rPr>
          <w:rFonts w:ascii="GHEA Grapalat" w:hAnsi="GHEA Grapalat" w:cs="Arial"/>
          <w:bCs/>
          <w:sz w:val="24"/>
          <w:szCs w:val="24"/>
          <w:lang w:val="hy-AM"/>
        </w:rPr>
        <w:t xml:space="preserve">ՀՀ կառավարության 2005 թվականի  մարտի 17-ի «Միավորված ազգերի կազմակերպության «Միջազգային առևտրում առանձին վտանգավոր քիմիական նյութերի և պեստիցիդների վերաբերյալ նախնական հիմնավորված համաձայնության ընթացակարգի մասին» Ռոտերդամի կոնվենցիայով կարգավորման ենթակա` Հայաստանի Հանրապետությունում արգելված քիմիական նյութերի և թունաքիմիկատների ցանկը հաստատելու մասին» N293-Ն  որոշման </w:t>
      </w:r>
      <w:r w:rsidRPr="007C5A78">
        <w:rPr>
          <w:rFonts w:ascii="GHEA Grapalat" w:hAnsi="GHEA Grapalat" w:cs="Arial"/>
          <w:bCs/>
          <w:sz w:val="24"/>
          <w:szCs w:val="24"/>
          <w:lang w:val="hy-AM"/>
        </w:rPr>
        <w:lastRenderedPageBreak/>
        <w:t>համաձայն ՀՀ-ում արգելված են, ուստի դրանք չեն կարող պետական գրանցում ստանալ, հետևաբար նաև ներմուծվել և շուկայահանվել ՀՀ տարածք։ ՀՀ-ում պետական գրանցում ստանում, ներմուծվում և օգտագործվում են սնդիկ չպարունակող բազմաթիվ թունաքիմիկատներ։</w:t>
      </w:r>
    </w:p>
    <w:p w14:paraId="1C5C20FC" w14:textId="77777777" w:rsidR="009454DF" w:rsidRPr="007C5A78" w:rsidRDefault="009454DF" w:rsidP="007C5A78">
      <w:pPr>
        <w:pStyle w:val="ListParagraph"/>
        <w:numPr>
          <w:ilvl w:val="0"/>
          <w:numId w:val="2"/>
        </w:numPr>
        <w:spacing w:after="0" w:line="360" w:lineRule="auto"/>
        <w:jc w:val="both"/>
        <w:rPr>
          <w:rFonts w:ascii="GHEA Grapalat" w:hAnsi="GHEA Grapalat"/>
          <w:sz w:val="24"/>
          <w:szCs w:val="24"/>
          <w:lang w:val="hy-AM"/>
        </w:rPr>
      </w:pPr>
      <w:r w:rsidRPr="007C5A78">
        <w:rPr>
          <w:rFonts w:ascii="GHEA Grapalat" w:hAnsi="GHEA Grapalat"/>
          <w:sz w:val="24"/>
          <w:szCs w:val="24"/>
          <w:lang w:val="hy-AM"/>
        </w:rPr>
        <w:t xml:space="preserve">Սնդիկային ջերմաչափերի փոխարեն օգտագործվում են՝ էլեկտրոնային ջերմաչափեր, ինֆրակարմիր ճառագայթով աշխատող (անհպում)  ջերմաչափեր, ինչպես նաև հեղուկ նյութերով (սպիրտով, գալիում-ինդիում-անագ համաձուլվածքով) աշխատող ջերմաչափեր։ </w:t>
      </w:r>
    </w:p>
    <w:p w14:paraId="156A2D81" w14:textId="77777777" w:rsidR="009454DF" w:rsidRPr="007C5A78" w:rsidRDefault="009454DF" w:rsidP="007C5A78">
      <w:pPr>
        <w:pStyle w:val="ListParagraph"/>
        <w:numPr>
          <w:ilvl w:val="0"/>
          <w:numId w:val="2"/>
        </w:numPr>
        <w:spacing w:after="0" w:line="360" w:lineRule="auto"/>
        <w:jc w:val="both"/>
        <w:rPr>
          <w:rFonts w:ascii="GHEA Grapalat" w:hAnsi="GHEA Grapalat" w:cs="Sylfaen"/>
          <w:b/>
          <w:sz w:val="24"/>
          <w:szCs w:val="24"/>
          <w:lang w:val="hy-AM"/>
        </w:rPr>
      </w:pPr>
      <w:r w:rsidRPr="007C5A78">
        <w:rPr>
          <w:rFonts w:ascii="GHEA Grapalat" w:hAnsi="GHEA Grapalat"/>
          <w:sz w:val="24"/>
          <w:szCs w:val="24"/>
          <w:lang w:val="hy-AM"/>
        </w:rPr>
        <w:t>Սնդիկային, ոչ էլեկտրոնային չափման միջոցների (</w:t>
      </w:r>
      <w:r w:rsidRPr="007C5A78">
        <w:rPr>
          <w:rFonts w:ascii="GHEA Grapalat" w:hAnsi="GHEA Grapalat" w:cs="Arial"/>
          <w:sz w:val="24"/>
          <w:szCs w:val="24"/>
          <w:shd w:val="clear" w:color="auto" w:fill="FFFFFF"/>
          <w:lang w:val="hy-AM"/>
        </w:rPr>
        <w:t xml:space="preserve">սարքերի)՝ </w:t>
      </w:r>
      <w:r w:rsidRPr="007C5A78">
        <w:rPr>
          <w:rFonts w:ascii="GHEA Grapalat" w:hAnsi="GHEA Grapalat"/>
          <w:sz w:val="24"/>
          <w:szCs w:val="24"/>
          <w:lang w:val="hy-AM"/>
        </w:rPr>
        <w:t>բարոմետրեր (</w:t>
      </w:r>
      <w:r w:rsidRPr="007C5A78">
        <w:rPr>
          <w:rFonts w:ascii="GHEA Grapalat" w:hAnsi="GHEA Grapalat" w:cs="Arial"/>
          <w:sz w:val="24"/>
          <w:szCs w:val="24"/>
          <w:shd w:val="clear" w:color="auto" w:fill="FFFFFF"/>
          <w:lang w:val="hy-AM"/>
        </w:rPr>
        <w:t>մթնոլորտային ճնշումը չափելու սարք)</w:t>
      </w:r>
      <w:r w:rsidRPr="007C5A78">
        <w:rPr>
          <w:rFonts w:ascii="GHEA Grapalat" w:hAnsi="GHEA Grapalat"/>
          <w:sz w:val="24"/>
          <w:szCs w:val="24"/>
          <w:lang w:val="hy-AM"/>
        </w:rPr>
        <w:t>, հիգրոմետրեր (</w:t>
      </w:r>
      <w:r w:rsidRPr="007C5A78">
        <w:rPr>
          <w:rFonts w:ascii="GHEA Grapalat" w:hAnsi="GHEA Grapalat" w:cs="Arial"/>
          <w:sz w:val="24"/>
          <w:szCs w:val="24"/>
          <w:shd w:val="clear" w:color="auto" w:fill="FFFFFF"/>
          <w:lang w:val="hy-AM"/>
        </w:rPr>
        <w:t>մթնոլորտային օդի և այլ գազի խոնավաչափ)</w:t>
      </w:r>
      <w:r w:rsidRPr="007C5A78">
        <w:rPr>
          <w:rFonts w:ascii="GHEA Grapalat" w:hAnsi="GHEA Grapalat"/>
          <w:sz w:val="24"/>
          <w:szCs w:val="24"/>
          <w:lang w:val="hy-AM"/>
        </w:rPr>
        <w:t>, մանոմետրեր (</w:t>
      </w:r>
      <w:r w:rsidRPr="007C5A78">
        <w:rPr>
          <w:rFonts w:ascii="GHEA Grapalat" w:hAnsi="GHEA Grapalat" w:cs="Arial"/>
          <w:sz w:val="24"/>
          <w:szCs w:val="24"/>
          <w:shd w:val="clear" w:color="auto" w:fill="FFFFFF"/>
          <w:lang w:val="hy-AM"/>
        </w:rPr>
        <w:t>հեղուկների և գազերի ճնշումը չափելու սարք)</w:t>
      </w:r>
      <w:r w:rsidRPr="007C5A78">
        <w:rPr>
          <w:rFonts w:ascii="GHEA Grapalat" w:hAnsi="GHEA Grapalat"/>
          <w:sz w:val="24"/>
          <w:szCs w:val="24"/>
          <w:lang w:val="hy-AM"/>
        </w:rPr>
        <w:t xml:space="preserve"> և սֆիգմոմանոմետրեր (</w:t>
      </w:r>
      <w:r w:rsidRPr="007C5A78">
        <w:rPr>
          <w:rFonts w:ascii="GHEA Grapalat" w:hAnsi="GHEA Grapalat" w:cs="Arial"/>
          <w:sz w:val="24"/>
          <w:szCs w:val="24"/>
          <w:shd w:val="clear" w:color="auto" w:fill="FFFFFF"/>
          <w:lang w:val="hy-AM"/>
        </w:rPr>
        <w:t>արյան ճնշումը չափելու սարք),</w:t>
      </w:r>
      <w:r w:rsidRPr="007C5A78">
        <w:rPr>
          <w:rFonts w:ascii="GHEA Grapalat" w:hAnsi="GHEA Grapalat"/>
          <w:sz w:val="24"/>
          <w:szCs w:val="24"/>
          <w:lang w:val="hy-AM"/>
        </w:rPr>
        <w:t xml:space="preserve"> փոխարեն օգտագործվում են ոչ սնդիկային, մեխանիկական կամ էլեկտրոնային սարքավորումներ։ </w:t>
      </w:r>
    </w:p>
    <w:p w14:paraId="25606C0E" w14:textId="7B532049" w:rsidR="009454DF" w:rsidRPr="007C5A78" w:rsidRDefault="007C5A78"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t xml:space="preserve"> </w:t>
      </w:r>
      <w:r w:rsidR="009454DF" w:rsidRPr="007C5A78">
        <w:rPr>
          <w:rFonts w:ascii="GHEA Grapalat" w:hAnsi="GHEA Grapalat"/>
          <w:sz w:val="24"/>
          <w:szCs w:val="24"/>
          <w:lang w:val="hy-AM"/>
        </w:rPr>
        <w:t>Հայաստանի Հանրապետություն</w:t>
      </w:r>
      <w:r w:rsidR="009454DF" w:rsidRPr="007C5A78">
        <w:rPr>
          <w:rFonts w:ascii="GHEA Grapalat" w:eastAsia="Calibri" w:hAnsi="GHEA Grapalat" w:cs="Times New Roman"/>
          <w:sz w:val="24"/>
          <w:szCs w:val="24"/>
          <w:lang w:val="hy-AM"/>
        </w:rPr>
        <w:t xml:space="preserve"> ներմուծվող և արտահանվող սնդիկ պարունակող արտադրանքի քանակն անհամեմատ նվազ է միևնույն անվանումը և ԵԱՏՄ ԱՏԳ ԱԱ դասակարգման միևնույն ծածկագիրն ունեցող, բայց սնդիկ չպարունակող արտադրանքից։</w:t>
      </w:r>
      <w:r w:rsidR="009454DF" w:rsidRPr="007C5A78">
        <w:rPr>
          <w:rFonts w:ascii="GHEA Grapalat" w:hAnsi="GHEA Grapalat"/>
          <w:sz w:val="24"/>
          <w:szCs w:val="24"/>
          <w:lang w:val="hy-AM"/>
        </w:rPr>
        <w:t xml:space="preserve"> Հաշվի առնելով նշված հանգամանքը, նախագծի հավելվածի ցանկի 3-րդ կետում ներառված ծածկագրերի հետ համընկնող ծածկագրերով, բայց փաստացի ոչ սնդիկային սարքերի ներմուծման  և արտահանման ընթացքում փոխադրողների և մաքսային մարմինների համար լրացուցիչ խնդիրներ չստեղծելու համար, անհրաժեշտություն է առաջացել ներմուծվող և արտահանվող ապրանքների մաքսային հայտարարագրման և ապրանքների բացթողնման ընթացքում պարզեցնել սնդիկ պարունակելու նվազ հավանականություն ունեցող արտադրանքի նույնականացման գործընթացը՝ սնդիկ չպարունակելու հավաստման միջոց նախատեսելով փաստաթղթերի և տեղեկատվության ավելի լայն շրջանակ։ </w:t>
      </w:r>
    </w:p>
    <w:p w14:paraId="7F1E25C8" w14:textId="77777777"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t xml:space="preserve">Նախագծի հավելվածով սահմանված արտադրանքի ցանկի 4-րդ կետով առաջարկվում է սահմանել սնդիկ պարունակող այն նյութերի անվանումները և դրանց համապատասխանող ԵԱՏՄ ԱՏԳ ԱԱ տասանիշ ծածկագիրը, որոնք շատ երկրներում նախկինում օգտագործվել են որպես կենսասպան (բիոցիդ, ախտահանիչ) նյութ, սակայն մարդկանց առողջության և շրջակա միջավայրի համար խիստ թունավոր հատկությունների պատճառով դրանց շրջանառությունը սահմանափակված է, այդ թվում՝ ԵԱՏՄ անդամ պետություններում, իսկ </w:t>
      </w:r>
      <w:r w:rsidRPr="007C5A78">
        <w:rPr>
          <w:rFonts w:ascii="GHEA Grapalat" w:hAnsi="GHEA Grapalat"/>
          <w:sz w:val="24"/>
          <w:szCs w:val="24"/>
          <w:lang w:val="hy-AM"/>
        </w:rPr>
        <w:lastRenderedPageBreak/>
        <w:t xml:space="preserve">դրանց փոխարեն օգտագործվում են սնդիկ չպարունակող ախտահանիչ և կենսասպան այլ՝ նվազ վտանգավոր նյութեր։ </w:t>
      </w:r>
    </w:p>
    <w:p w14:paraId="429C5B8C" w14:textId="77777777" w:rsidR="009454DF" w:rsidRPr="007C5A78" w:rsidRDefault="009454DF" w:rsidP="007C5A78">
      <w:pPr>
        <w:spacing w:after="0" w:line="360" w:lineRule="auto"/>
        <w:ind w:firstLine="567"/>
        <w:jc w:val="both"/>
        <w:rPr>
          <w:rFonts w:ascii="GHEA Grapalat" w:hAnsi="GHEA Grapalat"/>
          <w:sz w:val="24"/>
          <w:szCs w:val="24"/>
          <w:lang w:val="hy-AM"/>
        </w:rPr>
      </w:pPr>
    </w:p>
    <w:p w14:paraId="0370E74D" w14:textId="77777777" w:rsidR="009454DF" w:rsidRPr="007C5A78" w:rsidRDefault="009454DF" w:rsidP="007C5A78">
      <w:pPr>
        <w:pStyle w:val="ListParagraph"/>
        <w:numPr>
          <w:ilvl w:val="0"/>
          <w:numId w:val="3"/>
        </w:numPr>
        <w:spacing w:after="0" w:line="360" w:lineRule="auto"/>
        <w:ind w:firstLine="0"/>
        <w:jc w:val="both"/>
        <w:rPr>
          <w:rFonts w:ascii="GHEA Grapalat" w:hAnsi="GHEA Grapalat" w:cs="Sylfaen"/>
          <w:b/>
          <w:sz w:val="24"/>
          <w:szCs w:val="24"/>
          <w:lang w:val="hy-AM"/>
        </w:rPr>
      </w:pPr>
      <w:r w:rsidRPr="007C5A78">
        <w:rPr>
          <w:rFonts w:ascii="GHEA Grapalat" w:hAnsi="GHEA Grapalat" w:cs="Sylfaen"/>
          <w:b/>
          <w:sz w:val="24"/>
          <w:szCs w:val="24"/>
          <w:lang w:val="hy-AM"/>
        </w:rPr>
        <w:t>Առաջարկվող կարգավորման բնույթը</w:t>
      </w:r>
    </w:p>
    <w:p w14:paraId="6362BBC8" w14:textId="77777777" w:rsidR="007C5A78"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t>Նախագծով նախատեսվում է հաստատել նախագծի հավելվածով սահմանված սնդիկի հավելիչով արտադրանքի Հայաստանի Հանրապետությունից արտահանման և Հայաստանի Հանրապետություն ներմուծման  արգելք՝ վեց ամիս ժամկետով։</w:t>
      </w:r>
    </w:p>
    <w:p w14:paraId="7053562A" w14:textId="173B9228"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t xml:space="preserve">Նախագծով նախատեսվում է  ներմուծման կամ արտահանման համար արգելված սնդիկի հավելիչով  արտադրանքի համար սահմանել բացառություններ, եթե դրանք անհրաժեշտ են՝ քաղաքացիական պաշտպանության, ռազմական, հետազոտությունների (այդ թվում՝ բժշկական), սարքերի չափաբերման և որպես չափանմուշ (էտալոն) օգտագործման նպատակով։ Նշված բացառությունները նախատեսված են Կոնվենցիայի «Ա» հավելվածի «ա» և «բ» կետերով։ </w:t>
      </w:r>
    </w:p>
    <w:p w14:paraId="481D8FD4" w14:textId="77777777" w:rsidR="009454DF" w:rsidRPr="007C5A78" w:rsidRDefault="009454DF" w:rsidP="007C5A78">
      <w:pPr>
        <w:spacing w:after="0" w:line="360" w:lineRule="auto"/>
        <w:ind w:firstLine="567"/>
        <w:jc w:val="both"/>
        <w:rPr>
          <w:rFonts w:ascii="GHEA Grapalat" w:hAnsi="GHEA Grapalat"/>
          <w:bCs/>
          <w:sz w:val="24"/>
          <w:szCs w:val="24"/>
          <w:lang w:val="hy-AM"/>
        </w:rPr>
      </w:pPr>
      <w:r w:rsidRPr="007C5A78">
        <w:rPr>
          <w:rFonts w:ascii="GHEA Grapalat" w:hAnsi="GHEA Grapalat"/>
          <w:sz w:val="24"/>
          <w:szCs w:val="24"/>
          <w:lang w:val="hy-AM"/>
        </w:rPr>
        <w:t xml:space="preserve">Բացառությունների ենթակա լինելը փաստելու համար հայտատուն պետք է կազմի, հաստատի և ապրանքների </w:t>
      </w:r>
      <w:r w:rsidRPr="007C5A78">
        <w:rPr>
          <w:rFonts w:ascii="GHEA Grapalat" w:hAnsi="GHEA Grapalat"/>
          <w:bCs/>
          <w:sz w:val="24"/>
          <w:szCs w:val="24"/>
          <w:lang w:val="hy-AM"/>
        </w:rPr>
        <w:t xml:space="preserve">մաքսային ընթացակարգերով ձևակերպման համար </w:t>
      </w:r>
      <w:r w:rsidRPr="007C5A78">
        <w:rPr>
          <w:rFonts w:ascii="GHEA Grapalat" w:hAnsi="GHEA Grapalat"/>
          <w:sz w:val="24"/>
          <w:szCs w:val="24"/>
          <w:lang w:val="hy-AM"/>
        </w:rPr>
        <w:t xml:space="preserve">ներկայացնի գրավոր </w:t>
      </w:r>
      <w:r w:rsidR="00F74E32" w:rsidRPr="007C5A78">
        <w:rPr>
          <w:rFonts w:ascii="GHEA Grapalat" w:hAnsi="GHEA Grapalat"/>
          <w:sz w:val="24"/>
          <w:szCs w:val="24"/>
          <w:lang w:val="hy-AM"/>
        </w:rPr>
        <w:t>հայտարարություն</w:t>
      </w:r>
      <w:r w:rsidRPr="007C5A78">
        <w:rPr>
          <w:rFonts w:ascii="GHEA Grapalat" w:hAnsi="GHEA Grapalat"/>
          <w:sz w:val="24"/>
          <w:szCs w:val="24"/>
          <w:lang w:val="hy-AM"/>
        </w:rPr>
        <w:t xml:space="preserve">՝ հիմնավորելով Կոնվենցիայով սահմանված նպատակով արտադրանքի օգտագործման անհրաժեշտությունը։ </w:t>
      </w:r>
      <w:r w:rsidRPr="007C5A78">
        <w:rPr>
          <w:rFonts w:ascii="GHEA Grapalat" w:hAnsi="GHEA Grapalat"/>
          <w:bCs/>
          <w:sz w:val="24"/>
          <w:szCs w:val="24"/>
          <w:lang w:val="hy-AM"/>
        </w:rPr>
        <w:t>Եվրասիական տնտեսական միության մաքսային օրենսգրքի մասին պայմանագրի N1 հավելվածի 84-րդ հոդվածի 3-րդ մասի համաձայն՝ հայտարարատուն պատասխանատվություն է կրում մաքսային հայտարարագրում ոչ հավաստի տեղեկություններ ներկայացնելու, ինչպես նաև մաքսային ներկայացուցչին անվավեր, այդ թվում՝ կեղծ և (կամ) ակնհայտ ոչ հավաստի (սուտ) տեղեկություններ պարունակող փաստաթղթեր ներկայացնելու համար:</w:t>
      </w:r>
    </w:p>
    <w:p w14:paraId="31239A8C" w14:textId="77777777"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t>Կոնվենցիայի Ա հավելվածի I մասում թվարկված այն արտադրանքը, որոնք ԵԱՏՄ և ՀՀ տեխնիկական կանոնակարգման օրենսդրության համաձայն հանդիսանում են  տեխնիկական կանոնակարգման օբյեկտ, ներառված չեն սույն Նախագծում, ուստի ներմուծման և արտահանման դեպքում դրանց նկատմամբ չեն կիրառվի Միության տեխնիկական կանոնակարգերով սահմանված՝ այդ արտադրանքին ներկայացվող պահանջներից բացի լրացուցիչ պահանջներ և համապատասխանության գնահատման լրացուցիչ ընթացակարգեր։</w:t>
      </w:r>
    </w:p>
    <w:p w14:paraId="3DECC13B" w14:textId="77777777"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lastRenderedPageBreak/>
        <w:t>Առաջարկվում է սահմանել էկոնոմիկայի նախարարության իրավասությունը՝ Եվրասիական տնտեսական հանձնաժողովին Որոշման ընդունման մասին ծանուցումը ներկայցնելու հարցում, քանի որ վերջինս ճանաչված է ԵԱՏՄ շրջանակներում Հայաստանի Հանրապետության պետական կառավարման մարմինների համագործակցությունը համակարգող մարմին։</w:t>
      </w:r>
    </w:p>
    <w:p w14:paraId="3EBDBC24" w14:textId="77777777" w:rsidR="009454DF" w:rsidRPr="007C5A78" w:rsidRDefault="009454DF" w:rsidP="007C5A78">
      <w:pPr>
        <w:spacing w:after="0" w:line="360" w:lineRule="auto"/>
        <w:ind w:firstLine="180"/>
        <w:jc w:val="both"/>
        <w:rPr>
          <w:rFonts w:ascii="GHEA Grapalat" w:eastAsia="GHEA Grapalat" w:hAnsi="GHEA Grapalat" w:cs="GHEA Grapalat"/>
          <w:sz w:val="24"/>
          <w:szCs w:val="24"/>
          <w:lang w:val="hy-AM"/>
        </w:rPr>
      </w:pPr>
      <w:r w:rsidRPr="007C5A78">
        <w:rPr>
          <w:rFonts w:ascii="GHEA Grapalat" w:hAnsi="GHEA Grapalat"/>
          <w:sz w:val="24"/>
          <w:szCs w:val="24"/>
          <w:shd w:val="clear" w:color="auto" w:fill="FFFFFF"/>
          <w:lang w:val="hy-AM"/>
        </w:rPr>
        <w:t xml:space="preserve">    Առաջարկվում է </w:t>
      </w:r>
      <w:r w:rsidRPr="007C5A78">
        <w:rPr>
          <w:rFonts w:ascii="GHEA Grapalat" w:hAnsi="GHEA Grapalat"/>
          <w:sz w:val="24"/>
          <w:szCs w:val="24"/>
          <w:lang w:val="hy-AM"/>
        </w:rPr>
        <w:t xml:space="preserve">որոշման նախագծի 1-ին կետով սահմանված արգելքի կիրառման համար </w:t>
      </w:r>
      <w:r w:rsidRPr="007C5A78">
        <w:rPr>
          <w:rFonts w:ascii="GHEA Grapalat" w:hAnsi="GHEA Grapalat"/>
          <w:sz w:val="24"/>
          <w:szCs w:val="24"/>
          <w:shd w:val="clear" w:color="auto" w:fill="FFFFFF"/>
          <w:lang w:val="hy-AM"/>
        </w:rPr>
        <w:t>բացառություն սահմանել նաև «Մաքսային տարանցում» մաքսային ընթացակարգով ձևակերպվող ապրանքների համար</w:t>
      </w:r>
      <w:r w:rsidRPr="007C5A78">
        <w:rPr>
          <w:rFonts w:ascii="GHEA Grapalat" w:eastAsia="GHEA Grapalat" w:hAnsi="GHEA Grapalat" w:cs="GHEA Grapalat"/>
          <w:sz w:val="24"/>
          <w:szCs w:val="24"/>
          <w:lang w:val="hy-AM"/>
        </w:rPr>
        <w:t>։</w:t>
      </w:r>
    </w:p>
    <w:p w14:paraId="0FE78467" w14:textId="77777777" w:rsidR="009454DF" w:rsidRPr="007C5A78" w:rsidRDefault="009454DF" w:rsidP="007C5A78">
      <w:pPr>
        <w:spacing w:after="0" w:line="360" w:lineRule="auto"/>
        <w:ind w:firstLine="180"/>
        <w:jc w:val="both"/>
        <w:rPr>
          <w:rFonts w:ascii="GHEA Grapalat" w:eastAsia="GHEA Grapalat" w:hAnsi="GHEA Grapalat" w:cs="GHEA Grapalat"/>
          <w:sz w:val="24"/>
          <w:szCs w:val="24"/>
          <w:lang w:val="hy-AM"/>
        </w:rPr>
      </w:pPr>
    </w:p>
    <w:p w14:paraId="3FCF164B" w14:textId="77777777" w:rsidR="009454DF" w:rsidRPr="007C5A78" w:rsidRDefault="009454DF" w:rsidP="007C5A78">
      <w:pPr>
        <w:pStyle w:val="ListParagraph"/>
        <w:numPr>
          <w:ilvl w:val="0"/>
          <w:numId w:val="3"/>
        </w:numPr>
        <w:spacing w:after="0" w:line="360" w:lineRule="auto"/>
        <w:jc w:val="both"/>
        <w:rPr>
          <w:rFonts w:ascii="GHEA Grapalat" w:hAnsi="GHEA Grapalat" w:cs="Sylfaen"/>
          <w:b/>
          <w:sz w:val="24"/>
          <w:szCs w:val="24"/>
          <w:lang w:val="hy-AM"/>
        </w:rPr>
      </w:pPr>
      <w:r w:rsidRPr="007C5A78">
        <w:rPr>
          <w:rFonts w:ascii="GHEA Grapalat" w:hAnsi="GHEA Grapalat" w:cs="Sylfaen"/>
          <w:b/>
          <w:sz w:val="24"/>
          <w:szCs w:val="24"/>
          <w:lang w:val="hy-AM"/>
        </w:rPr>
        <w:t>Նախագծի մշակման գործընթացում ներգրավված ինստիտուտները</w:t>
      </w:r>
    </w:p>
    <w:p w14:paraId="069721E7" w14:textId="77777777"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t>Նախագիծը մշակվել է շրջակա միջավայրի նախարարության կողմից։</w:t>
      </w:r>
    </w:p>
    <w:p w14:paraId="6EFC488C" w14:textId="77777777" w:rsidR="009454DF" w:rsidRPr="007C5A78" w:rsidRDefault="009454DF" w:rsidP="007C5A78">
      <w:pPr>
        <w:spacing w:after="0" w:line="360" w:lineRule="auto"/>
        <w:ind w:firstLine="709"/>
        <w:jc w:val="both"/>
        <w:rPr>
          <w:rFonts w:ascii="GHEA Grapalat" w:hAnsi="GHEA Grapalat"/>
          <w:sz w:val="24"/>
          <w:szCs w:val="24"/>
          <w:lang w:val="hy-AM"/>
        </w:rPr>
      </w:pPr>
    </w:p>
    <w:p w14:paraId="5F781473" w14:textId="77777777" w:rsidR="009454DF" w:rsidRPr="007C5A78" w:rsidRDefault="009454DF" w:rsidP="007C5A78">
      <w:pPr>
        <w:pStyle w:val="ListParagraph"/>
        <w:numPr>
          <w:ilvl w:val="0"/>
          <w:numId w:val="3"/>
        </w:numPr>
        <w:spacing w:after="0" w:line="360" w:lineRule="auto"/>
        <w:jc w:val="both"/>
        <w:rPr>
          <w:rFonts w:ascii="GHEA Grapalat" w:hAnsi="GHEA Grapalat" w:cs="Sylfaen"/>
          <w:b/>
          <w:sz w:val="24"/>
          <w:szCs w:val="24"/>
          <w:lang w:val="hy-AM"/>
        </w:rPr>
      </w:pPr>
      <w:r w:rsidRPr="007C5A78">
        <w:rPr>
          <w:rFonts w:ascii="GHEA Grapalat" w:hAnsi="GHEA Grapalat" w:cs="Sylfaen"/>
          <w:b/>
          <w:sz w:val="24"/>
          <w:szCs w:val="24"/>
          <w:lang w:val="hy-AM"/>
        </w:rPr>
        <w:t>Ակնկալվող արդյունքը</w:t>
      </w:r>
    </w:p>
    <w:p w14:paraId="1CB567B5" w14:textId="77777777"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t>Նախագծի ընդունմամբ կապահովվի Կոնվենցիայով և «Սնդիկի  մասին» օրենքի 4-րդ հոդվածի 1-ին մասի 1-ին կետով սահմանված պահանջը, ինչը կհանգեցնի սնդիկի հավելիչով արտադրանքների ներմուծման կրճատմանը, դրանց շրջանառությունից փուլային դուրսբերմանը, սնդիկ պարունակող վտանգավոր թափոնների գոյացման կանխարգելմանը։</w:t>
      </w:r>
    </w:p>
    <w:p w14:paraId="76583BC1" w14:textId="77777777" w:rsidR="009454DF" w:rsidRPr="007C5A78" w:rsidRDefault="009454DF" w:rsidP="007C5A78">
      <w:pPr>
        <w:spacing w:after="0" w:line="360" w:lineRule="auto"/>
        <w:ind w:firstLine="567"/>
        <w:jc w:val="both"/>
        <w:rPr>
          <w:rFonts w:ascii="GHEA Grapalat" w:hAnsi="GHEA Grapalat"/>
          <w:sz w:val="24"/>
          <w:szCs w:val="24"/>
          <w:lang w:val="hy-AM"/>
        </w:rPr>
      </w:pPr>
    </w:p>
    <w:p w14:paraId="31F95360" w14:textId="77777777" w:rsidR="009454DF" w:rsidRPr="007C5A78" w:rsidRDefault="009454DF" w:rsidP="007C5A78">
      <w:pPr>
        <w:pStyle w:val="ListParagraph"/>
        <w:numPr>
          <w:ilvl w:val="0"/>
          <w:numId w:val="3"/>
        </w:numPr>
        <w:spacing w:after="0" w:line="360" w:lineRule="auto"/>
        <w:jc w:val="both"/>
        <w:rPr>
          <w:rFonts w:ascii="GHEA Grapalat" w:hAnsi="GHEA Grapalat" w:cs="Sylfaen"/>
          <w:b/>
          <w:sz w:val="24"/>
          <w:szCs w:val="24"/>
          <w:lang w:val="hy-AM"/>
        </w:rPr>
      </w:pPr>
      <w:r w:rsidRPr="007C5A78">
        <w:rPr>
          <w:rFonts w:ascii="GHEA Grapalat" w:hAnsi="GHEA Grapalat" w:cs="Sylfaen"/>
          <w:b/>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14:paraId="450051E2" w14:textId="77777777" w:rsidR="009454DF" w:rsidRPr="007C5A78" w:rsidRDefault="009454DF" w:rsidP="007C5A78">
      <w:pPr>
        <w:spacing w:after="0" w:line="360" w:lineRule="auto"/>
        <w:ind w:firstLine="567"/>
        <w:jc w:val="both"/>
        <w:rPr>
          <w:rFonts w:ascii="GHEA Grapalat" w:hAnsi="GHEA Grapalat"/>
          <w:sz w:val="24"/>
          <w:szCs w:val="24"/>
          <w:lang w:val="hy-AM"/>
        </w:rPr>
      </w:pPr>
      <w:r w:rsidRPr="007C5A78">
        <w:rPr>
          <w:rFonts w:ascii="GHEA Grapalat" w:hAnsi="GHEA Grapalat"/>
          <w:sz w:val="24"/>
          <w:szCs w:val="24"/>
          <w:lang w:val="hy-AM"/>
        </w:rPr>
        <w:t>Նախագծի ընդունմամբ Հայաստանի Հանրապետության պետական կամ տեղական ինքնակառավարման մարմնի բյուջեի ծախսերի և եկամուտների էական ավելացում կամ նվազեցում չի նախատեսվում:</w:t>
      </w:r>
    </w:p>
    <w:p w14:paraId="385213EF" w14:textId="77777777" w:rsidR="009454DF" w:rsidRPr="007C5A78" w:rsidRDefault="009454DF" w:rsidP="007C5A78">
      <w:pPr>
        <w:spacing w:after="0" w:line="360" w:lineRule="auto"/>
        <w:ind w:firstLine="567"/>
        <w:jc w:val="both"/>
        <w:rPr>
          <w:rFonts w:ascii="GHEA Grapalat" w:hAnsi="GHEA Grapalat"/>
          <w:sz w:val="24"/>
          <w:szCs w:val="24"/>
          <w:lang w:val="hy-AM"/>
        </w:rPr>
      </w:pPr>
    </w:p>
    <w:p w14:paraId="3FD38094" w14:textId="77777777" w:rsidR="009454DF" w:rsidRPr="007C5A78" w:rsidRDefault="009454DF" w:rsidP="007C5A78">
      <w:pPr>
        <w:pStyle w:val="ListParagraph"/>
        <w:numPr>
          <w:ilvl w:val="0"/>
          <w:numId w:val="3"/>
        </w:numPr>
        <w:spacing w:after="0" w:line="360" w:lineRule="auto"/>
        <w:jc w:val="both"/>
        <w:rPr>
          <w:rFonts w:ascii="GHEA Grapalat" w:hAnsi="GHEA Grapalat" w:cs="Sylfaen"/>
          <w:b/>
          <w:sz w:val="24"/>
          <w:szCs w:val="24"/>
          <w:lang w:val="hy-AM"/>
        </w:rPr>
      </w:pPr>
      <w:r w:rsidRPr="007C5A78">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ռազմավարությունների հետ.</w:t>
      </w:r>
    </w:p>
    <w:p w14:paraId="2FF895EB" w14:textId="77777777" w:rsidR="009454DF" w:rsidRPr="007C5A78" w:rsidRDefault="009454DF" w:rsidP="007C5A78">
      <w:pPr>
        <w:spacing w:after="0" w:line="360" w:lineRule="auto"/>
        <w:ind w:firstLine="567"/>
        <w:jc w:val="both"/>
        <w:rPr>
          <w:rFonts w:ascii="GHEA Grapalat" w:eastAsiaTheme="minorEastAsia" w:hAnsi="GHEA Grapalat"/>
          <w:sz w:val="24"/>
          <w:szCs w:val="24"/>
          <w:lang w:val="hy-AM"/>
        </w:rPr>
      </w:pPr>
      <w:r w:rsidRPr="007C5A78">
        <w:rPr>
          <w:rFonts w:ascii="GHEA Grapalat" w:hAnsi="GHEA Grapalat"/>
          <w:sz w:val="24"/>
          <w:szCs w:val="24"/>
          <w:lang w:val="hy-AM"/>
        </w:rPr>
        <w:t xml:space="preserve">Նախագծի մշակումը բխում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w:t>
      </w:r>
      <w:r w:rsidRPr="007C5A78">
        <w:rPr>
          <w:rFonts w:ascii="GHEA Grapalat" w:hAnsi="GHEA Grapalat"/>
          <w:sz w:val="24"/>
          <w:szCs w:val="24"/>
          <w:lang w:val="hy-AM"/>
        </w:rPr>
        <w:lastRenderedPageBreak/>
        <w:t>հավելվածի «Շրջակա միջավայրի նախարարություն» գլխի 8-րդ բաժնի 2-րդ միջոցառման՝ «Սնդիկի մասին» ՀՀ օրենքի ընդունումից հետո օրենքից բխող ենթաօրենսդրական իրավական ակտերի նախագծերը վարչապետի աշխատակազմ ներկայացնելը»  կատարման անհրաժեշտությունից։</w:t>
      </w:r>
      <w:r w:rsidRPr="007C5A78">
        <w:rPr>
          <w:rFonts w:ascii="GHEA Grapalat" w:hAnsi="GHEA Grapalat" w:cs="Sylfaen"/>
          <w:sz w:val="24"/>
          <w:szCs w:val="24"/>
          <w:lang w:val="hy-AM"/>
        </w:rPr>
        <w:t xml:space="preserve">                                        </w:t>
      </w:r>
    </w:p>
    <w:p w14:paraId="6E9C1E47" w14:textId="77777777" w:rsidR="009454DF" w:rsidRPr="007C5A78" w:rsidRDefault="009454DF" w:rsidP="007C5A78">
      <w:pPr>
        <w:spacing w:after="0" w:line="360" w:lineRule="auto"/>
        <w:rPr>
          <w:rFonts w:ascii="GHEA Grapalat" w:hAnsi="GHEA Grapalat"/>
          <w:sz w:val="24"/>
          <w:szCs w:val="24"/>
          <w:lang w:val="hy-AM"/>
        </w:rPr>
      </w:pPr>
    </w:p>
    <w:p w14:paraId="764275B0" w14:textId="77777777" w:rsidR="004D3643" w:rsidRPr="007C5A78" w:rsidRDefault="004D3643" w:rsidP="007C5A78">
      <w:pPr>
        <w:spacing w:line="360" w:lineRule="auto"/>
        <w:rPr>
          <w:rFonts w:ascii="GHEA Grapalat" w:hAnsi="GHEA Grapalat"/>
          <w:sz w:val="24"/>
          <w:szCs w:val="24"/>
          <w:lang w:val="hy-AM"/>
        </w:rPr>
      </w:pPr>
    </w:p>
    <w:sectPr w:rsidR="004D3643" w:rsidRPr="007C5A78" w:rsidSect="001B6DF4">
      <w:pgSz w:w="12240" w:h="15840"/>
      <w:pgMar w:top="562" w:right="850"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F07F67"/>
    <w:multiLevelType w:val="hybridMultilevel"/>
    <w:tmpl w:val="CC069354"/>
    <w:lvl w:ilvl="0" w:tplc="04090001">
      <w:start w:val="1"/>
      <w:numFmt w:val="bullet"/>
      <w:lvlText w:val=""/>
      <w:lvlJc w:val="left"/>
      <w:pPr>
        <w:ind w:left="540" w:hanging="360"/>
      </w:pPr>
      <w:rPr>
        <w:rFonts w:ascii="Symbol" w:hAnsi="Symbol" w:hint="default"/>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 w15:restartNumberingAfterBreak="0">
    <w:nsid w:val="5186493B"/>
    <w:multiLevelType w:val="hybridMultilevel"/>
    <w:tmpl w:val="48B49DAA"/>
    <w:lvl w:ilvl="0" w:tplc="6CE2A340">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6AA8080D"/>
    <w:multiLevelType w:val="hybridMultilevel"/>
    <w:tmpl w:val="0F663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8318283">
    <w:abstractNumId w:val="0"/>
  </w:num>
  <w:num w:numId="2" w16cid:durableId="198050981">
    <w:abstractNumId w:val="2"/>
  </w:num>
  <w:num w:numId="3" w16cid:durableId="1908414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D3"/>
    <w:rsid w:val="000B4B6B"/>
    <w:rsid w:val="0011728B"/>
    <w:rsid w:val="001B6DF4"/>
    <w:rsid w:val="00335C48"/>
    <w:rsid w:val="004D3643"/>
    <w:rsid w:val="006512D3"/>
    <w:rsid w:val="007C5A78"/>
    <w:rsid w:val="00827DB9"/>
    <w:rsid w:val="008B152A"/>
    <w:rsid w:val="009176DA"/>
    <w:rsid w:val="009454DF"/>
    <w:rsid w:val="009E66BD"/>
    <w:rsid w:val="00AF391A"/>
    <w:rsid w:val="00CD11B7"/>
    <w:rsid w:val="00D267D8"/>
    <w:rsid w:val="00D47456"/>
    <w:rsid w:val="00D5008E"/>
    <w:rsid w:val="00E60F21"/>
    <w:rsid w:val="00EA2EDF"/>
    <w:rsid w:val="00EA4436"/>
    <w:rsid w:val="00F209E2"/>
    <w:rsid w:val="00F74E32"/>
    <w:rsid w:val="00FA5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26FDC"/>
  <w15:docId w15:val="{A655EB93-EDBA-4E82-9AB2-DB18BF8C6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4D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454DF"/>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9454DF"/>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2020</Words>
  <Characters>11514</Characters>
  <Application>Microsoft Office Word</Application>
  <DocSecurity>0</DocSecurity>
  <Lines>95</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Aram Sayadyan</dc:creator>
  <cp:keywords>https:/mul2-mnp.gov.am/tasks/1386753/oneclick?token=29d466ed231b4dc1cab4934fe9c16c17</cp:keywords>
  <cp:lastModifiedBy>Roza Khachatryan</cp:lastModifiedBy>
  <cp:revision>6</cp:revision>
  <dcterms:created xsi:type="dcterms:W3CDTF">2026-09-03T13:37:00Z</dcterms:created>
  <dcterms:modified xsi:type="dcterms:W3CDTF">2026-09-09T14:15:00Z</dcterms:modified>
</cp:coreProperties>
</file>