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9F1BC" w14:textId="77777777" w:rsidR="00F76787" w:rsidRDefault="00181E9E" w:rsidP="00F76787">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r w:rsidRPr="00D31AA5">
        <w:rPr>
          <w:rFonts w:ascii="Calibri" w:eastAsia="Times New Roman" w:hAnsi="Calibri" w:cs="Calibri"/>
          <w:sz w:val="24"/>
          <w:szCs w:val="24"/>
          <w:lang w:eastAsia="hy-AM"/>
        </w:rPr>
        <w:t>   </w:t>
      </w:r>
      <w:r w:rsidR="00F76787">
        <w:rPr>
          <w:rFonts w:ascii="GHEA Grapalat" w:eastAsia="GHEA Grapalat" w:hAnsi="GHEA Grapalat" w:cs="GHEA Grapalat"/>
          <w:b/>
          <w:bCs/>
          <w:color w:val="333333"/>
          <w:sz w:val="24"/>
          <w:szCs w:val="24"/>
        </w:rPr>
        <w:t>ԱՄՓՈՓԱԹԵՐԹ</w:t>
      </w:r>
    </w:p>
    <w:p w14:paraId="120B8A4C" w14:textId="77777777" w:rsidR="00F76787" w:rsidRDefault="00F76787" w:rsidP="00F76787">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p>
    <w:p w14:paraId="5FC546A5" w14:textId="77777777" w:rsidR="00F76787" w:rsidRDefault="00F76787" w:rsidP="00F76787">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r>
        <w:rPr>
          <w:rFonts w:ascii="GHEA Grapalat" w:eastAsia="GHEA Grapalat" w:hAnsi="GHEA Grapalat" w:cs="GHEA Grapalat"/>
          <w:b/>
          <w:bCs/>
          <w:color w:val="333333"/>
          <w:sz w:val="24"/>
          <w:szCs w:val="24"/>
        </w:rPr>
        <w:t>««ՀԵՂԻՆԱԿԱՅԻՆ ԻՐԱՎՈՒՆՔԻ և ՀԱՐԱԿԻՑ ԻՐԱՎՈՒՆՔՆԵՐԻ ՄԱՍԻՆ» ՀԱՅԱՍՏԱՆԻ ՀԱՆՐԱՊԵՏՈՒԹՅԱՆ ՕՐԵՆՔՈՒՄ ՓՈՓՈԽՈՒԹՅՈՒՆ ԿԱՏԱՐԵԼՈՒ ՄԱՍԻՆ», ««ՀՀ ՔԱՂԱՔԱՑԻԱԿԱՆ ՕՐԵՆՍԳՐՔՈՒՄ ՓՈՓՈԽՈՒԹՅՈՒՆՆԵՐ ԵՎ ԼՐԱՑՈՒՄՆԵՐ ԿԱՏԱՐԵԼՈՒ ՄԱՍԻՆ», ««ՊԵՏԱԿԱՆ ՏՈՒՐՔԻ ՄԱՍԻՆ» ՀԱՅԱՍՏԱՆԻ ՀԱՆՐԱՊԵՏՈՒԹՅԱՆ ՕՐԵՆՔՈՒՄ ԼՐԱՑՈՒՄՆԵՐ ԿԱՏԱՐԵԼՈՒ ՄԱՍԻՆ» ԵՎ ««ԱՌԵՎՏՐԻ ԵՎ ԾԱՌԱՅՈՒԹՅՈՒՆՆԵՐԻ ՄԱՍԻՆ» ՕՐԵՆՔՈՒՄ ԼՐԱՑՈՒՄ ԿԱՏԱՐԵԼՈՒ ՄԱՍԻՆ» ՀՀ ՕՐԵՆՔՆԵՐԻ ՆԱԽԱԳԾԵՐԻ</w:t>
      </w:r>
    </w:p>
    <w:p w14:paraId="11199C37"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p>
    <w:p w14:paraId="388721DF" w14:textId="34851861" w:rsidR="00181E9E" w:rsidRPr="00860F8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p>
    <w:tbl>
      <w:tblPr>
        <w:tblW w:w="154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207"/>
        <w:gridCol w:w="35"/>
        <w:gridCol w:w="6201"/>
      </w:tblGrid>
      <w:tr w:rsidR="00D31AA5" w:rsidRPr="00D31AA5" w14:paraId="5D14D11B"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4DA53F" w14:textId="49BC1986" w:rsidR="00A769D8" w:rsidRPr="00D31AA5" w:rsidRDefault="00A769D8" w:rsidP="001A1877">
            <w:pPr>
              <w:spacing w:after="0" w:line="360" w:lineRule="auto"/>
              <w:ind w:left="537"/>
              <w:jc w:val="center"/>
              <w:rPr>
                <w:rFonts w:ascii="GHEA Grapalat" w:eastAsia="Calibri" w:hAnsi="GHEA Grapalat" w:cs="Sylfaen"/>
                <w:sz w:val="24"/>
                <w:szCs w:val="24"/>
                <w:lang w:val="en-US"/>
              </w:rPr>
            </w:pPr>
            <w:r w:rsidRPr="00D31AA5">
              <w:rPr>
                <w:rFonts w:ascii="GHEA Grapalat" w:eastAsiaTheme="majorEastAsia" w:hAnsi="GHEA Grapalat" w:cs="Sylfaen"/>
                <w:bCs/>
                <w:sz w:val="24"/>
                <w:szCs w:val="24"/>
              </w:rPr>
              <w:t xml:space="preserve"> </w:t>
            </w:r>
            <w:r w:rsidRPr="00D31AA5">
              <w:rPr>
                <w:rFonts w:ascii="GHEA Grapalat" w:eastAsia="Calibri" w:hAnsi="GHEA Grapalat" w:cs="Sylfaen"/>
                <w:sz w:val="24"/>
                <w:szCs w:val="24"/>
                <w:lang w:val="en-US"/>
              </w:rPr>
              <w:t>ԲԱՐՁՐ ՏԵԽՆՈԼՈԳԻԱԿԱՆ</w:t>
            </w:r>
          </w:p>
          <w:p w14:paraId="75C9107D" w14:textId="77777777" w:rsidR="00A769D8" w:rsidRPr="00D31AA5" w:rsidRDefault="00A769D8" w:rsidP="001A1877">
            <w:pPr>
              <w:suppressAutoHyphens/>
              <w:spacing w:after="0" w:line="360" w:lineRule="auto"/>
              <w:ind w:left="537"/>
              <w:jc w:val="center"/>
              <w:rPr>
                <w:rFonts w:ascii="GHEA Grapalat" w:eastAsia="Calibri" w:hAnsi="GHEA Grapalat" w:cs="Sylfaen"/>
                <w:sz w:val="24"/>
                <w:szCs w:val="24"/>
                <w:lang w:val="en-US"/>
              </w:rPr>
            </w:pPr>
            <w:r w:rsidRPr="00D31AA5">
              <w:rPr>
                <w:rFonts w:ascii="GHEA Grapalat" w:eastAsia="Calibri" w:hAnsi="GHEA Grapalat" w:cs="Sylfaen"/>
                <w:sz w:val="24"/>
                <w:szCs w:val="24"/>
                <w:lang w:val="en-US"/>
              </w:rPr>
              <w:t>ԱՐԴՅՈՒՆԱԲԵՐՈՒԹՅԱՆ ՆԱԽԱՐԱՐՈՒԹՅՈՒՆ</w:t>
            </w:r>
          </w:p>
          <w:p w14:paraId="3D8A8ADD" w14:textId="77777777" w:rsidR="00A769D8" w:rsidRPr="00D31AA5" w:rsidRDefault="00A769D8"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6FE1914" w14:textId="77777777" w:rsidR="00A769D8" w:rsidRPr="00D31AA5" w:rsidRDefault="00A769D8" w:rsidP="001A1877">
            <w:pPr>
              <w:tabs>
                <w:tab w:val="left" w:pos="7655"/>
              </w:tabs>
              <w:spacing w:after="0" w:line="360" w:lineRule="auto"/>
              <w:ind w:left="263"/>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03.09.2025թ.</w:t>
            </w:r>
          </w:p>
        </w:tc>
      </w:tr>
      <w:tr w:rsidR="00D31AA5" w:rsidRPr="00D31AA5" w14:paraId="097EBBAA"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A6E589"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C05B63" w14:textId="77777777" w:rsidR="00A769D8" w:rsidRPr="00D31AA5" w:rsidRDefault="00A769D8"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N 01/17</w:t>
            </w:r>
            <w:r w:rsidRPr="00D31AA5">
              <w:rPr>
                <w:rFonts w:ascii="Cambria Math" w:eastAsiaTheme="majorEastAsia" w:hAnsi="Cambria Math" w:cs="Cambria Math"/>
                <w:bCs/>
                <w:sz w:val="24"/>
                <w:szCs w:val="24"/>
              </w:rPr>
              <w:t>․</w:t>
            </w:r>
            <w:r w:rsidRPr="00D31AA5">
              <w:rPr>
                <w:rFonts w:ascii="GHEA Grapalat" w:eastAsiaTheme="majorEastAsia" w:hAnsi="GHEA Grapalat" w:cs="Sylfaen"/>
                <w:bCs/>
                <w:sz w:val="24"/>
                <w:szCs w:val="24"/>
              </w:rPr>
              <w:t>2/7441-2025</w:t>
            </w:r>
          </w:p>
        </w:tc>
      </w:tr>
      <w:tr w:rsidR="00D31AA5" w:rsidRPr="00D31AA5" w14:paraId="4BF12DE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5DF212F1" w14:textId="441F9086" w:rsidR="00A769D8" w:rsidRPr="00D31AA5" w:rsidRDefault="00586389" w:rsidP="001A1877">
            <w:pPr>
              <w:tabs>
                <w:tab w:val="left" w:pos="7655"/>
              </w:tabs>
              <w:spacing w:after="0" w:line="360" w:lineRule="auto"/>
              <w:ind w:left="567" w:right="142" w:firstLine="537"/>
              <w:rPr>
                <w:rFonts w:ascii="GHEA Grapalat" w:hAnsi="GHEA Grapalat"/>
                <w:sz w:val="24"/>
                <w:szCs w:val="24"/>
                <w:shd w:val="clear" w:color="auto" w:fill="FFFFFF"/>
              </w:rPr>
            </w:pPr>
            <w:r>
              <w:rPr>
                <w:rFonts w:ascii="GHEA Grapalat" w:hAnsi="GHEA Grapalat"/>
                <w:sz w:val="24"/>
                <w:szCs w:val="24"/>
                <w:shd w:val="clear" w:color="auto" w:fill="FFFFFF"/>
              </w:rPr>
              <w:t>1.</w:t>
            </w:r>
            <w:r w:rsidR="00A769D8" w:rsidRPr="00D31AA5">
              <w:rPr>
                <w:rFonts w:ascii="GHEA Grapalat" w:hAnsi="GHEA Grapalat"/>
                <w:sz w:val="24"/>
                <w:szCs w:val="24"/>
                <w:shd w:val="clear" w:color="auto" w:fill="FFFFFF"/>
              </w:rPr>
              <w:t xml:space="preserve"> ««Հեղինակային իրավունքի և հարակից իրավունքների մասին» Հայաստանի Հանրապետության օրենքում փոփոխություն կատարելու մասին» օրենքի (այսուհետ՝ Նախագիծ) և «ՀՀ քաղաքացիական օրենսգրքում փոփոխություններ և լրացումներ կատարելու մասին» օրենքի (այսուհետ՝ Նախագիծ 1) նախագծերի վերաբերյալ ներկայացնում եմ հետևյալը. </w:t>
            </w:r>
          </w:p>
          <w:p w14:paraId="2ACD8B82" w14:textId="77777777" w:rsidR="00A769D8" w:rsidRPr="00D31AA5" w:rsidRDefault="00A769D8" w:rsidP="001A1877">
            <w:pPr>
              <w:pStyle w:val="ListParagraph"/>
              <w:tabs>
                <w:tab w:val="left" w:pos="7655"/>
              </w:tabs>
              <w:spacing w:after="0" w:line="360" w:lineRule="auto"/>
              <w:ind w:left="567" w:firstLine="537"/>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1.</w:t>
            </w:r>
            <w:r w:rsidR="00442E36" w:rsidRPr="00D31AA5">
              <w:rPr>
                <w:rFonts w:ascii="GHEA Grapalat" w:hAnsi="GHEA Grapalat"/>
                <w:sz w:val="24"/>
                <w:szCs w:val="24"/>
                <w:shd w:val="clear" w:color="auto" w:fill="FFFFFF"/>
              </w:rPr>
              <w:t xml:space="preserve"> </w:t>
            </w:r>
            <w:r w:rsidRPr="00D31AA5">
              <w:rPr>
                <w:rFonts w:ascii="GHEA Grapalat" w:hAnsi="GHEA Grapalat"/>
                <w:sz w:val="24"/>
                <w:szCs w:val="24"/>
                <w:shd w:val="clear" w:color="auto" w:fill="FFFFFF"/>
              </w:rPr>
              <w:t xml:space="preserve">Նախագծի 3-րդ հոդվածի 1-ին և 2-րդ մասերում առաջարկում եմ հստակեցնել կամ նախանշել «հանրությանը մատչելի դարձնելու» կամ «քաղաքացիական շրջանառության մեջ դնելու» հնարավոր ձևերը, ինչն առկա </w:t>
            </w:r>
            <w:r w:rsidRPr="00D31AA5">
              <w:rPr>
                <w:rFonts w:ascii="GHEA Grapalat" w:hAnsi="GHEA Grapalat"/>
                <w:sz w:val="24"/>
                <w:szCs w:val="24"/>
                <w:shd w:val="clear" w:color="auto" w:fill="FFFFFF"/>
              </w:rPr>
              <w:lastRenderedPageBreak/>
              <w:t>է ««Հեղինակային իրավունքի և հարակից իրավունքների մասին» գործող օրենքի (այսուհետ՝ Օրենք) 5-րդ հոդվածում:</w:t>
            </w:r>
          </w:p>
        </w:tc>
        <w:tc>
          <w:tcPr>
            <w:tcW w:w="35" w:type="dxa"/>
            <w:tcBorders>
              <w:top w:val="outset" w:sz="6" w:space="0" w:color="auto"/>
              <w:left w:val="outset" w:sz="6" w:space="0" w:color="auto"/>
              <w:bottom w:val="outset" w:sz="6" w:space="0" w:color="auto"/>
              <w:right w:val="nil"/>
            </w:tcBorders>
            <w:shd w:val="clear" w:color="auto" w:fill="FFFFFF"/>
            <w:hideMark/>
          </w:tcPr>
          <w:p w14:paraId="2A6DB98B"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09D7E9BD" w14:textId="2986A945" w:rsidR="00790F67" w:rsidRPr="00D31AA5" w:rsidRDefault="00790F67"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4E73CFA1" w14:textId="45E83505" w:rsidR="00790F67" w:rsidRPr="00D31AA5" w:rsidRDefault="00790F67" w:rsidP="001A1877">
            <w:pPr>
              <w:tabs>
                <w:tab w:val="left" w:pos="7655"/>
              </w:tabs>
              <w:spacing w:after="0" w:line="360" w:lineRule="auto"/>
              <w:ind w:left="243" w:firstLine="425"/>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 xml:space="preserve"> «Հանրությանը մատչելի դարձնելու» </w:t>
            </w:r>
            <w:r w:rsidR="00287951" w:rsidRPr="00D31AA5">
              <w:rPr>
                <w:rFonts w:ascii="GHEA Grapalat" w:hAnsi="GHEA Grapalat"/>
                <w:sz w:val="24"/>
                <w:szCs w:val="24"/>
                <w:shd w:val="clear" w:color="auto" w:fill="FFFFFF"/>
              </w:rPr>
              <w:t>իրավունքը</w:t>
            </w:r>
            <w:r w:rsidRPr="00D31AA5">
              <w:rPr>
                <w:rFonts w:ascii="GHEA Grapalat" w:hAnsi="GHEA Grapalat"/>
                <w:sz w:val="24"/>
                <w:szCs w:val="24"/>
                <w:shd w:val="clear" w:color="auto" w:fill="FFFFFF"/>
              </w:rPr>
              <w:t xml:space="preserve"> սահմանվում </w:t>
            </w:r>
            <w:r w:rsidR="00287951" w:rsidRPr="00D31AA5">
              <w:rPr>
                <w:rFonts w:ascii="GHEA Grapalat" w:hAnsi="GHEA Grapalat"/>
                <w:sz w:val="24"/>
                <w:szCs w:val="24"/>
                <w:shd w:val="clear" w:color="auto" w:fill="FFFFFF"/>
              </w:rPr>
              <w:t xml:space="preserve">է Նախագծի </w:t>
            </w:r>
            <w:r w:rsidRPr="00D31AA5">
              <w:rPr>
                <w:rFonts w:ascii="GHEA Grapalat" w:hAnsi="GHEA Grapalat"/>
                <w:sz w:val="24"/>
                <w:szCs w:val="24"/>
                <w:shd w:val="clear" w:color="auto" w:fill="FFFFFF"/>
              </w:rPr>
              <w:t xml:space="preserve"> 30-րդ հոդվածով</w:t>
            </w:r>
            <w:r w:rsidR="00CD1CAE" w:rsidRPr="00D31AA5">
              <w:rPr>
                <w:rFonts w:ascii="GHEA Grapalat" w:hAnsi="GHEA Grapalat"/>
                <w:sz w:val="24"/>
                <w:szCs w:val="24"/>
                <w:shd w:val="clear" w:color="auto" w:fill="FFFFFF"/>
              </w:rPr>
              <w:t>:</w:t>
            </w:r>
            <w:r w:rsidRPr="00D31AA5">
              <w:rPr>
                <w:rFonts w:ascii="GHEA Grapalat" w:hAnsi="GHEA Grapalat"/>
                <w:sz w:val="24"/>
                <w:szCs w:val="24"/>
                <w:shd w:val="clear" w:color="auto" w:fill="FFFFFF"/>
              </w:rPr>
              <w:t xml:space="preserve"> «</w:t>
            </w:r>
            <w:r w:rsidR="00CD1CAE" w:rsidRPr="00D31AA5">
              <w:rPr>
                <w:rFonts w:ascii="GHEA Grapalat" w:hAnsi="GHEA Grapalat"/>
                <w:sz w:val="24"/>
                <w:szCs w:val="24"/>
                <w:shd w:val="clear" w:color="auto" w:fill="FFFFFF"/>
              </w:rPr>
              <w:t>Ք</w:t>
            </w:r>
            <w:r w:rsidRPr="00D31AA5">
              <w:rPr>
                <w:rFonts w:ascii="GHEA Grapalat" w:hAnsi="GHEA Grapalat"/>
                <w:sz w:val="24"/>
                <w:szCs w:val="24"/>
                <w:shd w:val="clear" w:color="auto" w:fill="FFFFFF"/>
              </w:rPr>
              <w:t>աղաքացիական շրջանառության մեջ դնել»</w:t>
            </w:r>
            <w:r w:rsidR="00CD1CAE" w:rsidRPr="00D31AA5">
              <w:rPr>
                <w:rFonts w:ascii="GHEA Grapalat" w:hAnsi="GHEA Grapalat"/>
                <w:sz w:val="24"/>
                <w:szCs w:val="24"/>
                <w:shd w:val="clear" w:color="auto" w:fill="FFFFFF"/>
              </w:rPr>
              <w:t xml:space="preserve"> արտահայտությունն, իր բուն իմաստով, օգտագործվում է այն հոդվածներում, որտեղ անհրաժեշտ է դրա օգտագործումը: Գործող Օրենքի 5-րդ հոդվածի համապատասխան դրույթը սահմանված է նաև Նախագծի 3-րդ հոդվածում: </w:t>
            </w:r>
          </w:p>
        </w:tc>
      </w:tr>
      <w:tr w:rsidR="00D31AA5" w:rsidRPr="00D31AA5" w14:paraId="1D7FFCC9"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E7BC026" w14:textId="58075DB1" w:rsidR="00A769D8" w:rsidRPr="00586389" w:rsidRDefault="00A769D8" w:rsidP="00586389">
            <w:pPr>
              <w:pStyle w:val="ListParagraph"/>
              <w:numPr>
                <w:ilvl w:val="0"/>
                <w:numId w:val="19"/>
              </w:numPr>
              <w:spacing w:after="0" w:line="360" w:lineRule="auto"/>
              <w:ind w:right="264"/>
              <w:rPr>
                <w:rFonts w:ascii="GHEA Grapalat" w:hAnsi="GHEA Grapalat"/>
                <w:sz w:val="24"/>
                <w:szCs w:val="24"/>
                <w:shd w:val="clear" w:color="auto" w:fill="FFFFFF"/>
              </w:rPr>
            </w:pPr>
            <w:r w:rsidRPr="00586389">
              <w:rPr>
                <w:rFonts w:ascii="GHEA Grapalat" w:hAnsi="GHEA Grapalat" w:cs="Times New Roman"/>
                <w:sz w:val="24"/>
                <w:szCs w:val="24"/>
                <w:shd w:val="clear" w:color="auto" w:fill="FFFFFF"/>
              </w:rPr>
              <w:lastRenderedPageBreak/>
              <w:t>Նախագծի</w:t>
            </w:r>
            <w:r w:rsidRPr="00586389">
              <w:rPr>
                <w:rFonts w:ascii="GHEA Grapalat" w:hAnsi="GHEA Grapalat"/>
                <w:sz w:val="24"/>
                <w:szCs w:val="24"/>
                <w:shd w:val="clear" w:color="auto" w:fill="FFFFFF"/>
              </w:rPr>
              <w:t xml:space="preserve"> 7-րդ հոդվածի 4-րդ  մասում առաջարկում եմ ներառել նաև կարգավորում այն մասին, որ հեղինակության ապացույցների պահպանման նպատակով հեղինակը կարող է իր ստեղծագործությունն ի պահ հանձնել նաև նոտարին, ինչն առկա է նաև գործող օրենքում: Ամեն դեպքում, «օրենքով համապատասխան լիազորություն ունեցող այլ կազմակերպություններում» ձևակերպումն իր մեջ չի կարող ներառել նոտարներին:</w:t>
            </w:r>
          </w:p>
          <w:p w14:paraId="6C8776F3"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3EB3FF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B0C5C7A" w14:textId="04EA3F2F" w:rsidR="00A769D8" w:rsidRPr="00D31AA5" w:rsidRDefault="00790F67"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1300B72D" w14:textId="384FCEDA" w:rsidR="00790F67" w:rsidRPr="00D31AA5" w:rsidRDefault="00E17832" w:rsidP="001A1877">
            <w:pPr>
              <w:tabs>
                <w:tab w:val="left" w:pos="7655"/>
              </w:tabs>
              <w:spacing w:after="0" w:line="360" w:lineRule="auto"/>
              <w:ind w:left="243" w:right="267" w:firstLine="425"/>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Համաձայն ՀՀ օրենսդրության և միջազգային նորմերի հեղինակային իրավունքի </w:t>
            </w:r>
            <w:r w:rsidR="00A8790F" w:rsidRPr="00D31AA5">
              <w:rPr>
                <w:rFonts w:ascii="GHEA Grapalat" w:eastAsia="Times New Roman" w:hAnsi="GHEA Grapalat" w:cs="Arial"/>
                <w:sz w:val="24"/>
                <w:szCs w:val="24"/>
                <w:lang w:eastAsia="hy-AM"/>
              </w:rPr>
              <w:t>օբյեկտները</w:t>
            </w:r>
            <w:r w:rsidRPr="00D31AA5">
              <w:rPr>
                <w:rFonts w:ascii="GHEA Grapalat" w:eastAsia="Times New Roman" w:hAnsi="GHEA Grapalat" w:cs="Arial"/>
                <w:sz w:val="24"/>
                <w:szCs w:val="24"/>
                <w:lang w:eastAsia="hy-AM"/>
              </w:rPr>
              <w:t xml:space="preserve"> չեն գրանցվում</w:t>
            </w:r>
            <w:r w:rsidR="00A8790F" w:rsidRPr="00D31AA5">
              <w:rPr>
                <w:rFonts w:ascii="GHEA Grapalat" w:eastAsia="Times New Roman" w:hAnsi="GHEA Grapalat" w:cs="Arial"/>
                <w:sz w:val="24"/>
                <w:szCs w:val="24"/>
                <w:lang w:eastAsia="hy-AM"/>
              </w:rPr>
              <w:t xml:space="preserve">: Սակայն օրենսդրությունը նախատեսում է «ի պահ հանձնելու» հնարավորություն՝ հեղինակի ցանկությամբ: Գործող օրենսդրությամբ նախատեսված նոտարի մոտ ի պահ հանձնելու հնարավորությունը չի օգտագործվել որևէ հեղինակի կողմից: Ստեղծագործությունը ի պահ վերցնելու և դրա հեղինակ ճանաչելու մասին նոտարական հաստատված փաստաթուղթը </w:t>
            </w:r>
            <w:r w:rsidR="008B7CF6" w:rsidRPr="00D31AA5">
              <w:rPr>
                <w:rFonts w:ascii="GHEA Grapalat" w:eastAsia="Times New Roman" w:hAnsi="GHEA Grapalat" w:cs="Arial"/>
                <w:sz w:val="24"/>
                <w:szCs w:val="24"/>
                <w:lang w:eastAsia="hy-AM"/>
              </w:rPr>
              <w:t>բավականին լուրջ հիմք է: Ն</w:t>
            </w:r>
            <w:r w:rsidR="00A8790F" w:rsidRPr="00D31AA5">
              <w:rPr>
                <w:rFonts w:ascii="GHEA Grapalat" w:eastAsia="Times New Roman" w:hAnsi="GHEA Grapalat" w:cs="Arial"/>
                <w:sz w:val="24"/>
                <w:szCs w:val="24"/>
                <w:lang w:eastAsia="hy-AM"/>
              </w:rPr>
              <w:t>ոտար</w:t>
            </w:r>
            <w:r w:rsidR="008B7CF6" w:rsidRPr="00D31AA5">
              <w:rPr>
                <w:rFonts w:ascii="GHEA Grapalat" w:eastAsia="Times New Roman" w:hAnsi="GHEA Grapalat" w:cs="Arial"/>
                <w:sz w:val="24"/>
                <w:szCs w:val="24"/>
                <w:lang w:eastAsia="hy-AM"/>
              </w:rPr>
              <w:t>ը</w:t>
            </w:r>
            <w:r w:rsidR="00A8790F" w:rsidRPr="00D31AA5">
              <w:rPr>
                <w:rFonts w:ascii="GHEA Grapalat" w:eastAsia="Times New Roman" w:hAnsi="GHEA Grapalat" w:cs="Arial"/>
                <w:sz w:val="24"/>
                <w:szCs w:val="24"/>
                <w:lang w:eastAsia="hy-AM"/>
              </w:rPr>
              <w:t xml:space="preserve"> վստահ չէ</w:t>
            </w:r>
            <w:r w:rsidR="00A270AC" w:rsidRPr="00D31AA5">
              <w:rPr>
                <w:rFonts w:ascii="GHEA Grapalat" w:eastAsia="Times New Roman" w:hAnsi="GHEA Grapalat" w:cs="Arial"/>
                <w:sz w:val="24"/>
                <w:szCs w:val="24"/>
                <w:lang w:eastAsia="hy-AM"/>
              </w:rPr>
              <w:t>,</w:t>
            </w:r>
            <w:r w:rsidR="00A8790F" w:rsidRPr="00D31AA5">
              <w:rPr>
                <w:rFonts w:ascii="GHEA Grapalat" w:eastAsia="Times New Roman" w:hAnsi="GHEA Grapalat" w:cs="Arial"/>
                <w:sz w:val="24"/>
                <w:szCs w:val="24"/>
                <w:lang w:eastAsia="hy-AM"/>
              </w:rPr>
              <w:t xml:space="preserve"> որ հենց այդ ստեղծագործության հեղինակը </w:t>
            </w:r>
            <w:r w:rsidR="008B7CF6" w:rsidRPr="00D31AA5">
              <w:rPr>
                <w:rFonts w:ascii="GHEA Grapalat" w:eastAsia="Times New Roman" w:hAnsi="GHEA Grapalat" w:cs="Arial"/>
                <w:sz w:val="24"/>
                <w:szCs w:val="24"/>
                <w:lang w:eastAsia="hy-AM"/>
              </w:rPr>
              <w:t>այն</w:t>
            </w:r>
            <w:r w:rsidR="00A8790F" w:rsidRPr="00D31AA5">
              <w:rPr>
                <w:rFonts w:ascii="GHEA Grapalat" w:eastAsia="Times New Roman" w:hAnsi="GHEA Grapalat" w:cs="Arial"/>
                <w:sz w:val="24"/>
                <w:szCs w:val="24"/>
                <w:lang w:eastAsia="hy-AM"/>
              </w:rPr>
              <w:t xml:space="preserve"> ներկայացնող անձն է</w:t>
            </w:r>
            <w:r w:rsidR="008B7CF6" w:rsidRPr="00D31AA5">
              <w:rPr>
                <w:rFonts w:ascii="GHEA Grapalat" w:eastAsia="Times New Roman" w:hAnsi="GHEA Grapalat" w:cs="Arial"/>
                <w:sz w:val="24"/>
                <w:szCs w:val="24"/>
                <w:lang w:eastAsia="hy-AM"/>
              </w:rPr>
              <w:t>:</w:t>
            </w:r>
            <w:r w:rsidR="00A8790F" w:rsidRPr="00D31AA5">
              <w:rPr>
                <w:rFonts w:ascii="GHEA Grapalat" w:eastAsia="Times New Roman" w:hAnsi="GHEA Grapalat" w:cs="Arial"/>
                <w:sz w:val="24"/>
                <w:szCs w:val="24"/>
                <w:lang w:eastAsia="hy-AM"/>
              </w:rPr>
              <w:t xml:space="preserve">  Պետք է նշել նաև, որ մինչ այսօր որևէ հեղինակ իր ստեղծագործությունը ի պահ չի հանձնել նոտարին: </w:t>
            </w:r>
          </w:p>
        </w:tc>
      </w:tr>
      <w:tr w:rsidR="00D31AA5" w:rsidRPr="00D31AA5" w14:paraId="6422BDE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E7D64A7" w14:textId="446B5B0A" w:rsidR="00A769D8" w:rsidRPr="00D31AA5" w:rsidRDefault="00A769D8" w:rsidP="00586389">
            <w:pPr>
              <w:pStyle w:val="ListParagraph"/>
              <w:numPr>
                <w:ilvl w:val="0"/>
                <w:numId w:val="19"/>
              </w:numPr>
              <w:tabs>
                <w:tab w:val="left" w:pos="679"/>
              </w:tabs>
              <w:spacing w:after="0" w:line="360" w:lineRule="auto"/>
              <w:ind w:right="142"/>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Նախագծի 5-րդ «ՀԵՂԻՆԱԿԱՅԻՆ ԻՐԱՎՈՒՆՔԻ ՍԱՀՄԱՆԱՓԱԿՈՒՄՆԵՐԸ» գլխում ներառված 50-րդ հոդվածի (վերագրված «Տվյալների բազաների ազատ օգտագործումը») դրույթների համաձայն՝ «Հրապարակված տվյալների բազայի կամ դրա օրինակի օրինական օգտագործողը կարող է ազատ օգտագործել այդ տվյալների բազան, եթե դա անհրաժեշտ է դրա պարունակության հասանելիության և բնականոն օգտագործման համար։ Եթե տվյալների բազայի օրինական օգտագործողը լիազորված է օգտագործել տվյալների բազայի միայն մի մասը, ապա սույն դրույթը կիրառվում է միայն այդ մասի նկատմամբ։»: Այնուհետև, Նախագծի 118-րդ հոդվածում (վերագրված «Տվյալների բազաների նկատմամբ իրավունքների սահմանափակումները») խոսք է գնում տվյալների բազայի օրինական օգտագործողի կողմից առանց տվյալների բազա պատրաստողի թույլտվության կոմիլյացնելու և/կամ ազատ օգտագործման դեպքերի մասին՝ թվարկելով դրանք: Վերը նշվածի առնչությամբ պարզաբանման է ենթակա հետևյալ հարցերը.</w:t>
            </w:r>
          </w:p>
          <w:p w14:paraId="5B8B59D2"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ինչու՞ Նախագծի 5-րդ գլխում ներառված 50-րդ հոդվածը բովանդակային առումով առնչություն չունի տվյալ գլխի հետ, քանի որ հոդվածի վերնագրում խոսք է գնում տվյալների բազաների ազատ օգտագործման մասին, իսկ սահմանափակումների դեպքերը նկարագրված են մեկ այլ՝ 118-րդ հոդվածում,</w:t>
            </w:r>
          </w:p>
          <w:p w14:paraId="0C01B093"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արդյո՞ք Նախագծի 50-րդ հոդվածում կիրառվող «Եթե տվյալների բազայի օրինական օգտագործողը լիազորված է օգտագործել տվյալների բազայի միայն մի մասը, ապա սույն դրույթը կիրառվում է միայն այդ մասի նկատմամբ։» նախադասությունն իր բովանդակությամբ չի նկարագրում  իրավունքների սահմանափակման դեպք, եթե այո, ապա ինչու՞ Նախագծի 118-րդ հոդվածում թվարկված դեպքերի մեջ չի ներառվում կամ գուցե կարիք կա միավորելու այս երկու հոդվածներն ու այդ նոր հոդվածն ընդգրկել ճիշտ գլխում, </w:t>
            </w:r>
          </w:p>
          <w:p w14:paraId="37DF9E5E"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արդյո՞ք Նախագծի 50-րդ հոդվածի 1-ին մասի 2-րդ նախադասությունը  բովանդակային առումով չի նույնանում նաև Նախագծի 117-րդ հոդվածի 2-րդ մասի կարգավորման հետ,</w:t>
            </w:r>
          </w:p>
          <w:p w14:paraId="18CB4103"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կարիք կա հստակեցնելու տվյալների բազայի «օգտագործում» և «ազատ օգտագործում»  ձևակերպումները բովանդակային առումով ինչո՞վ են իրարից տարբերվում:</w:t>
            </w:r>
          </w:p>
          <w:p w14:paraId="4889C0CB"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7B6082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51BF78F" w14:textId="3D69ECC5" w:rsidR="00A769D8" w:rsidRPr="00D31AA5" w:rsidRDefault="00E458C9"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4D62D8C4" w14:textId="7889D430" w:rsidR="00E458C9" w:rsidRPr="00D31AA5" w:rsidRDefault="00F77657" w:rsidP="00F4659A">
            <w:pPr>
              <w:tabs>
                <w:tab w:val="left" w:pos="7655"/>
              </w:tabs>
              <w:spacing w:after="0" w:line="360" w:lineRule="auto"/>
              <w:ind w:left="567" w:firstLine="38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w:t>
            </w:r>
            <w:r w:rsidR="00E458C9" w:rsidRPr="00D31AA5">
              <w:rPr>
                <w:rFonts w:ascii="GHEA Grapalat" w:eastAsia="Times New Roman" w:hAnsi="GHEA Grapalat" w:cs="Arial"/>
                <w:sz w:val="24"/>
                <w:szCs w:val="24"/>
                <w:lang w:eastAsia="hy-AM"/>
              </w:rPr>
              <w:t>5-րդ գլխով կարգավորվում են հեղինակային իրավունքի սահմանափակումները, հետևաբար 50-րդ հոդվածով սահմանված «տվյալների բազան»</w:t>
            </w:r>
            <w:r w:rsidRPr="00D31AA5">
              <w:rPr>
                <w:rFonts w:ascii="GHEA Grapalat" w:eastAsia="Times New Roman" w:hAnsi="GHEA Grapalat" w:cs="Arial"/>
                <w:sz w:val="24"/>
                <w:szCs w:val="24"/>
                <w:lang w:eastAsia="hy-AM"/>
              </w:rPr>
              <w:t>՝</w:t>
            </w:r>
            <w:r w:rsidR="00E458C9" w:rsidRPr="00D31AA5">
              <w:rPr>
                <w:rFonts w:ascii="GHEA Grapalat" w:eastAsia="Times New Roman" w:hAnsi="GHEA Grapalat" w:cs="Arial"/>
                <w:sz w:val="24"/>
                <w:szCs w:val="24"/>
                <w:lang w:eastAsia="hy-AM"/>
              </w:rPr>
              <w:t xml:space="preserve"> նշված գլխին համապատասխան դիտարկվում է որպես հեղինակային իրավունքի օբյեկտ: </w:t>
            </w:r>
            <w:r w:rsidR="002E3C27" w:rsidRPr="00D31AA5">
              <w:rPr>
                <w:rFonts w:ascii="GHEA Grapalat" w:eastAsia="Times New Roman" w:hAnsi="GHEA Grapalat" w:cs="Arial"/>
                <w:sz w:val="24"/>
                <w:szCs w:val="24"/>
                <w:lang w:eastAsia="hy-AM"/>
              </w:rPr>
              <w:t>Իսկ Նախագծի 13-րդ գլխով (որտեղ ընդգրկված է 118-րդ հոդվածը) կարգավորվում են հարակից իրավունքները և այս դեպքում «տվյալների բազան» նշված գլխին և հոդվածին համապատասխան դիտարկվում է որպես հարակից իրավունքի օբյեկտ:</w:t>
            </w:r>
          </w:p>
        </w:tc>
      </w:tr>
      <w:tr w:rsidR="00D31AA5" w:rsidRPr="00D31AA5" w14:paraId="5DF59AC0"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3DD2E6D" w14:textId="112968AD" w:rsidR="00A769D8" w:rsidRPr="00D31AA5" w:rsidRDefault="00A769D8" w:rsidP="00586389">
            <w:pPr>
              <w:pStyle w:val="ListParagraph"/>
              <w:numPr>
                <w:ilvl w:val="0"/>
                <w:numId w:val="19"/>
              </w:numPr>
              <w:tabs>
                <w:tab w:val="left" w:pos="567"/>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116-րդ հոդվածի 1-ին մասի 4-րդ կետի համաձայն՝ տվյալների բազա պատրաստողը բացառիկ իրավունք ունի արգելելու կամ թույլատրելու իր՝ տվյալների բազան հանրությանը մատչելի դարձնելը: </w:t>
            </w:r>
          </w:p>
          <w:p w14:paraId="774AD2B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Այդ առնչությամբ հարկ եմ համարում անդրադարձ կատարել ՀՀ կառավարության 2025 թվականի օգոստոսի 14-ի N 1131-Ա որոշմամբ </w:t>
            </w:r>
            <w:r w:rsidRPr="00D31AA5">
              <w:rPr>
                <w:rFonts w:ascii="GHEA Grapalat" w:hAnsi="GHEA Grapalat"/>
                <w:sz w:val="24"/>
                <w:szCs w:val="24"/>
                <w:shd w:val="clear" w:color="auto" w:fill="FFFFFF"/>
              </w:rPr>
              <w:lastRenderedPageBreak/>
              <w:t xml:space="preserve">հավանության արժանացած և Ազգային ժողովի քննարկմանը ներկայացված  «Հանրային տեղեկությունների մասին» օրենքի նախագծին, որի՝ </w:t>
            </w:r>
          </w:p>
          <w:p w14:paraId="0C822BB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1-ին հոդվածի համաձայն՝ «</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 xml:space="preserve"> օրենքը կարգավորում է հանրությանը և յուրաքանչյուր անձի թվային անվտանգ միջավայրում կամ բաց տեղեկությունների քաղաքականության իրականացման միջոցով արդյունավետ ու որակյալ ծառայություններ մատուցելու հետ կապված հարաբերությունները</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w:t>
            </w:r>
          </w:p>
          <w:p w14:paraId="78D2F92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3-րդ հոդվածի 1-ին մասի 3-րդ կետի համաձայն՝ «բաց տեղեկությունների քաղաքականությունը թվային տիրույթում հանրային հասանելիության ապահովումն է այն տեղեկությունների նկատմամբ, որոնք օրենքով պաշտպանվող տեղեկություններ չեն հանդիսանում։»,</w:t>
            </w:r>
          </w:p>
          <w:p w14:paraId="50ACE418"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7-րդ հոդվածի 3-րդ մասի համաձայն՝ «Տեղեկատվություն տնօրինողները պարտավոր են անհապաղ, բայց ոչ ուշ քան հինգ աշխատանքային օրվա ընթացքում բացահայտել իրենց գործունեությանն առնչվող այն տեղեկությունները և դրանցում կատարված փոփոխությունները, որոնք օրենքով սահմանված կարգով չեն դասակարգվել պետական գաղտնիքի կամ սահմանափակ տարածման այլ տեղեկությունների շարքին»։</w:t>
            </w:r>
          </w:p>
          <w:p w14:paraId="13B75D0A"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Նշված կարգավորումների համեմատական վերլուծությունը ցույց է տալիս, որ Նախագծի այն կարգավորումը, ըստ որի՝ տվյալների բազա պատրատողը բացառիկ իրավունք ունի արգելել կամ թույլատրել տվյալների </w:t>
            </w:r>
            <w:r w:rsidRPr="00D31AA5">
              <w:rPr>
                <w:rFonts w:ascii="GHEA Grapalat" w:hAnsi="GHEA Grapalat"/>
                <w:sz w:val="24"/>
                <w:szCs w:val="24"/>
                <w:shd w:val="clear" w:color="auto" w:fill="FFFFFF"/>
              </w:rPr>
              <w:lastRenderedPageBreak/>
              <w:t>բազայի հանրությանը մատչելի դարձնելը, հանրային տեղեկությունների դեպքում հակասում է «Հանրային տեղեկությունների մասին» օրենքի նախագծի «բաց տեղեկությունների քաղաքականության» սկզբունքին, որի համաձայն՝ այդ օրենքի 1-ին հոդվածի 2-րդ մասով սահմանված սուբյեկտների կողմից մշակվող տեղեկատվությունը (այդ թվում՝ տվյալների բազան) պետք է բացահայտվի, եթե այն օրենքով սահմանված կարգով չի դասակարգվել պետական գաղտնիքի կամ սահմանափակ տարածման տեղեկությունների շարքին։ Այսինքն, տվյալների բազա տիրապետողը չունի բացառիկ իրավունք թույլատրելու տվյալների բազայի հանրամատչելի լինելը, քանի որ «Հանրային տեղեկությունների մասին» օրենքի ուժով դրանք արդեն իսկ պետք է հանրամատչելի լինեն, եթե մշակվում են նույն օրենքով սահմանված սուբյեկտների կողմից և հանդիսանում են հանրային տեղեկություն։  Միաժամանակ տվյալների բազայի հանրամատչելի լինելն արգելելը նույնպես չի կարող բազան տիրապետողի բացառիկ իրավունքը լինել, քանի որ «Հանրային տեղեկությունների մասին» օրենքի ուժով՝ օրենքով սահմանված սուբյեկտների կողմից մշակվելու և հանրային տեղեկություն լինելու դեպքում տեղեկատվության հանրամատչելի լինելու արգելքը պետք է բացառապես պայմանավորված լինի դրա՝ որպես պետական գաղտնիք կամ սահմանափակ տարածման տեղեկատվություն դասակարգմամբ։</w:t>
            </w:r>
          </w:p>
          <w:p w14:paraId="7C7906D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Վերոգրյալը հաշվի առնելով առաջարկում ենք  Նախագծի 116-րդ հոդվածի 1-ին մասի 4-րդ կետը խմբագրել հետևյալ կերպ</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 xml:space="preserve"> </w:t>
            </w:r>
          </w:p>
          <w:p w14:paraId="4A079D5A"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4) տվյալների բազան հանրությանը մատչելի դարձնելը, եթե տվյալների բազան չի պարունակում «Հանրային տեղեկությունների մասին» ՀՀ օրենքի 1-ին հոդվածի  2-րդ մասով սահմանված սուբյեկտների կողմից օրենքով սահմանված չափով և կարգով ձեռք բերված, գրանցված և/կամ ցանկացած եղանակով մշակված տվյալներ:»:</w:t>
            </w:r>
          </w:p>
          <w:p w14:paraId="212C514D"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3C37B504"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E9D9969" w14:textId="77777777" w:rsidR="00A769D8" w:rsidRDefault="00BE759E" w:rsidP="001A1877">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213B3B49" w14:textId="5290683F" w:rsidR="00BE759E" w:rsidRDefault="00BE759E" w:rsidP="001A1877">
            <w:pPr>
              <w:widowControl w:val="0"/>
              <w:spacing w:line="360" w:lineRule="auto"/>
              <w:ind w:left="243" w:right="409" w:firstLine="425"/>
              <w:jc w:val="both"/>
              <w:rPr>
                <w:rFonts w:ascii="GHEA Grapalat" w:eastAsia="Times New Roman" w:hAnsi="GHEA Grapalat" w:cs="Arial"/>
                <w:sz w:val="24"/>
                <w:szCs w:val="24"/>
                <w:lang w:eastAsia="hy-AM"/>
              </w:rPr>
            </w:pPr>
            <w:r w:rsidRPr="00BE759E">
              <w:rPr>
                <w:rFonts w:ascii="GHEA Grapalat" w:hAnsi="GHEA Grapalat"/>
                <w:sz w:val="24"/>
                <w:szCs w:val="24"/>
                <w:shd w:val="clear" w:color="auto" w:fill="FFFFFF"/>
              </w:rPr>
              <w:t xml:space="preserve">Նախագծի իմաստով տվյալների բազաները պահպանվում </w:t>
            </w:r>
            <w:r w:rsidR="003D362B">
              <w:rPr>
                <w:rFonts w:ascii="GHEA Grapalat" w:hAnsi="GHEA Grapalat"/>
                <w:sz w:val="24"/>
                <w:szCs w:val="24"/>
                <w:shd w:val="clear" w:color="auto" w:fill="FFFFFF"/>
              </w:rPr>
              <w:t>են</w:t>
            </w:r>
            <w:r w:rsidRPr="00BE759E">
              <w:rPr>
                <w:rFonts w:ascii="GHEA Grapalat" w:hAnsi="GHEA Grapalat"/>
                <w:sz w:val="24"/>
                <w:szCs w:val="24"/>
                <w:shd w:val="clear" w:color="auto" w:fill="FFFFFF"/>
              </w:rPr>
              <w:t xml:space="preserve"> հեղինակային իրավունքով այն դեպքում, երբ դրանք ըստ իրենց պարունակության ընտրության և (կամ) տեղաբաշխման ստեղծագործական աշխատանքի արդյունք են</w:t>
            </w:r>
            <w:r>
              <w:rPr>
                <w:rFonts w:ascii="GHEA Grapalat" w:hAnsi="GHEA Grapalat"/>
                <w:sz w:val="24"/>
                <w:szCs w:val="24"/>
                <w:shd w:val="clear" w:color="auto" w:fill="FFFFFF"/>
              </w:rPr>
              <w:t xml:space="preserve"> </w:t>
            </w:r>
            <w:r>
              <w:rPr>
                <w:rFonts w:ascii="GHEA Grapalat" w:hAnsi="GHEA Grapalat"/>
                <w:sz w:val="24"/>
                <w:szCs w:val="24"/>
                <w:shd w:val="clear" w:color="auto" w:fill="FFFFFF"/>
              </w:rPr>
              <w:lastRenderedPageBreak/>
              <w:t xml:space="preserve">(Նախագծի </w:t>
            </w:r>
            <w:r>
              <w:rPr>
                <w:rFonts w:ascii="GHEA Grapalat" w:eastAsia="Times New Roman" w:hAnsi="GHEA Grapalat" w:cs="Arial"/>
                <w:sz w:val="24"/>
                <w:szCs w:val="24"/>
                <w:lang w:eastAsia="hy-AM"/>
              </w:rPr>
              <w:t xml:space="preserve">4-րդ հոդվածի 3-րդ մասի  2-րդ ենթակետ): </w:t>
            </w:r>
          </w:p>
          <w:p w14:paraId="4D7E030D" w14:textId="1CF8F81C" w:rsidR="006E15B4" w:rsidRDefault="006E15B4"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Նախագծի 85-րդ հոդվածի 1-ին և 2-րդ մասերի համաձայն կ</w:t>
            </w:r>
            <w:r w:rsidRPr="006E15B4">
              <w:rPr>
                <w:rFonts w:ascii="GHEA Grapalat" w:eastAsia="Times New Roman" w:hAnsi="GHEA Grapalat" w:cs="Arial"/>
                <w:sz w:val="24"/>
                <w:szCs w:val="24"/>
                <w:lang w:eastAsia="hy-AM"/>
              </w:rPr>
              <w:t>ազմածո ստեղծագործության կազմողին, տվյալների բազա ստեղծողին է պատկանում իր կողմից հավաքված նյութերի պարունակության ընտրության ու տեղաբաշխման նկատմամբ հեղինակային իրավունքը, որը ստեղծագործական աշխատանքի արդյունք է: Տվյալների բազան անկախ ստեղծագործությունների, տվյալների կամ այլ նյութերի համակարգված կամ հետևողական ձևով դասավորված հավաքածու է, որը անհատապես մատչելի է էլեկտրոնային կամ այլ եղանակով։</w:t>
            </w:r>
            <w:r w:rsidR="003005B3">
              <w:rPr>
                <w:rFonts w:ascii="GHEA Grapalat" w:eastAsia="Times New Roman" w:hAnsi="GHEA Grapalat" w:cs="Arial"/>
                <w:sz w:val="24"/>
                <w:szCs w:val="24"/>
                <w:lang w:eastAsia="hy-AM"/>
              </w:rPr>
              <w:t xml:space="preserve"> Հետևաբար, ոչ բոլոր տվյալների բազաներն են հանդիսանում հեղինակային իրավունքի կամ հարակից իրավունքների օբյեկտ:</w:t>
            </w:r>
          </w:p>
          <w:p w14:paraId="16530CB6" w14:textId="20709799" w:rsidR="003005B3" w:rsidRDefault="003005B3"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Նախագծի 114-րդ հոդվածի 1-ին մասի համաձայն՝ </w:t>
            </w:r>
            <w:r w:rsidRPr="003005B3">
              <w:rPr>
                <w:rFonts w:ascii="GHEA Grapalat" w:eastAsia="Times New Roman" w:hAnsi="GHEA Grapalat" w:cs="Arial"/>
                <w:sz w:val="24"/>
                <w:szCs w:val="24"/>
                <w:lang w:eastAsia="hy-AM"/>
              </w:rPr>
              <w:t xml:space="preserve">Սույն օրենքի իմաստով տվյալների բազա պատրաստող է համարվում ցանկացած </w:t>
            </w:r>
            <w:r w:rsidRPr="003005B3">
              <w:rPr>
                <w:rFonts w:ascii="GHEA Grapalat" w:eastAsia="Times New Roman" w:hAnsi="GHEA Grapalat" w:cs="Arial"/>
                <w:sz w:val="24"/>
                <w:szCs w:val="24"/>
                <w:lang w:eastAsia="hy-AM"/>
              </w:rPr>
              <w:lastRenderedPageBreak/>
              <w:t>անձ, որն իր նախաձեռնությամբ և պատասխանատվությամբ որակապես և (կամ) քանակապես էական ներդրում է կատարել տվյալների բազայի պարունակության ձեռքբերման, ճշգրտման կամ ներկայացման  համար</w:t>
            </w:r>
            <w:r>
              <w:rPr>
                <w:rFonts w:ascii="GHEA Grapalat" w:eastAsia="Times New Roman" w:hAnsi="GHEA Grapalat" w:cs="Arial"/>
                <w:sz w:val="24"/>
                <w:szCs w:val="24"/>
                <w:lang w:eastAsia="hy-AM"/>
              </w:rPr>
              <w:t xml:space="preserve">: Այսինքն՝ Նախագծի իմաստով տվյալների բազա և տվյալների բազա պատրաստողը տարբերվում </w:t>
            </w:r>
            <w:r w:rsidR="00896272">
              <w:rPr>
                <w:rFonts w:ascii="GHEA Grapalat" w:eastAsia="Times New Roman" w:hAnsi="GHEA Grapalat" w:cs="Arial"/>
                <w:sz w:val="24"/>
                <w:szCs w:val="24"/>
                <w:lang w:eastAsia="hy-AM"/>
              </w:rPr>
              <w:t>են</w:t>
            </w:r>
            <w:r>
              <w:rPr>
                <w:rFonts w:ascii="GHEA Grapalat" w:eastAsia="Times New Roman" w:hAnsi="GHEA Grapalat" w:cs="Arial"/>
                <w:sz w:val="24"/>
                <w:szCs w:val="24"/>
                <w:lang w:eastAsia="hy-AM"/>
              </w:rPr>
              <w:t xml:space="preserve"> «</w:t>
            </w:r>
            <w:r w:rsidRPr="00D31AA5">
              <w:rPr>
                <w:rFonts w:ascii="GHEA Grapalat" w:hAnsi="GHEA Grapalat"/>
                <w:sz w:val="24"/>
                <w:szCs w:val="24"/>
                <w:shd w:val="clear" w:color="auto" w:fill="FFFFFF"/>
              </w:rPr>
              <w:t>Հանրային տեղեկությունների մասին» օրենքի նախագծ</w:t>
            </w:r>
            <w:r>
              <w:rPr>
                <w:rFonts w:ascii="GHEA Grapalat" w:hAnsi="GHEA Grapalat"/>
                <w:sz w:val="24"/>
                <w:szCs w:val="24"/>
                <w:shd w:val="clear" w:color="auto" w:fill="FFFFFF"/>
              </w:rPr>
              <w:t xml:space="preserve">ով սահմանված </w:t>
            </w:r>
            <w:r>
              <w:rPr>
                <w:rFonts w:ascii="GHEA Grapalat" w:eastAsia="Times New Roman" w:hAnsi="GHEA Grapalat" w:cs="Arial"/>
                <w:sz w:val="24"/>
                <w:szCs w:val="24"/>
                <w:lang w:eastAsia="hy-AM"/>
              </w:rPr>
              <w:t>տվյալների բազա և տվյալների բազա պատրաստող հասկացություններից:</w:t>
            </w:r>
          </w:p>
          <w:p w14:paraId="40281D37" w14:textId="7A67B92C" w:rsidR="00BE759E" w:rsidRPr="00D31AA5" w:rsidRDefault="00BE759E"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Միաժամանակ հայտնում ենք, որ Նախագծում տվյալների բազաներին վերաբերվող դրույթները </w:t>
            </w:r>
            <w:r w:rsidR="00896272">
              <w:rPr>
                <w:rFonts w:ascii="GHEA Grapalat" w:eastAsia="Times New Roman" w:hAnsi="GHEA Grapalat" w:cs="Arial"/>
                <w:sz w:val="24"/>
                <w:szCs w:val="24"/>
                <w:lang w:eastAsia="hy-AM"/>
              </w:rPr>
              <w:t xml:space="preserve">ամբողջությամբ </w:t>
            </w:r>
            <w:r>
              <w:rPr>
                <w:rFonts w:ascii="GHEA Grapalat" w:eastAsia="Times New Roman" w:hAnsi="GHEA Grapalat" w:cs="Arial"/>
                <w:sz w:val="24"/>
                <w:szCs w:val="24"/>
                <w:lang w:eastAsia="hy-AM"/>
              </w:rPr>
              <w:t xml:space="preserve">համապատասխանեցված են ԵՄ «Տեղեկատվական տեղեկատվության իրավական պաշտպանության մասին» թիվ </w:t>
            </w:r>
            <w:r w:rsidR="006E15B4" w:rsidRPr="006E15B4">
              <w:rPr>
                <w:rFonts w:ascii="GHEA Grapalat" w:eastAsia="Times New Roman" w:hAnsi="GHEA Grapalat" w:cs="Arial"/>
                <w:sz w:val="24"/>
                <w:szCs w:val="24"/>
                <w:lang w:eastAsia="hy-AM"/>
              </w:rPr>
              <w:t>96</w:t>
            </w:r>
            <w:r w:rsidR="006E15B4">
              <w:rPr>
                <w:rFonts w:ascii="GHEA Grapalat" w:eastAsia="Times New Roman" w:hAnsi="GHEA Grapalat" w:cs="Arial"/>
                <w:sz w:val="24"/>
                <w:szCs w:val="24"/>
                <w:lang w:eastAsia="hy-AM"/>
              </w:rPr>
              <w:t>/</w:t>
            </w:r>
            <w:r w:rsidR="006E15B4" w:rsidRPr="006E15B4">
              <w:rPr>
                <w:rFonts w:ascii="GHEA Grapalat" w:eastAsia="Times New Roman" w:hAnsi="GHEA Grapalat" w:cs="Arial"/>
                <w:sz w:val="24"/>
                <w:szCs w:val="24"/>
                <w:lang w:eastAsia="hy-AM"/>
              </w:rPr>
              <w:t>9</w:t>
            </w:r>
            <w:r w:rsidR="006E15B4">
              <w:rPr>
                <w:rFonts w:ascii="GHEA Grapalat" w:eastAsia="Times New Roman" w:hAnsi="GHEA Grapalat" w:cs="Arial"/>
                <w:sz w:val="24"/>
                <w:szCs w:val="24"/>
                <w:lang w:eastAsia="hy-AM"/>
              </w:rPr>
              <w:t>/</w:t>
            </w:r>
            <w:r w:rsidR="006E15B4" w:rsidRPr="006E15B4">
              <w:rPr>
                <w:rFonts w:ascii="GHEA Grapalat" w:eastAsia="Times New Roman" w:hAnsi="GHEA Grapalat" w:cs="Arial"/>
                <w:sz w:val="24"/>
                <w:szCs w:val="24"/>
                <w:lang w:eastAsia="hy-AM"/>
              </w:rPr>
              <w:t>EC</w:t>
            </w:r>
            <w:r w:rsidRPr="00BE759E">
              <w:rPr>
                <w:rFonts w:ascii="GHEA Grapalat" w:eastAsia="Times New Roman" w:hAnsi="GHEA Grapalat" w:cs="Arial"/>
                <w:sz w:val="24"/>
                <w:szCs w:val="24"/>
                <w:lang w:eastAsia="hy-AM"/>
              </w:rPr>
              <w:t xml:space="preserve"> դիրեկտիվին:</w:t>
            </w:r>
          </w:p>
        </w:tc>
      </w:tr>
      <w:tr w:rsidR="00D31AA5" w:rsidRPr="00D31AA5" w14:paraId="1179115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23E9470" w14:textId="3D60555E" w:rsidR="00A769D8" w:rsidRPr="00D31AA5" w:rsidRDefault="00A769D8" w:rsidP="00586389">
            <w:pPr>
              <w:pStyle w:val="ListParagraph"/>
              <w:numPr>
                <w:ilvl w:val="0"/>
                <w:numId w:val="19"/>
              </w:numPr>
              <w:tabs>
                <w:tab w:val="left" w:pos="7655"/>
              </w:tabs>
              <w:spacing w:after="0" w:line="360" w:lineRule="auto"/>
              <w:ind w:right="142"/>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118-րդ հոդվածի համաձայն՝ «Ցանկացած ձևով հրապարակված տվյալների բազայի օրինական օգտագործողն առանց տվյալների բազա պատրաստողի թույլտվության կարող է կոմպիլյացնել և (կամ) ազատ օգտագործել դրա պարունակության էական մասը հետևյալ դեպքերում` </w:t>
            </w:r>
          </w:p>
          <w:p w14:paraId="25D15A9D"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1) եթե ոչ էլեկտրոնային տվյալների բազայի պարունակությունն օգտագործվում է անձնական նպատակով.</w:t>
            </w:r>
          </w:p>
          <w:p w14:paraId="6B8E0F46"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2) եթե տվյալների բազայի պարունակությունն օգտագործվում է ուսուցման կամ գիտական հետազոտության լուսաբանման նպատակներով` ոչ առևտրային նպատակն արդարացնող ծավալով.</w:t>
            </w:r>
          </w:p>
          <w:p w14:paraId="43ECF341"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3) եթե տվյալների բազայի պարունակությունն օգտագործվում է հասարակության անվտանգության կամ վարչական, խորհրդարանական, դատական կամ արբիտրաժային ընթացակարգերի պատշաճ ընթացքի ապահովման կամ լուսաբանման նպատակներով։»:</w:t>
            </w:r>
          </w:p>
          <w:p w14:paraId="743CE425"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«Հանրային տեղեկությունների մասին» օրենքի նախագծի 3-րդ հոդվածի 1-ին մասի    5-րդ կետի համաձայն՝ «տեղեկության բազմակի օգտագործումը պետական գործառույթների իրականացման նպատակով և ընթացքում ձեռք բերված ու մշակված տեղեկությունների ստացումն ու օգտագործումն է իրավաբանական և ֆիզիկական անձանց կողմից օրենքով չարգելված ցանկացած նպատակի համար.»: Հետևաբար, Նախագծի 118-րդ հոդվածով սահմանված օրինական օգտագործողի կողմից տվյալների բազայի ազատ օգտագործումը «Հանրային տեղեկությունների մասին» օրենքի նախագծի 3-րդ հոդվածի 1-ին մասի 5-րդ կետի իմաստով համարվում է տեղեկության (հանրային տեղեկության) բազմակի օգտագործում։ </w:t>
            </w:r>
          </w:p>
          <w:p w14:paraId="5F094FF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Առանց տվյալների բազա պատրաստողի թույլտվության հրապարակված տվյալների բազայի ազատ օգտագործումը Նախագիծը պայմանավորում է 3 դեպքերով, ինչը հանրային տեղեկությունների պարագայում սահմանափակում է «Հանրային տեղեկությունների մասին» ՀՀ օրենքի նախագծի 3-րդ հոդվածի 1-ին մասի 5-րդ կետով սահմանված օրենքով չարգելված ցանկացած նպատակի համար տեղեկությունների օգտագործման ազատությունը։</w:t>
            </w:r>
          </w:p>
          <w:p w14:paraId="034E49CC"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Առաջարկվում է Նախագծի 118-րդ հոդվածի 1-ին մասում բացառություն նախատեսել  այն տվյալների բազանների նկատմամբ, որոնք «Հանրային </w:t>
            </w:r>
            <w:r w:rsidRPr="00D31AA5">
              <w:rPr>
                <w:rFonts w:ascii="GHEA Grapalat" w:hAnsi="GHEA Grapalat"/>
                <w:sz w:val="24"/>
                <w:szCs w:val="24"/>
                <w:shd w:val="clear" w:color="auto" w:fill="FFFFFF"/>
              </w:rPr>
              <w:lastRenderedPageBreak/>
              <w:t>տեղեկություններ մասին» օրենքով սահմանված կարգով պարունակում են հանրային տեղեկություն  և դրանք տրվել են  բազմակի օգտագործման:</w:t>
            </w:r>
          </w:p>
          <w:p w14:paraId="6D71C30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Բացի այդ Նախագծով 3 կետերով սահմանված դեպքերի նկատմամբ վերահսկողության և կարգավորման մեխանիզմները հստակեցված չեն, թե ինչպե՞ս և ու՞մ կողմից է կատարվելու։</w:t>
            </w:r>
          </w:p>
          <w:p w14:paraId="40535B3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58DFAAB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AAE2BEC" w14:textId="77777777" w:rsidR="00586389" w:rsidRDefault="00586389" w:rsidP="00586389">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17A4345A" w14:textId="26417285" w:rsidR="00A769D8" w:rsidRPr="00D31AA5" w:rsidRDefault="007D0B51" w:rsidP="001A1877">
            <w:pPr>
              <w:tabs>
                <w:tab w:val="left" w:pos="7655"/>
              </w:tabs>
              <w:spacing w:after="0" w:line="360" w:lineRule="auto"/>
              <w:ind w:left="567"/>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Նախագծում տվյալների բազաներին վերաբերվող դրույթները ամբողջությամբ համապատասխանեցված են ԵՄ «Տեղեկատվական տեղեկատվության իրավական պաշտպանության մասին» թիվ </w:t>
            </w:r>
            <w:r w:rsidRPr="006E15B4">
              <w:rPr>
                <w:rFonts w:ascii="GHEA Grapalat" w:eastAsia="Times New Roman" w:hAnsi="GHEA Grapalat" w:cs="Arial"/>
                <w:sz w:val="24"/>
                <w:szCs w:val="24"/>
                <w:lang w:eastAsia="hy-AM"/>
              </w:rPr>
              <w:t>96</w:t>
            </w:r>
            <w:r>
              <w:rPr>
                <w:rFonts w:ascii="GHEA Grapalat" w:eastAsia="Times New Roman" w:hAnsi="GHEA Grapalat" w:cs="Arial"/>
                <w:sz w:val="24"/>
                <w:szCs w:val="24"/>
                <w:lang w:eastAsia="hy-AM"/>
              </w:rPr>
              <w:t>/</w:t>
            </w:r>
            <w:r w:rsidRPr="006E15B4">
              <w:rPr>
                <w:rFonts w:ascii="GHEA Grapalat" w:eastAsia="Times New Roman" w:hAnsi="GHEA Grapalat" w:cs="Arial"/>
                <w:sz w:val="24"/>
                <w:szCs w:val="24"/>
                <w:lang w:eastAsia="hy-AM"/>
              </w:rPr>
              <w:t>9</w:t>
            </w:r>
            <w:r>
              <w:rPr>
                <w:rFonts w:ascii="GHEA Grapalat" w:eastAsia="Times New Roman" w:hAnsi="GHEA Grapalat" w:cs="Arial"/>
                <w:sz w:val="24"/>
                <w:szCs w:val="24"/>
                <w:lang w:eastAsia="hy-AM"/>
              </w:rPr>
              <w:t>/</w:t>
            </w:r>
            <w:r w:rsidRPr="006E15B4">
              <w:rPr>
                <w:rFonts w:ascii="GHEA Grapalat" w:eastAsia="Times New Roman" w:hAnsi="GHEA Grapalat" w:cs="Arial"/>
                <w:sz w:val="24"/>
                <w:szCs w:val="24"/>
                <w:lang w:eastAsia="hy-AM"/>
              </w:rPr>
              <w:t>EC</w:t>
            </w:r>
            <w:r w:rsidRPr="00BE759E">
              <w:rPr>
                <w:rFonts w:ascii="GHEA Grapalat" w:eastAsia="Times New Roman" w:hAnsi="GHEA Grapalat" w:cs="Arial"/>
                <w:sz w:val="24"/>
                <w:szCs w:val="24"/>
                <w:lang w:eastAsia="hy-AM"/>
              </w:rPr>
              <w:t xml:space="preserve"> դիրեկտիվին:</w:t>
            </w:r>
          </w:p>
        </w:tc>
      </w:tr>
      <w:tr w:rsidR="00D31AA5" w:rsidRPr="00D31AA5" w14:paraId="06474D22"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C9A7291" w14:textId="77777777" w:rsidR="00A769D8" w:rsidRPr="00D31AA5" w:rsidRDefault="00A769D8" w:rsidP="00586389">
            <w:pPr>
              <w:pStyle w:val="ListParagraph"/>
              <w:numPr>
                <w:ilvl w:val="0"/>
                <w:numId w:val="19"/>
              </w:numPr>
              <w:tabs>
                <w:tab w:val="left" w:pos="851"/>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lastRenderedPageBreak/>
              <w:t>Առաջարկում եմ Նախագծի 90-րդ հոդվածի 1-ին մասում կիրառվող «նախապատրաստական նյութեր» ձևակերպումը այնպես շարադրել, որ բովանդակային առումով ներառի նաև ալգորիթմների նկարագրություններն ու ծրագրի ճարտարապետական փաստաթղթերը, որոնք էական կարող են լինել հեղինակային իրավունքի պաշտպանության համատեքստում։ Նշվածը կարող է շարադրվել նաև թվարկման տեսքով՝ վերցնելով փակագծերի մեջ:</w:t>
            </w:r>
          </w:p>
          <w:p w14:paraId="7C2A279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83D18D4"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9E82600" w14:textId="77777777" w:rsidR="00A769D8" w:rsidRDefault="00F4659A" w:rsidP="00F4659A">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3D345826" w14:textId="1AB36993" w:rsidR="000B09E4" w:rsidRPr="000B09E4" w:rsidRDefault="00F4659A" w:rsidP="00B3384B">
            <w:pPr>
              <w:tabs>
                <w:tab w:val="left" w:pos="7655"/>
              </w:tabs>
              <w:spacing w:after="0" w:line="360" w:lineRule="auto"/>
              <w:ind w:left="567" w:firstLine="385"/>
              <w:rPr>
                <w:rFonts w:ascii="GHEA Grapalat" w:hAnsi="GHEA Grapalat"/>
                <w:bCs/>
                <w:sz w:val="24"/>
                <w:szCs w:val="24"/>
              </w:rPr>
            </w:pPr>
            <w:r>
              <w:rPr>
                <w:rFonts w:ascii="GHEA Grapalat" w:hAnsi="GHEA Grapalat"/>
                <w:bCs/>
                <w:sz w:val="24"/>
                <w:szCs w:val="24"/>
              </w:rPr>
              <w:t>Ա</w:t>
            </w:r>
            <w:r w:rsidRPr="00D31AA5">
              <w:rPr>
                <w:rFonts w:ascii="GHEA Grapalat" w:hAnsi="GHEA Grapalat"/>
                <w:bCs/>
                <w:sz w:val="24"/>
                <w:szCs w:val="24"/>
              </w:rPr>
              <w:t>լգորիթմներ</w:t>
            </w:r>
            <w:r>
              <w:rPr>
                <w:rFonts w:ascii="GHEA Grapalat" w:hAnsi="GHEA Grapalat"/>
                <w:bCs/>
                <w:sz w:val="24"/>
                <w:szCs w:val="24"/>
              </w:rPr>
              <w:t>ը հեղի</w:t>
            </w:r>
            <w:r w:rsidR="00B3384B">
              <w:rPr>
                <w:rFonts w:ascii="GHEA Grapalat" w:hAnsi="GHEA Grapalat"/>
                <w:bCs/>
                <w:sz w:val="24"/>
                <w:szCs w:val="24"/>
              </w:rPr>
              <w:t>ն</w:t>
            </w:r>
            <w:r>
              <w:rPr>
                <w:rFonts w:ascii="GHEA Grapalat" w:hAnsi="GHEA Grapalat"/>
                <w:bCs/>
                <w:sz w:val="24"/>
                <w:szCs w:val="24"/>
              </w:rPr>
              <w:t>ակային կամ հարակից իրավունքի օբյեկտներ չեն հանդիսանում:</w:t>
            </w:r>
            <w:r w:rsidR="000B09E4">
              <w:t xml:space="preserve"> </w:t>
            </w:r>
          </w:p>
          <w:p w14:paraId="1C2687D8" w14:textId="77777777" w:rsidR="000B09E4" w:rsidRPr="000B09E4" w:rsidRDefault="000B09E4" w:rsidP="00B3384B">
            <w:pPr>
              <w:tabs>
                <w:tab w:val="left" w:pos="7655"/>
              </w:tabs>
              <w:spacing w:after="0" w:line="360" w:lineRule="auto"/>
              <w:ind w:left="567" w:firstLine="385"/>
              <w:rPr>
                <w:rFonts w:ascii="GHEA Grapalat" w:hAnsi="GHEA Grapalat"/>
                <w:bCs/>
                <w:sz w:val="24"/>
                <w:szCs w:val="24"/>
              </w:rPr>
            </w:pPr>
            <w:r w:rsidRPr="000B09E4">
              <w:rPr>
                <w:rFonts w:ascii="GHEA Grapalat" w:hAnsi="GHEA Grapalat"/>
                <w:bCs/>
                <w:sz w:val="24"/>
                <w:szCs w:val="24"/>
              </w:rPr>
              <w:t>Նախագծի 90-րդ հոդվածում նշված «նախապատրաստական նյութեր» ձևակերպումը</w:t>
            </w:r>
          </w:p>
          <w:p w14:paraId="5AEE628B" w14:textId="0D361B60" w:rsidR="00F4659A" w:rsidRPr="00D31AA5" w:rsidRDefault="000B09E4" w:rsidP="00B3384B">
            <w:pPr>
              <w:tabs>
                <w:tab w:val="left" w:pos="7655"/>
              </w:tabs>
              <w:spacing w:after="0" w:line="360" w:lineRule="auto"/>
              <w:ind w:left="567" w:firstLine="385"/>
              <w:rPr>
                <w:rFonts w:ascii="GHEA Grapalat" w:eastAsia="Times New Roman" w:hAnsi="GHEA Grapalat" w:cs="Arial"/>
                <w:sz w:val="24"/>
                <w:szCs w:val="24"/>
                <w:lang w:eastAsia="hy-AM"/>
              </w:rPr>
            </w:pPr>
            <w:r w:rsidRPr="000B09E4">
              <w:rPr>
                <w:rFonts w:ascii="GHEA Grapalat" w:hAnsi="GHEA Grapalat"/>
                <w:bCs/>
                <w:sz w:val="24"/>
                <w:szCs w:val="24"/>
              </w:rPr>
              <w:t xml:space="preserve">համապատասխանեցված է ԵՄ «Համակարգչային ծրագրերի իրավական պաշտպանության մասին» թիվ 2009/24/EC դիրեկտիվի 7-րդ կետին,  համաձայն որի սույն դիրեկտիվի նպատակների համար «համակարգչային ծրագիր» տերմինը ներառում է ծրագրերը ցանկացած ձևով՝ այդ թվում նաև այն ծրագրերը, որոնք ներառված են սարքավորման մեջ։ Այս տերմինը ընդգրկում է նաև նախապատրաստական նախագծային </w:t>
            </w:r>
            <w:r w:rsidRPr="000B09E4">
              <w:rPr>
                <w:rFonts w:ascii="GHEA Grapalat" w:hAnsi="GHEA Grapalat"/>
                <w:bCs/>
                <w:sz w:val="24"/>
                <w:szCs w:val="24"/>
              </w:rPr>
              <w:lastRenderedPageBreak/>
              <w:t>աշխատանքները, որոնք ուղղված են համակարգչային ծրագրի մշակմանը, պայմանով, որ այդ աշխատանքները բնույթով այնպիսին լինեն, որ դրանց արդյունքում հնարավոր լինի հետագայում ստեղծել համակարգչային ծրագիր։</w:t>
            </w:r>
            <w:r>
              <w:rPr>
                <w:rFonts w:ascii="GHEA Grapalat" w:hAnsi="GHEA Grapalat"/>
                <w:bCs/>
                <w:sz w:val="24"/>
                <w:szCs w:val="24"/>
              </w:rPr>
              <w:t xml:space="preserve"> </w:t>
            </w:r>
          </w:p>
        </w:tc>
      </w:tr>
      <w:tr w:rsidR="00D31AA5" w:rsidRPr="00D31AA5" w14:paraId="0EC43887"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866D4A2" w14:textId="77777777" w:rsidR="00A769D8" w:rsidRPr="00D31AA5" w:rsidRDefault="00A769D8" w:rsidP="00586389">
            <w:pPr>
              <w:pStyle w:val="ListParagraph"/>
              <w:numPr>
                <w:ilvl w:val="0"/>
                <w:numId w:val="19"/>
              </w:numPr>
              <w:tabs>
                <w:tab w:val="left" w:pos="851"/>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lastRenderedPageBreak/>
              <w:t>Առաջարկում եմ Նախագծի 91-րդ հոդվածով ամրագրել նաև, որ վերարտադրության, թարգմանության կամ հարմարեցման իրավունքը տարածվում է նաև ծրագրի մաս կազմող տվյալների բազաների կամ շտեմարանների վրա, եթե դրանք ստեղծագործական աշխատանքի արդյունք են և ունեն ինքնուրույն պաշտպանություն։ Սա կնվազեցնի դատական վեճերի ռիսկերը այն դեպքերում, երբ ծրագրի բաղադրիչները խառնված են տվյալների բազաների հետ։</w:t>
            </w:r>
          </w:p>
          <w:p w14:paraId="1BF84F67"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00AE256"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ED138BE" w14:textId="1D55CE57" w:rsidR="000B09E4" w:rsidRPr="000B09E4" w:rsidRDefault="000B09E4" w:rsidP="000B09E4">
            <w:pPr>
              <w:tabs>
                <w:tab w:val="left" w:pos="7655"/>
              </w:tabs>
              <w:spacing w:after="0" w:line="360" w:lineRule="auto"/>
              <w:ind w:left="567"/>
              <w:jc w:val="center"/>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Չի ընդունվել</w:t>
            </w:r>
            <w:r>
              <w:rPr>
                <w:rFonts w:ascii="GHEA Grapalat" w:eastAsia="Times New Roman" w:hAnsi="GHEA Grapalat" w:cs="Arial"/>
                <w:sz w:val="24"/>
                <w:szCs w:val="24"/>
                <w:lang w:eastAsia="hy-AM"/>
              </w:rPr>
              <w:t>:</w:t>
            </w:r>
          </w:p>
          <w:p w14:paraId="5B7A95A8" w14:textId="77777777" w:rsidR="000B09E4" w:rsidRPr="000B09E4" w:rsidRDefault="000B09E4" w:rsidP="000B09E4">
            <w:pPr>
              <w:tabs>
                <w:tab w:val="left" w:pos="7655"/>
              </w:tabs>
              <w:spacing w:after="0" w:line="360" w:lineRule="auto"/>
              <w:ind w:left="567" w:firstLine="527"/>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Հեղինակային իրավունքը տարածվում է  ստեղծագործական աշխատանքի արդյունքների վրա: Ուստի, ցանկացած ստեղծագործության մաս, այդ թվում՝ համակարգչային ծրագրի, որը համապատասխանում է Նախագծի 4-րդ հոդվածի 4-րդ մասին, նույնպես պահպանվում է հեղինակային իրավունքով:</w:t>
            </w:r>
          </w:p>
          <w:p w14:paraId="5C99AE65" w14:textId="61D75CE9" w:rsidR="00A769D8" w:rsidRPr="00D31AA5" w:rsidRDefault="000B09E4" w:rsidP="000B09E4">
            <w:pPr>
              <w:tabs>
                <w:tab w:val="left" w:pos="7655"/>
              </w:tabs>
              <w:spacing w:after="0" w:line="360" w:lineRule="auto"/>
              <w:ind w:left="567" w:firstLine="527"/>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Նախագծի 91-րդ հոդվածը նույնպես համապատասխանեցված է  ԵՄ «Համակարգչային ծրագրերի իրավական պաշտպանության մասին» թիվ 2009/24/EC դիրեկտիվին:</w:t>
            </w:r>
          </w:p>
        </w:tc>
      </w:tr>
      <w:tr w:rsidR="00D31AA5" w:rsidRPr="00D31AA5" w14:paraId="1E7F8581"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8B952BC" w14:textId="77777777" w:rsidR="00A769D8" w:rsidRPr="00D31AA5" w:rsidRDefault="00A769D8" w:rsidP="00586389">
            <w:pPr>
              <w:pStyle w:val="ListParagraph"/>
              <w:numPr>
                <w:ilvl w:val="0"/>
                <w:numId w:val="19"/>
              </w:numPr>
              <w:tabs>
                <w:tab w:val="left" w:pos="851"/>
                <w:tab w:val="left" w:pos="993"/>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t xml:space="preserve">Նախագծի 94-րդ հոդվածի 1-ն մասի համաձայն՝ «Եթե համակարգչային ծրագիրը ստեղծվում է ծառայողական պարտականությունների կամ գործատուի ծառայողական </w:t>
            </w:r>
            <w:r w:rsidRPr="00D31AA5">
              <w:rPr>
                <w:rFonts w:ascii="GHEA Grapalat" w:hAnsi="GHEA Grapalat"/>
                <w:bCs/>
                <w:sz w:val="24"/>
                <w:szCs w:val="24"/>
              </w:rPr>
              <w:lastRenderedPageBreak/>
              <w:t xml:space="preserve">հանձնարարությունների կատարման կարգով կամ ստեղծվում է պատվերի պայմանագրով, ապա </w:t>
            </w:r>
            <w:r w:rsidRPr="00D31AA5">
              <w:rPr>
                <w:rFonts w:ascii="GHEA Grapalat" w:hAnsi="GHEA Grapalat"/>
                <w:b/>
                <w:bCs/>
                <w:sz w:val="24"/>
                <w:szCs w:val="24"/>
              </w:rPr>
              <w:t>այդպիսի ծրագրի նկատմամբ գույքային իրավունքները ի սկզբանե պատկանում են գործատուին կամ նշված ծրագիրը պատվիրող անձին,</w:t>
            </w:r>
            <w:r w:rsidRPr="00D31AA5">
              <w:rPr>
                <w:rFonts w:ascii="GHEA Grapalat" w:hAnsi="GHEA Grapalat"/>
                <w:bCs/>
                <w:sz w:val="24"/>
                <w:szCs w:val="24"/>
              </w:rPr>
              <w:t xml:space="preserve"> եթե պայմանագրով այլ բան նախատեսված չէ:»: Առաջարկում եմ Նախագծի 82-րդ հոդվածի համանմանությամբ հստակ ամրագրել, որ  ծառայողական պարտականությունների կամ գործատուի ծառայողական հանձնարարությունների կատարման կարգով կամ պատվերի պայմանագրով ստեղծված համակարգչային ծրագրերի ոչ գույքային իրավունքներից, օրինակ, հեղինակության և հեղինակի անվան իրավունքը պատկանում է տվյալ աշխատողին:</w:t>
            </w:r>
          </w:p>
          <w:p w14:paraId="18A7B8E9"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56D887A"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9F6A0A6" w14:textId="757DC277" w:rsidR="00A769D8" w:rsidRDefault="00F4659A" w:rsidP="00F4659A">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749A465D" w14:textId="6E56AD6B" w:rsidR="00F4659A" w:rsidRDefault="003A487D" w:rsidP="002319EE">
            <w:pPr>
              <w:tabs>
                <w:tab w:val="left" w:pos="7655"/>
              </w:tabs>
              <w:spacing w:after="0" w:line="360" w:lineRule="auto"/>
              <w:ind w:left="567"/>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Նախագծի 82-րդ հոդվածով կարգավորվում են միայն ծառայողական պայմանագրով ստեղծված </w:t>
            </w:r>
            <w:r>
              <w:rPr>
                <w:rFonts w:ascii="GHEA Grapalat" w:eastAsia="Times New Roman" w:hAnsi="GHEA Grapalat" w:cs="Arial"/>
                <w:sz w:val="24"/>
                <w:szCs w:val="24"/>
                <w:lang w:eastAsia="hy-AM"/>
              </w:rPr>
              <w:lastRenderedPageBreak/>
              <w:t>ստեղծագործություններ</w:t>
            </w:r>
            <w:r w:rsidR="00DA2A6C">
              <w:rPr>
                <w:rFonts w:ascii="GHEA Grapalat" w:eastAsia="Times New Roman" w:hAnsi="GHEA Grapalat" w:cs="Arial"/>
                <w:sz w:val="24"/>
                <w:szCs w:val="24"/>
                <w:lang w:eastAsia="hy-AM"/>
              </w:rPr>
              <w:t>ի նկատմամբ իրավունքները</w:t>
            </w:r>
            <w:r>
              <w:rPr>
                <w:rFonts w:ascii="GHEA Grapalat" w:eastAsia="Times New Roman" w:hAnsi="GHEA Grapalat" w:cs="Arial"/>
                <w:sz w:val="24"/>
                <w:szCs w:val="24"/>
                <w:lang w:eastAsia="hy-AM"/>
              </w:rPr>
              <w:t xml:space="preserve">, իսկ 94-րդ հոդվածով կարգավորվում է </w:t>
            </w:r>
            <w:r w:rsidR="00DA2A6C">
              <w:rPr>
                <w:rFonts w:ascii="GHEA Grapalat" w:eastAsia="Times New Roman" w:hAnsi="GHEA Grapalat" w:cs="Arial"/>
                <w:sz w:val="24"/>
                <w:szCs w:val="24"/>
                <w:lang w:eastAsia="hy-AM"/>
              </w:rPr>
              <w:t>և՛ ծառայողական , և՛ պատվերով ստեղծված համակարգչային ծրագրերի նկատմամբ իրավունքները:</w:t>
            </w:r>
          </w:p>
          <w:p w14:paraId="06199541" w14:textId="006125E0" w:rsidR="00F4659A" w:rsidRPr="00D31AA5" w:rsidRDefault="00F4659A"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4152C27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D3163C2" w14:textId="77777777" w:rsidR="00A769D8" w:rsidRPr="00D31AA5" w:rsidRDefault="00A769D8" w:rsidP="00586389">
            <w:pPr>
              <w:pStyle w:val="ListParagraph"/>
              <w:numPr>
                <w:ilvl w:val="0"/>
                <w:numId w:val="19"/>
              </w:numPr>
              <w:tabs>
                <w:tab w:val="left" w:pos="704"/>
              </w:tabs>
              <w:spacing w:after="0" w:line="360" w:lineRule="auto"/>
              <w:ind w:right="264" w:firstLine="542"/>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152-րդ հոդվածի կարգավորումները խնդրահարույց են էլեկտրոնային հաղորդակցության ծառայության մատուցման տեսանկյունից: Ցանկացած ինտերնետ մատակարար, ունենալով ինտերնետի և շարժական կապի ծառայություններ մատուցելու լիցենզիա, չի հանդիսանում այսպես ասած «կոնտենտ օպերատոր», այսինքն՝ հսկողություն չի իրականացնում ինտերնետով հրապարակվող, տարածվող կամ ստացվող տեղեկությունների բովանդակության նկատմամբ: Ավելին, «Էլեկտրոնային հաղորդակցության մասին» օրենքի 2-րդ հոդվածով «էլեկտրոնային հաղորդակցության ծառայություն» հասկացությանը տրված սահմանման համաձայն այն ծառայություն է, </w:t>
            </w:r>
            <w:r w:rsidRPr="00D31AA5">
              <w:rPr>
                <w:rFonts w:ascii="GHEA Grapalat" w:hAnsi="GHEA Grapalat"/>
                <w:sz w:val="24"/>
                <w:szCs w:val="24"/>
                <w:shd w:val="clear" w:color="auto" w:fill="FFFFFF"/>
              </w:rPr>
              <w:lastRenderedPageBreak/>
              <w:t xml:space="preserve">որը, որպես կանոն, մատուցվում է հատուցման դիմաց, և ամբողջությամբ կամ մասամբ բաղկացած է էլեկտրոնային հաղորդակցության ցանցերով ազդակների հաղորդումից, իսկ համապատասխան դեպքերում` ազդակների ուղղորդումից, սակայն չի ներառում էլեկտրոնային հաղորդակցության ցանցերով հաղորդվող բովանդակության նկատմամբ խմբագրական հսկողություն տրամադրող կամ իրականացնող ծառայությունները։ Հետևաբար, նման ծառայություն մատուցողները չեն կարող կրել պատասխանատվություն, եթե չարգելափակեն որևէ իրավատիրոջ պահանջով որևէ տեղեկատվություն։ էլեկտրոնային հաղորդակցության ծառայություն մատուցողները արգելափակման իրավասություն չունեն նաև «Էլեկտրոնային հաղորդակցության մասին» օրենքով: </w:t>
            </w:r>
          </w:p>
          <w:p w14:paraId="0ACCBE4E" w14:textId="77777777" w:rsidR="00A769D8" w:rsidRPr="00D31AA5" w:rsidRDefault="00A769D8" w:rsidP="001A1877">
            <w:pPr>
              <w:pStyle w:val="ListParagraph"/>
              <w:tabs>
                <w:tab w:val="left" w:pos="704"/>
              </w:tabs>
              <w:spacing w:after="0" w:line="360" w:lineRule="auto"/>
              <w:ind w:left="567" w:right="264" w:firstLine="542"/>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Միաժամանակ, հարկ եմ համարում նշել, որ Նախածի 152-րդ հոդվածով սահմանված չէ մտավոր սեփականության տվյալ օբյեկտի նկատմամբ հեղինակային իրավունքի առկայության փաստի հավաստման որևէ կարգավորում (այսինքն՝ ցանկացած անձ կարող է դիմել օպերատորին և հայտարարել, որ ինքը տվյալ օբյեկտի նկատմամբ ունի հեղինակային իրավունք՝ առանց դա հավաստող որևէ փաստաթուղթ ներկայացնելու), ինչպես նաև ներկայիս խմբագրությունից պարզ չէ՝ ինչի հիման վրա պետք է տվյալների օպերատորը հավաստիանա, որ առկա է հեղինակային իրավունքի խախտում և ինչի՞ հիման վրա պետք է </w:t>
            </w:r>
            <w:r w:rsidRPr="00D31AA5">
              <w:rPr>
                <w:rFonts w:ascii="GHEA Grapalat" w:hAnsi="GHEA Grapalat"/>
                <w:sz w:val="24"/>
                <w:szCs w:val="24"/>
                <w:shd w:val="clear" w:color="auto" w:fill="FFFFFF"/>
              </w:rPr>
              <w:lastRenderedPageBreak/>
              <w:t xml:space="preserve">արգելափակի/հասանելի չդարձնի/չտարածի այդ իրավունքների խախտմամբ փոխանցվող տվյալները: </w:t>
            </w:r>
          </w:p>
          <w:p w14:paraId="6BAD6BF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7147E7B"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6C16455" w14:textId="3CE12AE8" w:rsidR="00DA2A6C" w:rsidRDefault="00DA2A6C" w:rsidP="00DA2A6C">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2537E30B" w14:textId="3DDC1AAB" w:rsidR="00C45DDF" w:rsidRDefault="00C45DDF" w:rsidP="002319EE">
            <w:pPr>
              <w:tabs>
                <w:tab w:val="left" w:pos="7655"/>
              </w:tabs>
              <w:spacing w:after="0" w:line="360" w:lineRule="auto"/>
              <w:ind w:left="567"/>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Նախագծում </w:t>
            </w:r>
            <w:r w:rsidR="002319EE">
              <w:rPr>
                <w:rFonts w:ascii="GHEA Grapalat" w:eastAsia="Times New Roman" w:hAnsi="GHEA Grapalat" w:cs="Arial"/>
                <w:sz w:val="24"/>
                <w:szCs w:val="24"/>
                <w:lang w:eastAsia="hy-AM"/>
              </w:rPr>
              <w:t>խմբագրության արդյունքում 152-րդ</w:t>
            </w:r>
            <w:r w:rsidR="002319EE" w:rsidRPr="002319EE">
              <w:rPr>
                <w:rFonts w:ascii="GHEA Grapalat" w:eastAsia="Times New Roman" w:hAnsi="GHEA Grapalat" w:cs="Arial"/>
                <w:sz w:val="24"/>
                <w:szCs w:val="24"/>
                <w:lang w:eastAsia="hy-AM"/>
              </w:rPr>
              <w:t xml:space="preserve"> </w:t>
            </w:r>
            <w:r>
              <w:rPr>
                <w:rFonts w:ascii="GHEA Grapalat" w:eastAsia="Times New Roman" w:hAnsi="GHEA Grapalat" w:cs="Arial"/>
                <w:sz w:val="24"/>
                <w:szCs w:val="24"/>
                <w:lang w:eastAsia="hy-AM"/>
              </w:rPr>
              <w:t>հոդվածը դարձել է 153-րդ հոդված:</w:t>
            </w:r>
          </w:p>
          <w:p w14:paraId="68453017" w14:textId="2FB09D2A" w:rsidR="00A769D8" w:rsidRPr="00D31AA5" w:rsidRDefault="00DA2A6C" w:rsidP="002319EE">
            <w:pPr>
              <w:tabs>
                <w:tab w:val="left" w:pos="7655"/>
              </w:tabs>
              <w:spacing w:after="0" w:line="360" w:lineRule="auto"/>
              <w:ind w:left="567" w:right="267" w:firstLine="384"/>
              <w:rPr>
                <w:rFonts w:ascii="GHEA Grapalat" w:eastAsia="Times New Roman" w:hAnsi="GHEA Grapalat" w:cs="Arial"/>
                <w:sz w:val="24"/>
                <w:szCs w:val="24"/>
                <w:lang w:eastAsia="hy-AM"/>
              </w:rPr>
            </w:pPr>
            <w:r>
              <w:rPr>
                <w:rFonts w:ascii="GHEA Grapalat" w:hAnsi="GHEA Grapalat"/>
                <w:sz w:val="24"/>
                <w:szCs w:val="24"/>
                <w:shd w:val="clear" w:color="auto" w:fill="FFFFFF"/>
              </w:rPr>
              <w:t>Մ</w:t>
            </w:r>
            <w:r w:rsidRPr="00D31AA5">
              <w:rPr>
                <w:rFonts w:ascii="GHEA Grapalat" w:hAnsi="GHEA Grapalat"/>
                <w:sz w:val="24"/>
                <w:szCs w:val="24"/>
                <w:shd w:val="clear" w:color="auto" w:fill="FFFFFF"/>
              </w:rPr>
              <w:t>տավոր սեփականության տվյալ օբյեկտի նկատմամբ հեղինակային իրավունքի առկայության փաստ</w:t>
            </w:r>
            <w:r>
              <w:rPr>
                <w:rFonts w:ascii="GHEA Grapalat" w:hAnsi="GHEA Grapalat"/>
                <w:sz w:val="24"/>
                <w:szCs w:val="24"/>
                <w:shd w:val="clear" w:color="auto" w:fill="FFFFFF"/>
              </w:rPr>
              <w:t xml:space="preserve">ը հեղինակը ամեն դեպքում պետք է ապացուցի «իրավախախտողի» </w:t>
            </w:r>
            <w:bookmarkStart w:id="0" w:name="_GoBack"/>
            <w:bookmarkEnd w:id="0"/>
            <w:r>
              <w:rPr>
                <w:rFonts w:ascii="GHEA Grapalat" w:hAnsi="GHEA Grapalat"/>
                <w:sz w:val="24"/>
                <w:szCs w:val="24"/>
                <w:shd w:val="clear" w:color="auto" w:fill="FFFFFF"/>
              </w:rPr>
              <w:t>պահանջով, եթե այդպիսի պահանջ ներկայացվում է: Նման պրակտիկան կիրառվում է ապբողջ աշխարհում:</w:t>
            </w:r>
          </w:p>
        </w:tc>
      </w:tr>
    </w:tbl>
    <w:p w14:paraId="3364CF88" w14:textId="77777777" w:rsidR="000E771F" w:rsidRPr="00D31AA5" w:rsidRDefault="000E771F" w:rsidP="001A1877">
      <w:pPr>
        <w:tabs>
          <w:tab w:val="left" w:pos="7655"/>
        </w:tabs>
        <w:spacing w:after="0" w:line="360" w:lineRule="auto"/>
        <w:ind w:left="567"/>
        <w:rPr>
          <w:rFonts w:ascii="GHEA Grapalat" w:hAnsi="GHEA Grapalat"/>
          <w:sz w:val="24"/>
          <w:szCs w:val="24"/>
        </w:rPr>
      </w:pPr>
    </w:p>
    <w:sectPr w:rsidR="000E771F" w:rsidRPr="00D31AA5" w:rsidSect="004D60EF">
      <w:pgSz w:w="16838" w:h="11906" w:orient="landscape" w:code="9"/>
      <w:pgMar w:top="568" w:right="395"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B78"/>
    <w:multiLevelType w:val="hybridMultilevel"/>
    <w:tmpl w:val="02CE1A0E"/>
    <w:lvl w:ilvl="0" w:tplc="329E5AA0">
      <w:start w:val="2"/>
      <w:numFmt w:val="decimal"/>
      <w:lvlText w:val="%1."/>
      <w:lvlJc w:val="left"/>
      <w:pPr>
        <w:ind w:left="1064" w:hanging="360"/>
      </w:pPr>
      <w:rPr>
        <w:rFonts w:cs="Cambria Math" w:hint="default"/>
        <w:color w:val="auto"/>
      </w:rPr>
    </w:lvl>
    <w:lvl w:ilvl="1" w:tplc="042B0019" w:tentative="1">
      <w:start w:val="1"/>
      <w:numFmt w:val="lowerLetter"/>
      <w:lvlText w:val="%2."/>
      <w:lvlJc w:val="left"/>
      <w:pPr>
        <w:ind w:left="1784" w:hanging="360"/>
      </w:pPr>
    </w:lvl>
    <w:lvl w:ilvl="2" w:tplc="042B001B" w:tentative="1">
      <w:start w:val="1"/>
      <w:numFmt w:val="lowerRoman"/>
      <w:lvlText w:val="%3."/>
      <w:lvlJc w:val="right"/>
      <w:pPr>
        <w:ind w:left="2504" w:hanging="180"/>
      </w:pPr>
    </w:lvl>
    <w:lvl w:ilvl="3" w:tplc="042B000F" w:tentative="1">
      <w:start w:val="1"/>
      <w:numFmt w:val="decimal"/>
      <w:lvlText w:val="%4."/>
      <w:lvlJc w:val="left"/>
      <w:pPr>
        <w:ind w:left="3224" w:hanging="360"/>
      </w:pPr>
    </w:lvl>
    <w:lvl w:ilvl="4" w:tplc="042B0019" w:tentative="1">
      <w:start w:val="1"/>
      <w:numFmt w:val="lowerLetter"/>
      <w:lvlText w:val="%5."/>
      <w:lvlJc w:val="left"/>
      <w:pPr>
        <w:ind w:left="3944" w:hanging="360"/>
      </w:pPr>
    </w:lvl>
    <w:lvl w:ilvl="5" w:tplc="042B001B" w:tentative="1">
      <w:start w:val="1"/>
      <w:numFmt w:val="lowerRoman"/>
      <w:lvlText w:val="%6."/>
      <w:lvlJc w:val="right"/>
      <w:pPr>
        <w:ind w:left="4664" w:hanging="180"/>
      </w:pPr>
    </w:lvl>
    <w:lvl w:ilvl="6" w:tplc="042B000F" w:tentative="1">
      <w:start w:val="1"/>
      <w:numFmt w:val="decimal"/>
      <w:lvlText w:val="%7."/>
      <w:lvlJc w:val="left"/>
      <w:pPr>
        <w:ind w:left="5384" w:hanging="360"/>
      </w:pPr>
    </w:lvl>
    <w:lvl w:ilvl="7" w:tplc="042B0019" w:tentative="1">
      <w:start w:val="1"/>
      <w:numFmt w:val="lowerLetter"/>
      <w:lvlText w:val="%8."/>
      <w:lvlJc w:val="left"/>
      <w:pPr>
        <w:ind w:left="6104" w:hanging="360"/>
      </w:pPr>
    </w:lvl>
    <w:lvl w:ilvl="8" w:tplc="042B001B" w:tentative="1">
      <w:start w:val="1"/>
      <w:numFmt w:val="lowerRoman"/>
      <w:lvlText w:val="%9."/>
      <w:lvlJc w:val="right"/>
      <w:pPr>
        <w:ind w:left="6824" w:hanging="180"/>
      </w:pPr>
    </w:lvl>
  </w:abstractNum>
  <w:abstractNum w:abstractNumId="1" w15:restartNumberingAfterBreak="0">
    <w:nsid w:val="043D5A8F"/>
    <w:multiLevelType w:val="hybridMultilevel"/>
    <w:tmpl w:val="592C5D8A"/>
    <w:lvl w:ilvl="0" w:tplc="FDAC5E12">
      <w:start w:val="1"/>
      <w:numFmt w:val="decimal"/>
      <w:lvlText w:val="%1."/>
      <w:lvlJc w:val="left"/>
      <w:pPr>
        <w:ind w:left="1323" w:hanging="360"/>
      </w:pPr>
      <w:rPr>
        <w:rFonts w:hint="default"/>
      </w:rPr>
    </w:lvl>
    <w:lvl w:ilvl="1" w:tplc="042B0019" w:tentative="1">
      <w:start w:val="1"/>
      <w:numFmt w:val="lowerLetter"/>
      <w:lvlText w:val="%2."/>
      <w:lvlJc w:val="left"/>
      <w:pPr>
        <w:ind w:left="2043" w:hanging="360"/>
      </w:pPr>
    </w:lvl>
    <w:lvl w:ilvl="2" w:tplc="042B001B" w:tentative="1">
      <w:start w:val="1"/>
      <w:numFmt w:val="lowerRoman"/>
      <w:lvlText w:val="%3."/>
      <w:lvlJc w:val="right"/>
      <w:pPr>
        <w:ind w:left="2763" w:hanging="180"/>
      </w:pPr>
    </w:lvl>
    <w:lvl w:ilvl="3" w:tplc="042B000F" w:tentative="1">
      <w:start w:val="1"/>
      <w:numFmt w:val="decimal"/>
      <w:lvlText w:val="%4."/>
      <w:lvlJc w:val="left"/>
      <w:pPr>
        <w:ind w:left="3483" w:hanging="360"/>
      </w:pPr>
    </w:lvl>
    <w:lvl w:ilvl="4" w:tplc="042B0019" w:tentative="1">
      <w:start w:val="1"/>
      <w:numFmt w:val="lowerLetter"/>
      <w:lvlText w:val="%5."/>
      <w:lvlJc w:val="left"/>
      <w:pPr>
        <w:ind w:left="4203" w:hanging="360"/>
      </w:pPr>
    </w:lvl>
    <w:lvl w:ilvl="5" w:tplc="042B001B" w:tentative="1">
      <w:start w:val="1"/>
      <w:numFmt w:val="lowerRoman"/>
      <w:lvlText w:val="%6."/>
      <w:lvlJc w:val="right"/>
      <w:pPr>
        <w:ind w:left="4923" w:hanging="180"/>
      </w:pPr>
    </w:lvl>
    <w:lvl w:ilvl="6" w:tplc="042B000F" w:tentative="1">
      <w:start w:val="1"/>
      <w:numFmt w:val="decimal"/>
      <w:lvlText w:val="%7."/>
      <w:lvlJc w:val="left"/>
      <w:pPr>
        <w:ind w:left="5643" w:hanging="360"/>
      </w:pPr>
    </w:lvl>
    <w:lvl w:ilvl="7" w:tplc="042B0019" w:tentative="1">
      <w:start w:val="1"/>
      <w:numFmt w:val="lowerLetter"/>
      <w:lvlText w:val="%8."/>
      <w:lvlJc w:val="left"/>
      <w:pPr>
        <w:ind w:left="6363" w:hanging="360"/>
      </w:pPr>
    </w:lvl>
    <w:lvl w:ilvl="8" w:tplc="042B001B" w:tentative="1">
      <w:start w:val="1"/>
      <w:numFmt w:val="lowerRoman"/>
      <w:lvlText w:val="%9."/>
      <w:lvlJc w:val="right"/>
      <w:pPr>
        <w:ind w:left="7083" w:hanging="180"/>
      </w:pPr>
    </w:lvl>
  </w:abstractNum>
  <w:abstractNum w:abstractNumId="2" w15:restartNumberingAfterBreak="0">
    <w:nsid w:val="12DC24BE"/>
    <w:multiLevelType w:val="hybridMultilevel"/>
    <w:tmpl w:val="3E781272"/>
    <w:lvl w:ilvl="0" w:tplc="04C20A54">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2E3387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4" w15:restartNumberingAfterBreak="0">
    <w:nsid w:val="1FF06CF6"/>
    <w:multiLevelType w:val="multilevel"/>
    <w:tmpl w:val="D63A2F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A3208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6" w15:restartNumberingAfterBreak="0">
    <w:nsid w:val="29985A7D"/>
    <w:multiLevelType w:val="hybridMultilevel"/>
    <w:tmpl w:val="3DF6939E"/>
    <w:lvl w:ilvl="0" w:tplc="391A00AC">
      <w:start w:val="1"/>
      <w:numFmt w:val="decimal"/>
      <w:lvlText w:val="%1."/>
      <w:lvlJc w:val="left"/>
      <w:pPr>
        <w:ind w:left="2031" w:hanging="360"/>
      </w:pPr>
      <w:rPr>
        <w:rFonts w:hint="default"/>
      </w:rPr>
    </w:lvl>
    <w:lvl w:ilvl="1" w:tplc="042B0019" w:tentative="1">
      <w:start w:val="1"/>
      <w:numFmt w:val="lowerLetter"/>
      <w:lvlText w:val="%2."/>
      <w:lvlJc w:val="left"/>
      <w:pPr>
        <w:ind w:left="2751" w:hanging="360"/>
      </w:pPr>
    </w:lvl>
    <w:lvl w:ilvl="2" w:tplc="042B001B" w:tentative="1">
      <w:start w:val="1"/>
      <w:numFmt w:val="lowerRoman"/>
      <w:lvlText w:val="%3."/>
      <w:lvlJc w:val="right"/>
      <w:pPr>
        <w:ind w:left="3471" w:hanging="180"/>
      </w:pPr>
    </w:lvl>
    <w:lvl w:ilvl="3" w:tplc="042B000F" w:tentative="1">
      <w:start w:val="1"/>
      <w:numFmt w:val="decimal"/>
      <w:lvlText w:val="%4."/>
      <w:lvlJc w:val="left"/>
      <w:pPr>
        <w:ind w:left="4191" w:hanging="360"/>
      </w:pPr>
    </w:lvl>
    <w:lvl w:ilvl="4" w:tplc="042B0019" w:tentative="1">
      <w:start w:val="1"/>
      <w:numFmt w:val="lowerLetter"/>
      <w:lvlText w:val="%5."/>
      <w:lvlJc w:val="left"/>
      <w:pPr>
        <w:ind w:left="4911" w:hanging="360"/>
      </w:pPr>
    </w:lvl>
    <w:lvl w:ilvl="5" w:tplc="042B001B" w:tentative="1">
      <w:start w:val="1"/>
      <w:numFmt w:val="lowerRoman"/>
      <w:lvlText w:val="%6."/>
      <w:lvlJc w:val="right"/>
      <w:pPr>
        <w:ind w:left="5631" w:hanging="180"/>
      </w:pPr>
    </w:lvl>
    <w:lvl w:ilvl="6" w:tplc="042B000F" w:tentative="1">
      <w:start w:val="1"/>
      <w:numFmt w:val="decimal"/>
      <w:lvlText w:val="%7."/>
      <w:lvlJc w:val="left"/>
      <w:pPr>
        <w:ind w:left="6351" w:hanging="360"/>
      </w:pPr>
    </w:lvl>
    <w:lvl w:ilvl="7" w:tplc="042B0019" w:tentative="1">
      <w:start w:val="1"/>
      <w:numFmt w:val="lowerLetter"/>
      <w:lvlText w:val="%8."/>
      <w:lvlJc w:val="left"/>
      <w:pPr>
        <w:ind w:left="7071" w:hanging="360"/>
      </w:pPr>
    </w:lvl>
    <w:lvl w:ilvl="8" w:tplc="042B001B" w:tentative="1">
      <w:start w:val="1"/>
      <w:numFmt w:val="lowerRoman"/>
      <w:lvlText w:val="%9."/>
      <w:lvlJc w:val="right"/>
      <w:pPr>
        <w:ind w:left="7791" w:hanging="180"/>
      </w:pPr>
    </w:lvl>
  </w:abstractNum>
  <w:abstractNum w:abstractNumId="7" w15:restartNumberingAfterBreak="0">
    <w:nsid w:val="2D6A0477"/>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8" w15:restartNumberingAfterBreak="0">
    <w:nsid w:val="2DA14574"/>
    <w:multiLevelType w:val="hybridMultilevel"/>
    <w:tmpl w:val="ACDAC2B2"/>
    <w:lvl w:ilvl="0" w:tplc="0409000F">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B2EDE"/>
    <w:multiLevelType w:val="hybridMultilevel"/>
    <w:tmpl w:val="C81EDE9A"/>
    <w:lvl w:ilvl="0" w:tplc="391A00AC">
      <w:start w:val="1"/>
      <w:numFmt w:val="decimal"/>
      <w:lvlText w:val="%1."/>
      <w:lvlJc w:val="left"/>
      <w:pPr>
        <w:ind w:left="2994" w:hanging="360"/>
      </w:pPr>
      <w:rPr>
        <w:rFonts w:hint="default"/>
      </w:rPr>
    </w:lvl>
    <w:lvl w:ilvl="1" w:tplc="042B000F">
      <w:start w:val="1"/>
      <w:numFmt w:val="decimal"/>
      <w:lvlText w:val="%2."/>
      <w:lvlJc w:val="left"/>
      <w:pPr>
        <w:ind w:left="2403" w:hanging="360"/>
      </w:pPr>
    </w:lvl>
    <w:lvl w:ilvl="2" w:tplc="042B001B" w:tentative="1">
      <w:start w:val="1"/>
      <w:numFmt w:val="lowerRoman"/>
      <w:lvlText w:val="%3."/>
      <w:lvlJc w:val="right"/>
      <w:pPr>
        <w:ind w:left="3123" w:hanging="180"/>
      </w:pPr>
    </w:lvl>
    <w:lvl w:ilvl="3" w:tplc="042B000F" w:tentative="1">
      <w:start w:val="1"/>
      <w:numFmt w:val="decimal"/>
      <w:lvlText w:val="%4."/>
      <w:lvlJc w:val="left"/>
      <w:pPr>
        <w:ind w:left="3843" w:hanging="360"/>
      </w:pPr>
    </w:lvl>
    <w:lvl w:ilvl="4" w:tplc="042B0019" w:tentative="1">
      <w:start w:val="1"/>
      <w:numFmt w:val="lowerLetter"/>
      <w:lvlText w:val="%5."/>
      <w:lvlJc w:val="left"/>
      <w:pPr>
        <w:ind w:left="4563" w:hanging="360"/>
      </w:pPr>
    </w:lvl>
    <w:lvl w:ilvl="5" w:tplc="042B001B" w:tentative="1">
      <w:start w:val="1"/>
      <w:numFmt w:val="lowerRoman"/>
      <w:lvlText w:val="%6."/>
      <w:lvlJc w:val="right"/>
      <w:pPr>
        <w:ind w:left="5283" w:hanging="180"/>
      </w:pPr>
    </w:lvl>
    <w:lvl w:ilvl="6" w:tplc="042B000F" w:tentative="1">
      <w:start w:val="1"/>
      <w:numFmt w:val="decimal"/>
      <w:lvlText w:val="%7."/>
      <w:lvlJc w:val="left"/>
      <w:pPr>
        <w:ind w:left="6003" w:hanging="360"/>
      </w:pPr>
    </w:lvl>
    <w:lvl w:ilvl="7" w:tplc="042B0019" w:tentative="1">
      <w:start w:val="1"/>
      <w:numFmt w:val="lowerLetter"/>
      <w:lvlText w:val="%8."/>
      <w:lvlJc w:val="left"/>
      <w:pPr>
        <w:ind w:left="6723" w:hanging="360"/>
      </w:pPr>
    </w:lvl>
    <w:lvl w:ilvl="8" w:tplc="042B001B" w:tentative="1">
      <w:start w:val="1"/>
      <w:numFmt w:val="lowerRoman"/>
      <w:lvlText w:val="%9."/>
      <w:lvlJc w:val="right"/>
      <w:pPr>
        <w:ind w:left="7443" w:hanging="180"/>
      </w:pPr>
    </w:lvl>
  </w:abstractNum>
  <w:abstractNum w:abstractNumId="10" w15:restartNumberingAfterBreak="0">
    <w:nsid w:val="35B77E2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1" w15:restartNumberingAfterBreak="0">
    <w:nsid w:val="3A22583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2" w15:restartNumberingAfterBreak="0">
    <w:nsid w:val="4962735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3" w15:restartNumberingAfterBreak="0">
    <w:nsid w:val="4E5A17D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4" w15:restartNumberingAfterBreak="0">
    <w:nsid w:val="633C35B7"/>
    <w:multiLevelType w:val="hybridMultilevel"/>
    <w:tmpl w:val="E85CCC3E"/>
    <w:lvl w:ilvl="0" w:tplc="DDF6DDB8">
      <w:start w:val="1"/>
      <w:numFmt w:val="decimal"/>
      <w:lvlText w:val="%1."/>
      <w:lvlJc w:val="left"/>
      <w:pPr>
        <w:ind w:left="907" w:hanging="360"/>
      </w:pPr>
      <w:rPr>
        <w:rFonts w:eastAsiaTheme="minorHAnsi" w:cstheme="minorBidi" w:hint="default"/>
        <w:color w:val="auto"/>
      </w:rPr>
    </w:lvl>
    <w:lvl w:ilvl="1" w:tplc="042B0019" w:tentative="1">
      <w:start w:val="1"/>
      <w:numFmt w:val="lowerLetter"/>
      <w:lvlText w:val="%2."/>
      <w:lvlJc w:val="left"/>
      <w:pPr>
        <w:ind w:left="1627" w:hanging="360"/>
      </w:pPr>
    </w:lvl>
    <w:lvl w:ilvl="2" w:tplc="042B001B" w:tentative="1">
      <w:start w:val="1"/>
      <w:numFmt w:val="lowerRoman"/>
      <w:lvlText w:val="%3."/>
      <w:lvlJc w:val="right"/>
      <w:pPr>
        <w:ind w:left="2347" w:hanging="180"/>
      </w:pPr>
    </w:lvl>
    <w:lvl w:ilvl="3" w:tplc="042B000F" w:tentative="1">
      <w:start w:val="1"/>
      <w:numFmt w:val="decimal"/>
      <w:lvlText w:val="%4."/>
      <w:lvlJc w:val="left"/>
      <w:pPr>
        <w:ind w:left="3067" w:hanging="360"/>
      </w:pPr>
    </w:lvl>
    <w:lvl w:ilvl="4" w:tplc="042B0019" w:tentative="1">
      <w:start w:val="1"/>
      <w:numFmt w:val="lowerLetter"/>
      <w:lvlText w:val="%5."/>
      <w:lvlJc w:val="left"/>
      <w:pPr>
        <w:ind w:left="3787" w:hanging="360"/>
      </w:pPr>
    </w:lvl>
    <w:lvl w:ilvl="5" w:tplc="042B001B" w:tentative="1">
      <w:start w:val="1"/>
      <w:numFmt w:val="lowerRoman"/>
      <w:lvlText w:val="%6."/>
      <w:lvlJc w:val="right"/>
      <w:pPr>
        <w:ind w:left="4507" w:hanging="180"/>
      </w:pPr>
    </w:lvl>
    <w:lvl w:ilvl="6" w:tplc="042B000F" w:tentative="1">
      <w:start w:val="1"/>
      <w:numFmt w:val="decimal"/>
      <w:lvlText w:val="%7."/>
      <w:lvlJc w:val="left"/>
      <w:pPr>
        <w:ind w:left="5227" w:hanging="360"/>
      </w:pPr>
    </w:lvl>
    <w:lvl w:ilvl="7" w:tplc="042B0019" w:tentative="1">
      <w:start w:val="1"/>
      <w:numFmt w:val="lowerLetter"/>
      <w:lvlText w:val="%8."/>
      <w:lvlJc w:val="left"/>
      <w:pPr>
        <w:ind w:left="5947" w:hanging="360"/>
      </w:pPr>
    </w:lvl>
    <w:lvl w:ilvl="8" w:tplc="042B001B" w:tentative="1">
      <w:start w:val="1"/>
      <w:numFmt w:val="lowerRoman"/>
      <w:lvlText w:val="%9."/>
      <w:lvlJc w:val="right"/>
      <w:pPr>
        <w:ind w:left="6667" w:hanging="180"/>
      </w:pPr>
    </w:lvl>
  </w:abstractNum>
  <w:abstractNum w:abstractNumId="15" w15:restartNumberingAfterBreak="0">
    <w:nsid w:val="6E5F7999"/>
    <w:multiLevelType w:val="hybridMultilevel"/>
    <w:tmpl w:val="6330952A"/>
    <w:lvl w:ilvl="0" w:tplc="E040A688">
      <w:start w:val="1"/>
      <w:numFmt w:val="decimal"/>
      <w:lvlText w:val="%1."/>
      <w:lvlJc w:val="left"/>
      <w:pPr>
        <w:ind w:left="900" w:hanging="360"/>
      </w:pPr>
      <w:rPr>
        <w:rFonts w:eastAsia="Times New Roman" w:cs="Sylfaen"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6" w15:restartNumberingAfterBreak="0">
    <w:nsid w:val="76AF786B"/>
    <w:multiLevelType w:val="hybridMultilevel"/>
    <w:tmpl w:val="6DE2134C"/>
    <w:lvl w:ilvl="0" w:tplc="042B000F">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7" w15:restartNumberingAfterBreak="0">
    <w:nsid w:val="7C5B0D88"/>
    <w:multiLevelType w:val="hybridMultilevel"/>
    <w:tmpl w:val="22CA1E58"/>
    <w:lvl w:ilvl="0" w:tplc="7A1CF4CE">
      <w:start w:val="1"/>
      <w:numFmt w:val="decimal"/>
      <w:lvlText w:val="%1)"/>
      <w:lvlJc w:val="left"/>
      <w:pPr>
        <w:ind w:left="987" w:hanging="360"/>
      </w:pPr>
      <w:rPr>
        <w:rFonts w:ascii="Calibri" w:hAnsi="Calibri" w:cs="Calibri" w:hint="default"/>
      </w:rPr>
    </w:lvl>
    <w:lvl w:ilvl="1" w:tplc="042B0019" w:tentative="1">
      <w:start w:val="1"/>
      <w:numFmt w:val="lowerLetter"/>
      <w:lvlText w:val="%2."/>
      <w:lvlJc w:val="left"/>
      <w:pPr>
        <w:ind w:left="1707" w:hanging="360"/>
      </w:pPr>
    </w:lvl>
    <w:lvl w:ilvl="2" w:tplc="042B001B" w:tentative="1">
      <w:start w:val="1"/>
      <w:numFmt w:val="lowerRoman"/>
      <w:lvlText w:val="%3."/>
      <w:lvlJc w:val="right"/>
      <w:pPr>
        <w:ind w:left="2427" w:hanging="180"/>
      </w:pPr>
    </w:lvl>
    <w:lvl w:ilvl="3" w:tplc="042B000F" w:tentative="1">
      <w:start w:val="1"/>
      <w:numFmt w:val="decimal"/>
      <w:lvlText w:val="%4."/>
      <w:lvlJc w:val="left"/>
      <w:pPr>
        <w:ind w:left="3147" w:hanging="360"/>
      </w:pPr>
    </w:lvl>
    <w:lvl w:ilvl="4" w:tplc="042B0019" w:tentative="1">
      <w:start w:val="1"/>
      <w:numFmt w:val="lowerLetter"/>
      <w:lvlText w:val="%5."/>
      <w:lvlJc w:val="left"/>
      <w:pPr>
        <w:ind w:left="3867" w:hanging="360"/>
      </w:pPr>
    </w:lvl>
    <w:lvl w:ilvl="5" w:tplc="042B001B" w:tentative="1">
      <w:start w:val="1"/>
      <w:numFmt w:val="lowerRoman"/>
      <w:lvlText w:val="%6."/>
      <w:lvlJc w:val="right"/>
      <w:pPr>
        <w:ind w:left="4587" w:hanging="180"/>
      </w:pPr>
    </w:lvl>
    <w:lvl w:ilvl="6" w:tplc="042B000F" w:tentative="1">
      <w:start w:val="1"/>
      <w:numFmt w:val="decimal"/>
      <w:lvlText w:val="%7."/>
      <w:lvlJc w:val="left"/>
      <w:pPr>
        <w:ind w:left="5307" w:hanging="360"/>
      </w:pPr>
    </w:lvl>
    <w:lvl w:ilvl="7" w:tplc="042B0019" w:tentative="1">
      <w:start w:val="1"/>
      <w:numFmt w:val="lowerLetter"/>
      <w:lvlText w:val="%8."/>
      <w:lvlJc w:val="left"/>
      <w:pPr>
        <w:ind w:left="6027" w:hanging="360"/>
      </w:pPr>
    </w:lvl>
    <w:lvl w:ilvl="8" w:tplc="042B001B" w:tentative="1">
      <w:start w:val="1"/>
      <w:numFmt w:val="lowerRoman"/>
      <w:lvlText w:val="%9."/>
      <w:lvlJc w:val="right"/>
      <w:pPr>
        <w:ind w:left="6747" w:hanging="180"/>
      </w:pPr>
    </w:lvl>
  </w:abstractNum>
  <w:abstractNum w:abstractNumId="18" w15:restartNumberingAfterBreak="0">
    <w:nsid w:val="7E15471F"/>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num w:numId="1">
    <w:abstractNumId w:val="16"/>
  </w:num>
  <w:num w:numId="2">
    <w:abstractNumId w:val="3"/>
  </w:num>
  <w:num w:numId="3">
    <w:abstractNumId w:val="11"/>
  </w:num>
  <w:num w:numId="4">
    <w:abstractNumId w:val="7"/>
  </w:num>
  <w:num w:numId="5">
    <w:abstractNumId w:val="18"/>
  </w:num>
  <w:num w:numId="6">
    <w:abstractNumId w:val="5"/>
  </w:num>
  <w:num w:numId="7">
    <w:abstractNumId w:val="12"/>
  </w:num>
  <w:num w:numId="8">
    <w:abstractNumId w:val="13"/>
  </w:num>
  <w:num w:numId="9">
    <w:abstractNumId w:val="15"/>
  </w:num>
  <w:num w:numId="10">
    <w:abstractNumId w:val="10"/>
  </w:num>
  <w:num w:numId="11">
    <w:abstractNumId w:val="2"/>
  </w:num>
  <w:num w:numId="12">
    <w:abstractNumId w:val="0"/>
  </w:num>
  <w:num w:numId="13">
    <w:abstractNumId w:val="14"/>
  </w:num>
  <w:num w:numId="14">
    <w:abstractNumId w:val="17"/>
  </w:num>
  <w:num w:numId="15">
    <w:abstractNumId w:val="1"/>
  </w:num>
  <w:num w:numId="16">
    <w:abstractNumId w:val="6"/>
  </w:num>
  <w:num w:numId="17">
    <w:abstractNumId w:val="9"/>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E9E"/>
    <w:rsid w:val="000075A8"/>
    <w:rsid w:val="00014ABF"/>
    <w:rsid w:val="00017D0B"/>
    <w:rsid w:val="000311B7"/>
    <w:rsid w:val="00036928"/>
    <w:rsid w:val="00052EEF"/>
    <w:rsid w:val="00063695"/>
    <w:rsid w:val="0007358F"/>
    <w:rsid w:val="00075E61"/>
    <w:rsid w:val="000838C3"/>
    <w:rsid w:val="000B09E4"/>
    <w:rsid w:val="000B227D"/>
    <w:rsid w:val="000C02D6"/>
    <w:rsid w:val="000E771F"/>
    <w:rsid w:val="000E7876"/>
    <w:rsid w:val="0010764A"/>
    <w:rsid w:val="00172633"/>
    <w:rsid w:val="001804B9"/>
    <w:rsid w:val="00181E9E"/>
    <w:rsid w:val="001A1877"/>
    <w:rsid w:val="001A4A13"/>
    <w:rsid w:val="001E10D3"/>
    <w:rsid w:val="001E51B7"/>
    <w:rsid w:val="00205D81"/>
    <w:rsid w:val="00226CF7"/>
    <w:rsid w:val="00226F2E"/>
    <w:rsid w:val="002319EE"/>
    <w:rsid w:val="00232074"/>
    <w:rsid w:val="00254F6F"/>
    <w:rsid w:val="00287951"/>
    <w:rsid w:val="002904D6"/>
    <w:rsid w:val="00294BEC"/>
    <w:rsid w:val="00294C99"/>
    <w:rsid w:val="002A17B1"/>
    <w:rsid w:val="002B0717"/>
    <w:rsid w:val="002E3C27"/>
    <w:rsid w:val="002F5620"/>
    <w:rsid w:val="002F5B55"/>
    <w:rsid w:val="003005B3"/>
    <w:rsid w:val="003149B5"/>
    <w:rsid w:val="00316B7A"/>
    <w:rsid w:val="003558B6"/>
    <w:rsid w:val="003A487D"/>
    <w:rsid w:val="003D162F"/>
    <w:rsid w:val="003D362B"/>
    <w:rsid w:val="00405FEA"/>
    <w:rsid w:val="00436D37"/>
    <w:rsid w:val="00442E36"/>
    <w:rsid w:val="00477B34"/>
    <w:rsid w:val="004D0247"/>
    <w:rsid w:val="004D60EF"/>
    <w:rsid w:val="004E2EBA"/>
    <w:rsid w:val="004F57A9"/>
    <w:rsid w:val="00504445"/>
    <w:rsid w:val="005173DA"/>
    <w:rsid w:val="005508EA"/>
    <w:rsid w:val="00557962"/>
    <w:rsid w:val="00561717"/>
    <w:rsid w:val="00572D07"/>
    <w:rsid w:val="00576945"/>
    <w:rsid w:val="005843C8"/>
    <w:rsid w:val="00586389"/>
    <w:rsid w:val="005E6C8D"/>
    <w:rsid w:val="00610C6F"/>
    <w:rsid w:val="006111D4"/>
    <w:rsid w:val="00646BA3"/>
    <w:rsid w:val="006711C1"/>
    <w:rsid w:val="00676010"/>
    <w:rsid w:val="006910A4"/>
    <w:rsid w:val="00696191"/>
    <w:rsid w:val="006A2E45"/>
    <w:rsid w:val="006C5AB6"/>
    <w:rsid w:val="006E15B4"/>
    <w:rsid w:val="0072079A"/>
    <w:rsid w:val="0073206F"/>
    <w:rsid w:val="007353F6"/>
    <w:rsid w:val="00741185"/>
    <w:rsid w:val="00741370"/>
    <w:rsid w:val="00746F26"/>
    <w:rsid w:val="00790F67"/>
    <w:rsid w:val="007A42E7"/>
    <w:rsid w:val="007B0DCE"/>
    <w:rsid w:val="007D0B51"/>
    <w:rsid w:val="007D4062"/>
    <w:rsid w:val="007D4465"/>
    <w:rsid w:val="007E0515"/>
    <w:rsid w:val="0083350C"/>
    <w:rsid w:val="00843632"/>
    <w:rsid w:val="008566BD"/>
    <w:rsid w:val="00860F85"/>
    <w:rsid w:val="00862263"/>
    <w:rsid w:val="0086394A"/>
    <w:rsid w:val="00884A64"/>
    <w:rsid w:val="00896272"/>
    <w:rsid w:val="008A27BB"/>
    <w:rsid w:val="008A2942"/>
    <w:rsid w:val="008B1FCF"/>
    <w:rsid w:val="008B7CF6"/>
    <w:rsid w:val="008E4734"/>
    <w:rsid w:val="008F1085"/>
    <w:rsid w:val="00923DDD"/>
    <w:rsid w:val="009242E5"/>
    <w:rsid w:val="009442EC"/>
    <w:rsid w:val="009807A5"/>
    <w:rsid w:val="009A33BC"/>
    <w:rsid w:val="009A420C"/>
    <w:rsid w:val="009B1B46"/>
    <w:rsid w:val="009B680C"/>
    <w:rsid w:val="009D229A"/>
    <w:rsid w:val="009E0301"/>
    <w:rsid w:val="00A00D13"/>
    <w:rsid w:val="00A12870"/>
    <w:rsid w:val="00A146EC"/>
    <w:rsid w:val="00A270AC"/>
    <w:rsid w:val="00A41EF4"/>
    <w:rsid w:val="00A46752"/>
    <w:rsid w:val="00A661AA"/>
    <w:rsid w:val="00A769D8"/>
    <w:rsid w:val="00A875F6"/>
    <w:rsid w:val="00A8790F"/>
    <w:rsid w:val="00AA38B6"/>
    <w:rsid w:val="00AB2B92"/>
    <w:rsid w:val="00AD76C7"/>
    <w:rsid w:val="00AE33E7"/>
    <w:rsid w:val="00AF0FB3"/>
    <w:rsid w:val="00AF1E50"/>
    <w:rsid w:val="00AF3001"/>
    <w:rsid w:val="00AF796B"/>
    <w:rsid w:val="00B07DF7"/>
    <w:rsid w:val="00B3384B"/>
    <w:rsid w:val="00B37B82"/>
    <w:rsid w:val="00B42712"/>
    <w:rsid w:val="00B826F0"/>
    <w:rsid w:val="00B84C09"/>
    <w:rsid w:val="00BB2390"/>
    <w:rsid w:val="00BE04D1"/>
    <w:rsid w:val="00BE759E"/>
    <w:rsid w:val="00BF1508"/>
    <w:rsid w:val="00BF29ED"/>
    <w:rsid w:val="00C00F9C"/>
    <w:rsid w:val="00C10821"/>
    <w:rsid w:val="00C122FE"/>
    <w:rsid w:val="00C32A73"/>
    <w:rsid w:val="00C45DDF"/>
    <w:rsid w:val="00C5518F"/>
    <w:rsid w:val="00C562BB"/>
    <w:rsid w:val="00C5708F"/>
    <w:rsid w:val="00C66E55"/>
    <w:rsid w:val="00CA4A1B"/>
    <w:rsid w:val="00CB769A"/>
    <w:rsid w:val="00CD1CAE"/>
    <w:rsid w:val="00CD3E0B"/>
    <w:rsid w:val="00CF11AB"/>
    <w:rsid w:val="00D235DE"/>
    <w:rsid w:val="00D31AA5"/>
    <w:rsid w:val="00D32D4A"/>
    <w:rsid w:val="00D429AD"/>
    <w:rsid w:val="00D4383D"/>
    <w:rsid w:val="00D72D15"/>
    <w:rsid w:val="00D85555"/>
    <w:rsid w:val="00DA2A6C"/>
    <w:rsid w:val="00DB238F"/>
    <w:rsid w:val="00DC14AA"/>
    <w:rsid w:val="00DE1644"/>
    <w:rsid w:val="00DE5075"/>
    <w:rsid w:val="00DF44D3"/>
    <w:rsid w:val="00E03A4F"/>
    <w:rsid w:val="00E04815"/>
    <w:rsid w:val="00E051F8"/>
    <w:rsid w:val="00E17832"/>
    <w:rsid w:val="00E3615A"/>
    <w:rsid w:val="00E43E79"/>
    <w:rsid w:val="00E458C9"/>
    <w:rsid w:val="00E46B1A"/>
    <w:rsid w:val="00E728B0"/>
    <w:rsid w:val="00E754EC"/>
    <w:rsid w:val="00EA4E3C"/>
    <w:rsid w:val="00EB32C2"/>
    <w:rsid w:val="00EE6095"/>
    <w:rsid w:val="00EE6BB0"/>
    <w:rsid w:val="00F2560F"/>
    <w:rsid w:val="00F269FE"/>
    <w:rsid w:val="00F33154"/>
    <w:rsid w:val="00F4659A"/>
    <w:rsid w:val="00F46B8D"/>
    <w:rsid w:val="00F62741"/>
    <w:rsid w:val="00F76787"/>
    <w:rsid w:val="00F77657"/>
    <w:rsid w:val="00FA391D"/>
    <w:rsid w:val="00FC409C"/>
    <w:rsid w:val="00FD7EB4"/>
    <w:rsid w:val="00FE3583"/>
    <w:rsid w:val="00FE6020"/>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E622"/>
  <w15:chartTrackingRefBased/>
  <w15:docId w15:val="{A72020BC-E1A5-47CC-85E2-090F175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heme="minorHAnsi" w:hAnsi="Georgia"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1E50"/>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5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B2390"/>
    <w:pPr>
      <w:ind w:left="720"/>
      <w:contextualSpacing/>
    </w:pPr>
  </w:style>
  <w:style w:type="paragraph" w:styleId="NoSpacing">
    <w:name w:val="No Spacing"/>
    <w:uiPriority w:val="1"/>
    <w:qFormat/>
    <w:rsid w:val="00AF796B"/>
    <w:pPr>
      <w:spacing w:after="0" w:line="240" w:lineRule="auto"/>
    </w:pPr>
    <w:rPr>
      <w:rFonts w:ascii="Calibri" w:eastAsia="Times New Roman" w:hAnsi="Calibri" w:cs="Times New Roman"/>
      <w:lang w:val="ru-RU" w:eastAsia="ru-RU"/>
    </w:rPr>
  </w:style>
  <w:style w:type="character" w:styleId="Strong">
    <w:name w:val="Strong"/>
    <w:uiPriority w:val="22"/>
    <w:qFormat/>
    <w:rsid w:val="0007358F"/>
    <w:rPr>
      <w:b/>
      <w:bCs/>
    </w:rPr>
  </w:style>
  <w:style w:type="paragraph" w:styleId="NormalWeb">
    <w:name w:val="Normal (Web)"/>
    <w:basedOn w:val="Normal"/>
    <w:uiPriority w:val="99"/>
    <w:semiHidden/>
    <w:unhideWhenUsed/>
    <w:rsid w:val="00D32D4A"/>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CommentReference">
    <w:name w:val="annotation reference"/>
    <w:basedOn w:val="DefaultParagraphFont"/>
    <w:uiPriority w:val="99"/>
    <w:semiHidden/>
    <w:unhideWhenUsed/>
    <w:rsid w:val="009807A5"/>
    <w:rPr>
      <w:sz w:val="16"/>
      <w:szCs w:val="16"/>
    </w:rPr>
  </w:style>
  <w:style w:type="paragraph" w:styleId="CommentText">
    <w:name w:val="annotation text"/>
    <w:basedOn w:val="Normal"/>
    <w:link w:val="CommentTextChar"/>
    <w:uiPriority w:val="99"/>
    <w:semiHidden/>
    <w:unhideWhenUsed/>
    <w:rsid w:val="009807A5"/>
    <w:pPr>
      <w:spacing w:line="240" w:lineRule="auto"/>
    </w:pPr>
    <w:rPr>
      <w:sz w:val="20"/>
      <w:szCs w:val="20"/>
    </w:rPr>
  </w:style>
  <w:style w:type="character" w:customStyle="1" w:styleId="CommentTextChar">
    <w:name w:val="Comment Text Char"/>
    <w:basedOn w:val="DefaultParagraphFont"/>
    <w:link w:val="CommentText"/>
    <w:uiPriority w:val="99"/>
    <w:semiHidden/>
    <w:rsid w:val="009807A5"/>
    <w:rPr>
      <w:sz w:val="20"/>
      <w:szCs w:val="20"/>
    </w:rPr>
  </w:style>
  <w:style w:type="paragraph" w:styleId="CommentSubject">
    <w:name w:val="annotation subject"/>
    <w:basedOn w:val="CommentText"/>
    <w:next w:val="CommentText"/>
    <w:link w:val="CommentSubjectChar"/>
    <w:uiPriority w:val="99"/>
    <w:semiHidden/>
    <w:unhideWhenUsed/>
    <w:rsid w:val="009807A5"/>
    <w:rPr>
      <w:b/>
      <w:bCs/>
    </w:rPr>
  </w:style>
  <w:style w:type="character" w:customStyle="1" w:styleId="CommentSubjectChar">
    <w:name w:val="Comment Subject Char"/>
    <w:basedOn w:val="CommentTextChar"/>
    <w:link w:val="CommentSubject"/>
    <w:uiPriority w:val="99"/>
    <w:semiHidden/>
    <w:rsid w:val="009807A5"/>
    <w:rPr>
      <w:b/>
      <w:bCs/>
      <w:sz w:val="20"/>
      <w:szCs w:val="20"/>
    </w:rPr>
  </w:style>
  <w:style w:type="paragraph" w:styleId="BalloonText">
    <w:name w:val="Balloon Text"/>
    <w:basedOn w:val="Normal"/>
    <w:link w:val="BalloonTextChar"/>
    <w:uiPriority w:val="99"/>
    <w:semiHidden/>
    <w:unhideWhenUsed/>
    <w:rsid w:val="009807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7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230878">
      <w:bodyDiv w:val="1"/>
      <w:marLeft w:val="0"/>
      <w:marRight w:val="0"/>
      <w:marTop w:val="0"/>
      <w:marBottom w:val="0"/>
      <w:divBdr>
        <w:top w:val="none" w:sz="0" w:space="0" w:color="auto"/>
        <w:left w:val="none" w:sz="0" w:space="0" w:color="auto"/>
        <w:bottom w:val="none" w:sz="0" w:space="0" w:color="auto"/>
        <w:right w:val="none" w:sz="0" w:space="0" w:color="auto"/>
      </w:divBdr>
    </w:div>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717314937">
      <w:bodyDiv w:val="1"/>
      <w:marLeft w:val="0"/>
      <w:marRight w:val="0"/>
      <w:marTop w:val="0"/>
      <w:marBottom w:val="0"/>
      <w:divBdr>
        <w:top w:val="none" w:sz="0" w:space="0" w:color="auto"/>
        <w:left w:val="none" w:sz="0" w:space="0" w:color="auto"/>
        <w:bottom w:val="none" w:sz="0" w:space="0" w:color="auto"/>
        <w:right w:val="none" w:sz="0" w:space="0" w:color="auto"/>
      </w:divBdr>
    </w:div>
    <w:div w:id="729227253">
      <w:bodyDiv w:val="1"/>
      <w:marLeft w:val="0"/>
      <w:marRight w:val="0"/>
      <w:marTop w:val="0"/>
      <w:marBottom w:val="0"/>
      <w:divBdr>
        <w:top w:val="none" w:sz="0" w:space="0" w:color="auto"/>
        <w:left w:val="none" w:sz="0" w:space="0" w:color="auto"/>
        <w:bottom w:val="none" w:sz="0" w:space="0" w:color="auto"/>
        <w:right w:val="none" w:sz="0" w:space="0" w:color="auto"/>
      </w:divBdr>
    </w:div>
    <w:div w:id="1349523534">
      <w:bodyDiv w:val="1"/>
      <w:marLeft w:val="0"/>
      <w:marRight w:val="0"/>
      <w:marTop w:val="0"/>
      <w:marBottom w:val="0"/>
      <w:divBdr>
        <w:top w:val="none" w:sz="0" w:space="0" w:color="auto"/>
        <w:left w:val="none" w:sz="0" w:space="0" w:color="auto"/>
        <w:bottom w:val="none" w:sz="0" w:space="0" w:color="auto"/>
        <w:right w:val="none" w:sz="0" w:space="0" w:color="auto"/>
      </w:divBdr>
    </w:div>
    <w:div w:id="1662613711">
      <w:bodyDiv w:val="1"/>
      <w:marLeft w:val="0"/>
      <w:marRight w:val="0"/>
      <w:marTop w:val="0"/>
      <w:marBottom w:val="0"/>
      <w:divBdr>
        <w:top w:val="none" w:sz="0" w:space="0" w:color="auto"/>
        <w:left w:val="none" w:sz="0" w:space="0" w:color="auto"/>
        <w:bottom w:val="none" w:sz="0" w:space="0" w:color="auto"/>
        <w:right w:val="none" w:sz="0" w:space="0" w:color="auto"/>
      </w:divBdr>
    </w:div>
    <w:div w:id="1820924218">
      <w:bodyDiv w:val="1"/>
      <w:marLeft w:val="0"/>
      <w:marRight w:val="0"/>
      <w:marTop w:val="0"/>
      <w:marBottom w:val="0"/>
      <w:divBdr>
        <w:top w:val="none" w:sz="0" w:space="0" w:color="auto"/>
        <w:left w:val="none" w:sz="0" w:space="0" w:color="auto"/>
        <w:bottom w:val="none" w:sz="0" w:space="0" w:color="auto"/>
        <w:right w:val="none" w:sz="0" w:space="0" w:color="auto"/>
      </w:divBdr>
    </w:div>
    <w:div w:id="183390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74F84-AEB5-4DA0-B464-16E64F94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1</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Shahinyan</dc:creator>
  <cp:keywords/>
  <dc:description/>
  <cp:lastModifiedBy>Tatevik Movsisyan</cp:lastModifiedBy>
  <cp:revision>91</cp:revision>
  <dcterms:created xsi:type="dcterms:W3CDTF">2025-09-04T06:56:00Z</dcterms:created>
  <dcterms:modified xsi:type="dcterms:W3CDTF">2026-08-31T12:26:00Z</dcterms:modified>
</cp:coreProperties>
</file>