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193" w:rsidRDefault="00624A43">
      <w:pPr>
        <w:pStyle w:val="headingtitleStyle"/>
      </w:pPr>
      <w:bookmarkStart w:id="0" w:name="_Toc0"/>
      <w:r>
        <w:t>Ամփոփաթերթ</w:t>
      </w:r>
      <w:bookmarkEnd w:id="0"/>
    </w:p>
    <w:p w:rsidR="00DD0193" w:rsidRDefault="00624A43">
      <w:pPr>
        <w:pStyle w:val="headingtitleStyle"/>
      </w:pPr>
      <w:bookmarkStart w:id="1" w:name="_Toc1"/>
      <w:r>
        <w:t xml:space="preserve">««ԵՐԵՎԱՆԻ ՆԻԿՈՂԱՅՈՍ ՏԻԳՐԱՆՅԱՆԻ ԱՆՎԱՆ ՏԵՍՈՂՈՒԹՅԱՆ  ԽԱՆԳԱՐՈՒՄՆԵՐ ՈՒՆԵՑՈՂ ԵՐԵԽԱՆԵՐԻ N 14 ՀԱՏՈՒԿ ԴՊՐՈՑ» ՊԵՏԱԿԱՆ ՈՉ ԱՌԵՎՏՐԱՅԻՆ ԿԱԶՄԱԿԵՐՊՈՒԹՅՈՒՆԸ ՎԵՐԱՆՎԱՆԵԼՈՒ ՄԱՍԻՆ» ՀԱՅԱՍՏԱՆԻ ՀԱՆՐԱՊԵՏՈՒԹՅԱՆ ԿԱՌԱՎԱՐՈՒԹՅԱՆ ՈՐՈՇՄԱՆ ՆԱԽԱԳԾԻ </w:t>
      </w:r>
      <w:bookmarkStart w:id="2" w:name="_GoBack"/>
      <w:bookmarkEnd w:id="2"/>
      <w:r>
        <w:t>վերաբերյալ</w:t>
      </w:r>
      <w:bookmarkEnd w:id="1"/>
    </w:p>
    <w:p w:rsidR="00DD0193" w:rsidRDefault="00DD0193" w:rsidP="0059286B">
      <w:pPr>
        <w:tabs>
          <w:tab w:val="left" w:pos="7650"/>
        </w:tabs>
      </w:pPr>
    </w:p>
    <w:tbl>
      <w:tblPr>
        <w:tblW w:w="0" w:type="auto"/>
        <w:tblInd w:w="-631" w:type="dxa"/>
        <w:tblCellMar>
          <w:left w:w="10" w:type="dxa"/>
          <w:right w:w="10" w:type="dxa"/>
        </w:tblCellMar>
        <w:tblLook w:val="0000" w:firstRow="0" w:lastRow="0" w:firstColumn="0" w:lastColumn="0" w:noHBand="0" w:noVBand="0"/>
      </w:tblPr>
      <w:tblGrid>
        <w:gridCol w:w="540"/>
        <w:gridCol w:w="2232"/>
        <w:gridCol w:w="1653"/>
        <w:gridCol w:w="4305"/>
        <w:gridCol w:w="1680"/>
        <w:gridCol w:w="3000"/>
        <w:gridCol w:w="1176"/>
      </w:tblGrid>
      <w:tr w:rsidR="00DD0193" w:rsidTr="0059286B">
        <w:tc>
          <w:tcPr>
            <w:tcW w:w="540"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t>հ/</w:t>
            </w:r>
          </w:p>
          <w:p w:rsidR="00DD0193" w:rsidRDefault="00624A43">
            <w:pPr>
              <w:jc w:val="center"/>
            </w:pPr>
            <w:r>
              <w:rPr>
                <w:rFonts w:ascii="GHEA Grapalat" w:eastAsia="GHEA Grapalat" w:hAnsi="GHEA Grapalat" w:cs="GHEA Grapalat"/>
                <w:color w:val="000000"/>
                <w:sz w:val="22"/>
                <w:szCs w:val="22"/>
              </w:rPr>
              <w:t>հ</w:t>
            </w:r>
          </w:p>
        </w:tc>
        <w:tc>
          <w:tcPr>
            <w:tcW w:w="2232"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t>Առաջարկության հեղինակը, ստացման ամսաթիվը</w:t>
            </w:r>
          </w:p>
        </w:tc>
        <w:tc>
          <w:tcPr>
            <w:tcW w:w="1653"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t>Կարգավիճակ</w:t>
            </w:r>
          </w:p>
        </w:tc>
        <w:tc>
          <w:tcPr>
            <w:tcW w:w="4305"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t>Առաջարկության բովանդակությունը</w:t>
            </w:r>
          </w:p>
        </w:tc>
        <w:tc>
          <w:tcPr>
            <w:tcW w:w="1680"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t>Կցված փաստաթղթեր</w:t>
            </w:r>
          </w:p>
        </w:tc>
        <w:tc>
          <w:tcPr>
            <w:tcW w:w="3000"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t>Եզրակացություն</w:t>
            </w:r>
          </w:p>
        </w:tc>
        <w:tc>
          <w:tcPr>
            <w:tcW w:w="1176"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t>Դրույթ</w:t>
            </w:r>
          </w:p>
        </w:tc>
      </w:tr>
      <w:tr w:rsidR="00DD0193" w:rsidTr="0059286B">
        <w:tc>
          <w:tcPr>
            <w:tcW w:w="540" w:type="dxa"/>
            <w:tcBorders>
              <w:top w:val="single" w:sz="1" w:space="0" w:color="000000"/>
              <w:left w:val="single" w:sz="1" w:space="0" w:color="000000"/>
              <w:bottom w:val="single" w:sz="1" w:space="0" w:color="000000"/>
              <w:right w:val="single" w:sz="1" w:space="0" w:color="000000"/>
            </w:tcBorders>
            <w:noWrap/>
            <w:vAlign w:val="center"/>
          </w:tcPr>
          <w:p w:rsidR="00DD0193" w:rsidRDefault="00DD0193">
            <w:pPr>
              <w:jc w:val="center"/>
            </w:pPr>
          </w:p>
        </w:tc>
        <w:tc>
          <w:tcPr>
            <w:tcW w:w="2232" w:type="dxa"/>
            <w:tcBorders>
              <w:top w:val="single" w:sz="1" w:space="0" w:color="000000"/>
              <w:left w:val="single" w:sz="1" w:space="0" w:color="000000"/>
              <w:bottom w:val="single" w:sz="1" w:space="0" w:color="000000"/>
              <w:right w:val="single" w:sz="1" w:space="0" w:color="000000"/>
            </w:tcBorders>
            <w:noWrap/>
            <w:vAlign w:val="center"/>
          </w:tcPr>
          <w:p w:rsidR="00DD0193" w:rsidRDefault="00624A43">
            <w:pPr>
              <w:jc w:val="center"/>
            </w:pPr>
            <w:r>
              <w:rPr>
                <w:rFonts w:ascii="GHEA Grapalat" w:eastAsia="GHEA Grapalat" w:hAnsi="GHEA Grapalat" w:cs="GHEA Grapalat"/>
                <w:color w:val="000000"/>
                <w:sz w:val="22"/>
                <w:szCs w:val="22"/>
              </w:rPr>
              <w:t>1</w:t>
            </w:r>
          </w:p>
        </w:tc>
        <w:tc>
          <w:tcPr>
            <w:tcW w:w="1653" w:type="dxa"/>
            <w:tcBorders>
              <w:top w:val="single" w:sz="1" w:space="0" w:color="000000"/>
              <w:left w:val="single" w:sz="1" w:space="0" w:color="000000"/>
              <w:bottom w:val="single" w:sz="1" w:space="0" w:color="000000"/>
              <w:right w:val="single" w:sz="1" w:space="0" w:color="000000"/>
            </w:tcBorders>
            <w:noWrap/>
            <w:vAlign w:val="center"/>
          </w:tcPr>
          <w:p w:rsidR="00DD0193" w:rsidRDefault="00624A43">
            <w:pPr>
              <w:jc w:val="center"/>
            </w:pPr>
            <w:r>
              <w:rPr>
                <w:rFonts w:ascii="GHEA Grapalat" w:eastAsia="GHEA Grapalat" w:hAnsi="GHEA Grapalat" w:cs="GHEA Grapalat"/>
                <w:color w:val="000000"/>
                <w:sz w:val="22"/>
                <w:szCs w:val="22"/>
              </w:rPr>
              <w:t>2</w:t>
            </w:r>
          </w:p>
        </w:tc>
        <w:tc>
          <w:tcPr>
            <w:tcW w:w="4305" w:type="dxa"/>
            <w:tcBorders>
              <w:top w:val="single" w:sz="1" w:space="0" w:color="000000"/>
              <w:left w:val="single" w:sz="1" w:space="0" w:color="000000"/>
              <w:bottom w:val="single" w:sz="1" w:space="0" w:color="000000"/>
              <w:right w:val="single" w:sz="1" w:space="0" w:color="000000"/>
            </w:tcBorders>
            <w:noWrap/>
            <w:vAlign w:val="center"/>
          </w:tcPr>
          <w:p w:rsidR="00DD0193" w:rsidRDefault="00624A43">
            <w:pPr>
              <w:jc w:val="center"/>
            </w:pPr>
            <w:r>
              <w:rPr>
                <w:rFonts w:ascii="GHEA Grapalat" w:eastAsia="GHEA Grapalat" w:hAnsi="GHEA Grapalat" w:cs="GHEA Grapalat"/>
                <w:color w:val="000000"/>
                <w:sz w:val="22"/>
                <w:szCs w:val="22"/>
              </w:rPr>
              <w:t>3</w:t>
            </w:r>
          </w:p>
        </w:tc>
        <w:tc>
          <w:tcPr>
            <w:tcW w:w="1680" w:type="dxa"/>
            <w:tcBorders>
              <w:top w:val="single" w:sz="1" w:space="0" w:color="000000"/>
              <w:left w:val="single" w:sz="1" w:space="0" w:color="000000"/>
              <w:bottom w:val="single" w:sz="1" w:space="0" w:color="000000"/>
              <w:right w:val="single" w:sz="1" w:space="0" w:color="000000"/>
            </w:tcBorders>
            <w:noWrap/>
            <w:vAlign w:val="center"/>
          </w:tcPr>
          <w:p w:rsidR="00DD0193" w:rsidRDefault="00624A43">
            <w:pPr>
              <w:jc w:val="center"/>
            </w:pPr>
            <w:r>
              <w:rPr>
                <w:rFonts w:ascii="GHEA Grapalat" w:eastAsia="GHEA Grapalat" w:hAnsi="GHEA Grapalat" w:cs="GHEA Grapalat"/>
                <w:color w:val="000000"/>
                <w:sz w:val="22"/>
                <w:szCs w:val="22"/>
              </w:rPr>
              <w:t>4</w:t>
            </w:r>
          </w:p>
        </w:tc>
        <w:tc>
          <w:tcPr>
            <w:tcW w:w="3000" w:type="dxa"/>
            <w:tcBorders>
              <w:top w:val="single" w:sz="1" w:space="0" w:color="000000"/>
              <w:left w:val="single" w:sz="1" w:space="0" w:color="000000"/>
              <w:bottom w:val="single" w:sz="1" w:space="0" w:color="000000"/>
              <w:right w:val="single" w:sz="1" w:space="0" w:color="000000"/>
            </w:tcBorders>
            <w:noWrap/>
            <w:vAlign w:val="center"/>
          </w:tcPr>
          <w:p w:rsidR="00DD0193" w:rsidRDefault="00624A43">
            <w:pPr>
              <w:jc w:val="center"/>
            </w:pPr>
            <w:r>
              <w:rPr>
                <w:rFonts w:ascii="GHEA Grapalat" w:eastAsia="GHEA Grapalat" w:hAnsi="GHEA Grapalat" w:cs="GHEA Grapalat"/>
                <w:color w:val="000000"/>
                <w:sz w:val="22"/>
                <w:szCs w:val="22"/>
              </w:rPr>
              <w:t>5</w:t>
            </w:r>
          </w:p>
        </w:tc>
        <w:tc>
          <w:tcPr>
            <w:tcW w:w="1176" w:type="dxa"/>
            <w:tcBorders>
              <w:top w:val="single" w:sz="1" w:space="0" w:color="000000"/>
              <w:left w:val="single" w:sz="1" w:space="0" w:color="000000"/>
              <w:bottom w:val="single" w:sz="1" w:space="0" w:color="000000"/>
              <w:right w:val="single" w:sz="1" w:space="0" w:color="000000"/>
            </w:tcBorders>
            <w:noWrap/>
            <w:vAlign w:val="center"/>
          </w:tcPr>
          <w:p w:rsidR="00DD0193" w:rsidRDefault="00624A43">
            <w:pPr>
              <w:jc w:val="center"/>
            </w:pPr>
            <w:r>
              <w:rPr>
                <w:rFonts w:ascii="GHEA Grapalat" w:eastAsia="GHEA Grapalat" w:hAnsi="GHEA Grapalat" w:cs="GHEA Grapalat"/>
                <w:color w:val="000000"/>
                <w:sz w:val="22"/>
                <w:szCs w:val="22"/>
              </w:rPr>
              <w:t>6</w:t>
            </w:r>
          </w:p>
        </w:tc>
      </w:tr>
      <w:tr w:rsidR="00DD0193" w:rsidTr="0059286B">
        <w:tc>
          <w:tcPr>
            <w:tcW w:w="540"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t>1</w:t>
            </w:r>
          </w:p>
        </w:tc>
        <w:tc>
          <w:tcPr>
            <w:tcW w:w="2232"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t>ԱԶԱՏ ԹԱՆԱՆՅԱՆ</w:t>
            </w:r>
          </w:p>
          <w:p w:rsidR="00DD0193" w:rsidRDefault="00624A43">
            <w:pPr>
              <w:jc w:val="center"/>
            </w:pPr>
            <w:r>
              <w:rPr>
                <w:rFonts w:ascii="GHEA Grapalat" w:eastAsia="GHEA Grapalat" w:hAnsi="GHEA Grapalat" w:cs="GHEA Grapalat"/>
                <w:color w:val="000000"/>
                <w:sz w:val="22"/>
                <w:szCs w:val="22"/>
              </w:rPr>
              <w:t>31.08.2026 11:40:17</w:t>
            </w:r>
          </w:p>
        </w:tc>
        <w:tc>
          <w:tcPr>
            <w:tcW w:w="1653" w:type="dxa"/>
            <w:tcBorders>
              <w:top w:val="single" w:sz="1" w:space="0" w:color="000000"/>
              <w:left w:val="single" w:sz="1" w:space="0" w:color="000000"/>
              <w:bottom w:val="single" w:sz="1" w:space="0" w:color="000000"/>
              <w:right w:val="single" w:sz="1" w:space="0" w:color="000000"/>
            </w:tcBorders>
            <w:noWrap/>
          </w:tcPr>
          <w:p w:rsidR="00DD0193" w:rsidRDefault="00DD0193">
            <w:pPr>
              <w:jc w:val="center"/>
            </w:pPr>
          </w:p>
        </w:tc>
        <w:tc>
          <w:tcPr>
            <w:tcW w:w="4305" w:type="dxa"/>
            <w:tcBorders>
              <w:top w:val="single" w:sz="1" w:space="0" w:color="000000"/>
              <w:left w:val="single" w:sz="1" w:space="0" w:color="000000"/>
              <w:bottom w:val="single" w:sz="1" w:space="0" w:color="000000"/>
              <w:right w:val="single" w:sz="1" w:space="0" w:color="000000"/>
            </w:tcBorders>
            <w:noWrap/>
          </w:tcPr>
          <w:p w:rsidR="00DD0193" w:rsidRDefault="00624A43">
            <w:r>
              <w:rPr>
                <w:rFonts w:ascii="GHEA Grapalat" w:eastAsia="GHEA Grapalat" w:hAnsi="GHEA Grapalat" w:cs="GHEA Grapalat"/>
                <w:sz w:val="22"/>
                <w:szCs w:val="22"/>
              </w:rPr>
              <w:t>Խնդրում եմ չեղարկել իմ առաջարկները, պատահաբար սխալ տեղ եմ գրել</w:t>
            </w:r>
          </w:p>
        </w:tc>
        <w:tc>
          <w:tcPr>
            <w:tcW w:w="1680" w:type="dxa"/>
            <w:tcBorders>
              <w:top w:val="single" w:sz="1" w:space="0" w:color="000000"/>
              <w:left w:val="single" w:sz="1" w:space="0" w:color="000000"/>
              <w:bottom w:val="single" w:sz="1" w:space="0" w:color="000000"/>
              <w:right w:val="single" w:sz="1" w:space="0" w:color="000000"/>
            </w:tcBorders>
            <w:noWrap/>
          </w:tcPr>
          <w:p w:rsidR="00DD0193" w:rsidRDefault="00DD0193">
            <w:pPr>
              <w:jc w:val="center"/>
            </w:pPr>
          </w:p>
        </w:tc>
        <w:tc>
          <w:tcPr>
            <w:tcW w:w="3000" w:type="dxa"/>
            <w:tcBorders>
              <w:top w:val="single" w:sz="1" w:space="0" w:color="000000"/>
              <w:left w:val="single" w:sz="1" w:space="0" w:color="000000"/>
              <w:bottom w:val="single" w:sz="1" w:space="0" w:color="000000"/>
              <w:right w:val="single" w:sz="1" w:space="0" w:color="000000"/>
            </w:tcBorders>
            <w:noWrap/>
          </w:tcPr>
          <w:p w:rsidR="00DD0193" w:rsidRDefault="00624A43">
            <w:r>
              <w:rPr>
                <w:rFonts w:ascii="GHEA Grapalat" w:eastAsia="GHEA Grapalat" w:hAnsi="GHEA Grapalat" w:cs="GHEA Grapalat"/>
                <w:sz w:val="22"/>
                <w:szCs w:val="22"/>
              </w:rPr>
              <w:t>Նախագծի հետ առնչություն չունի։</w:t>
            </w:r>
          </w:p>
        </w:tc>
        <w:tc>
          <w:tcPr>
            <w:tcW w:w="1176" w:type="dxa"/>
            <w:tcBorders>
              <w:top w:val="single" w:sz="1" w:space="0" w:color="000000"/>
              <w:left w:val="single" w:sz="1" w:space="0" w:color="000000"/>
              <w:bottom w:val="single" w:sz="1" w:space="0" w:color="000000"/>
              <w:right w:val="single" w:sz="1" w:space="0" w:color="000000"/>
            </w:tcBorders>
            <w:noWrap/>
          </w:tcPr>
          <w:p w:rsidR="00DD0193" w:rsidRDefault="00DD0193">
            <w:pPr>
              <w:jc w:val="center"/>
            </w:pPr>
          </w:p>
        </w:tc>
      </w:tr>
      <w:tr w:rsidR="00DD0193" w:rsidTr="0059286B">
        <w:tc>
          <w:tcPr>
            <w:tcW w:w="540"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t>2</w:t>
            </w:r>
          </w:p>
        </w:tc>
        <w:tc>
          <w:tcPr>
            <w:tcW w:w="2232"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t>ԱԶԱՏ ԹԱՆԱՆՅԱՆ</w:t>
            </w:r>
          </w:p>
          <w:p w:rsidR="00DD0193" w:rsidRDefault="00624A43">
            <w:pPr>
              <w:jc w:val="center"/>
            </w:pPr>
            <w:r>
              <w:rPr>
                <w:rFonts w:ascii="GHEA Grapalat" w:eastAsia="GHEA Grapalat" w:hAnsi="GHEA Grapalat" w:cs="GHEA Grapalat"/>
                <w:color w:val="000000"/>
                <w:sz w:val="22"/>
                <w:szCs w:val="22"/>
              </w:rPr>
              <w:t>31.08.2026 11:37:09</w:t>
            </w:r>
          </w:p>
        </w:tc>
        <w:tc>
          <w:tcPr>
            <w:tcW w:w="1653" w:type="dxa"/>
            <w:tcBorders>
              <w:top w:val="single" w:sz="1" w:space="0" w:color="000000"/>
              <w:left w:val="single" w:sz="1" w:space="0" w:color="000000"/>
              <w:bottom w:val="single" w:sz="1" w:space="0" w:color="000000"/>
              <w:right w:val="single" w:sz="1" w:space="0" w:color="000000"/>
            </w:tcBorders>
            <w:noWrap/>
          </w:tcPr>
          <w:p w:rsidR="00DD0193" w:rsidRDefault="00DD0193">
            <w:pPr>
              <w:jc w:val="center"/>
            </w:pPr>
          </w:p>
        </w:tc>
        <w:tc>
          <w:tcPr>
            <w:tcW w:w="4305" w:type="dxa"/>
            <w:tcBorders>
              <w:top w:val="single" w:sz="1" w:space="0" w:color="000000"/>
              <w:left w:val="single" w:sz="1" w:space="0" w:color="000000"/>
              <w:bottom w:val="single" w:sz="1" w:space="0" w:color="000000"/>
              <w:right w:val="single" w:sz="1" w:space="0" w:color="000000"/>
            </w:tcBorders>
            <w:noWrap/>
          </w:tcPr>
          <w:p w:rsidR="00DD0193" w:rsidRDefault="00624A43">
            <w:r>
              <w:rPr>
                <w:rFonts w:ascii="GHEA Grapalat" w:eastAsia="GHEA Grapalat" w:hAnsi="GHEA Grapalat" w:cs="GHEA Grapalat"/>
                <w:sz w:val="22"/>
                <w:szCs w:val="22"/>
              </w:rPr>
              <w:t>2. Նախագծի ներքին անհամապատասխանությունները</w:t>
            </w:r>
          </w:p>
          <w:p w:rsidR="00DD0193" w:rsidRDefault="00624A43">
            <w:r>
              <w:rPr>
                <w:rFonts w:ascii="GHEA Grapalat" w:eastAsia="GHEA Grapalat" w:hAnsi="GHEA Grapalat" w:cs="GHEA Grapalat"/>
                <w:sz w:val="22"/>
                <w:szCs w:val="22"/>
              </w:rPr>
              <w:t xml:space="preserve"> 2.1. Հոդված 30.2(5)-ը պահպանում է այն լծակը, որի չկիրառումը ներկայացվում է որպես նախագծի հիմնավորում։ Նշված մասով ուսուցումը կարող է իրականացվել այն ճանապարհներին, որտեղ տեղական ինքնակառավարման մարմինը այն չի արգելել։ Այսինքն՝ քննական երթուղիներում ուսումնական վարումը սահմանափակելու իրավական </w:t>
            </w:r>
            <w:r>
              <w:rPr>
                <w:rFonts w:ascii="GHEA Grapalat" w:eastAsia="GHEA Grapalat" w:hAnsi="GHEA Grapalat" w:cs="GHEA Grapalat"/>
                <w:sz w:val="22"/>
                <w:szCs w:val="22"/>
              </w:rPr>
              <w:lastRenderedPageBreak/>
              <w:t>հնարավորությունը գոյություն ունի այսօր և պահպանվում է նաև նախագծում։ Հիմնավորմամբ բարձրացված երկրորդ խնդիրը լուծելի է տեղական ինքնակառավարման մարմնի մեկ որոշմամբ՝ առանց օրենքի փոփոխության և առանց լիցենզավորման։</w:t>
            </w:r>
          </w:p>
          <w:p w:rsidR="00DD0193" w:rsidRDefault="00624A43">
            <w:r>
              <w:rPr>
                <w:rFonts w:ascii="GHEA Grapalat" w:eastAsia="GHEA Grapalat" w:hAnsi="GHEA Grapalat" w:cs="GHEA Grapalat"/>
                <w:sz w:val="22"/>
                <w:szCs w:val="22"/>
              </w:rPr>
              <w:t> 2.2. Հոդված 30.2(6)-ը՝ առևտրային այլ գործունեության լիակատար արգելքը, կապ չունի ուսուցման որակի հետ։ Վարորդական ուսուցումը բիզնեսի ճյուղ է, ինչպես մնացած բոլոր ճյուղերը։ Ի՞նչն է պատճառը, որ ավտոդպրոց հիմնած գործարարը չի կարող զբաղվել այլ գործունեությամբ։ Ուսուցման որակի հետ կապը բացակայում է․ մարդը, ով վարման դասեր է տալիս և միաժամանակ այլ գործունեություն ունի, դրանից վատ հրահանգիչ չի դառնում։ Գործնականում սա նշանակում է, որ ոլորտ մուտք գործելու համար մարդը պետք է հրաժարվի եկամտի ցանկացած այլ աղբյուրից։ Այդպիսի պայմանը կտրուկ բարձրացնում է մուտքի արժեքը և կրճատում ծառայության առաջարկը՝ առանց որակի վրա որևէ ազդեցության։</w:t>
            </w:r>
          </w:p>
          <w:p w:rsidR="00DD0193" w:rsidRDefault="00624A43">
            <w:r>
              <w:rPr>
                <w:rFonts w:ascii="GHEA Grapalat" w:eastAsia="GHEA Grapalat" w:hAnsi="GHEA Grapalat" w:cs="GHEA Grapalat"/>
                <w:sz w:val="22"/>
                <w:szCs w:val="22"/>
              </w:rPr>
              <w:lastRenderedPageBreak/>
              <w:t> 2.3. Հոդված 30.2(4)-ը՝ ավտոդրոմի կամ կահավորված փակ տարածքի պահանջը, հաստատուն կապիտալ ծախս է յուրաքանչյուր մասնակցի համար։ Նախագիծը տարածքի ապահովումը կապում է լիցենզիային, ուստի յուրաքանչյուր մասնակից պետք է ունենա սեփական կամ վարձակալած տարածք։ Խոշոր կազմակերպության համար այս ծախսը բաշխվում է մեծ հոսքի վրա, փոքրի համար՝ ոչ։ Ընդ որում նույն նպատակին կարելի է հասնել առանց մուտքի արգելքի․ եթե պահանջը վերաբերում է տարածքին, ապա մեկ սուբյեկտ կարող է ապահովել համապատասխան տարածք և այն վարձակալությամբ տրամադրել բոլոր հրահանգիչներին։ Այս դեպքում նույն ենթակառուցվածքը ծառայում է ամբողջ շուկային, և ծախսը բաշխվում է օգտագործմանը համաչափ։</w:t>
            </w:r>
          </w:p>
          <w:p w:rsidR="00DD0193" w:rsidRDefault="00624A43">
            <w:r>
              <w:rPr>
                <w:rFonts w:ascii="GHEA Grapalat" w:eastAsia="GHEA Grapalat" w:hAnsi="GHEA Grapalat" w:cs="GHEA Grapalat"/>
                <w:sz w:val="22"/>
                <w:szCs w:val="22"/>
              </w:rPr>
              <w:t> </w:t>
            </w:r>
          </w:p>
          <w:p w:rsidR="00DD0193" w:rsidRDefault="00624A43">
            <w:r>
              <w:rPr>
                <w:rFonts w:ascii="GHEA Grapalat" w:eastAsia="GHEA Grapalat" w:hAnsi="GHEA Grapalat" w:cs="GHEA Grapalat"/>
                <w:sz w:val="22"/>
                <w:szCs w:val="22"/>
              </w:rPr>
              <w:t xml:space="preserve">2.4. Հոդված 30.2(2)-ի պահանջը ֆիլտրում է ըստ կազմակերպական ձևի, ոչ թե ըստ որակի։ Երկու աշխատողի հետ աշխատանքային պայմանագրի առկայությունը ոչինչ չի վկայում </w:t>
            </w:r>
            <w:r>
              <w:rPr>
                <w:rFonts w:ascii="GHEA Grapalat" w:eastAsia="GHEA Grapalat" w:hAnsi="GHEA Grapalat" w:cs="GHEA Grapalat"/>
                <w:sz w:val="22"/>
                <w:szCs w:val="22"/>
              </w:rPr>
              <w:lastRenderedPageBreak/>
              <w:t>ուսուցման որակի մասին։ Առանձին նշեմ, որ պարտադիր տեսական ուսուցանողի պահանջը ենթադրում է ծառայություն, որի կարիքը ոչ բոլոր սովորողներն ունեն, իսկ դրա արժեքը կրում է սովորողը։</w:t>
            </w:r>
          </w:p>
          <w:p w:rsidR="00DD0193" w:rsidRDefault="00624A43">
            <w:r>
              <w:rPr>
                <w:rFonts w:ascii="GHEA Grapalat" w:eastAsia="GHEA Grapalat" w:hAnsi="GHEA Grapalat" w:cs="GHEA Grapalat"/>
                <w:sz w:val="22"/>
                <w:szCs w:val="22"/>
              </w:rPr>
              <w:t> 2.5. Հոդված 30.2(3)-ը դասավանդող անձից որակավորում չի պահանջում։ Նշված մասով գործնական վարել սովորեցնողից պահանջվում է միայն համապատասխան կարգի վարորդական վկայական։ Այսինքն՝ նախագիծը լիցենզավորում է կազմակերպությունը, սահմանում է տարածքի, աշխատակազմի և հաշվետվությունների պահանջներ, սակայն այն անձի նկատմամբ, ով իրականում սովորեցնում է վարել, լրացուցիչ որակավորման պահանջ չի դնում։ Մինչդեռ ուսուցման որակը որոշվում է հենց հրահանգչի պատրաստվածությամբ։ Առաջարկվող մոդելում այս բացը փակվում է․ դասավանդելու իրավունքը տրվում է վարորդ-հրահանգչի որակավորման քննության հիման վրա, և այդ պահանջն ավելի խիստ է, քան նախագծինը։</w:t>
            </w:r>
          </w:p>
          <w:p w:rsidR="00DD0193" w:rsidRDefault="00624A43">
            <w:r>
              <w:rPr>
                <w:rFonts w:ascii="GHEA Grapalat" w:eastAsia="GHEA Grapalat" w:hAnsi="GHEA Grapalat" w:cs="GHEA Grapalat"/>
                <w:sz w:val="22"/>
                <w:szCs w:val="22"/>
              </w:rPr>
              <w:t xml:space="preserve"> 2.6. Ինքնուրույն պատրաստվելու հնարավորության վերացումը արգելք է </w:t>
            </w:r>
            <w:r>
              <w:rPr>
                <w:rFonts w:ascii="GHEA Grapalat" w:eastAsia="GHEA Grapalat" w:hAnsi="GHEA Grapalat" w:cs="GHEA Grapalat"/>
                <w:sz w:val="22"/>
                <w:szCs w:val="22"/>
              </w:rPr>
              <w:lastRenderedPageBreak/>
              <w:t>նորարարական ծառայությունների համար։ Այսօր վարման ուսուցում մատուցում են և՛ մեծ ու փոքր ավտոդպրոցները, և՛ անհատ հրահանգիչները, իսկ տեսական պատրաստումը հասանելի է նաև առցանց։ Եթե տեսական գիտելիքը ձեռք բերելու միակ ճանաչված ձևը լիցենզավորված սուբյեկտի մոտ ուսուցումն է, ապա ցանկացած այլընտրանքային ուսուցման ծառայություն դառնում է իրավաբանորեն անիմաստ։ Հատկանշական է հակադրությունը․ պետությունը հռչակում է բարձր տեխնոլոգիաների և արհեստական բանականության զարգացման քաղաքականություն՝ ընդհուպ մինչև 2026 թ․ օգոստոսին Հրազդանում գործարկված ԱԲ գործարանը, իսկ նույն ժամանակ չափահաս քաղաքացուն օրենքով պարտադրում է տեսական գիտելիքը ձեռք բերել բացառապես դասասեղանի մոտ։</w:t>
            </w:r>
          </w:p>
          <w:p w:rsidR="00DD0193" w:rsidRDefault="00624A43" w:rsidP="0059286B">
            <w:r>
              <w:rPr>
                <w:rFonts w:ascii="Calibri" w:eastAsia="GHEA Grapalat" w:hAnsi="Calibri" w:cs="Calibri"/>
                <w:sz w:val="22"/>
                <w:szCs w:val="22"/>
              </w:rPr>
              <w:t> </w:t>
            </w:r>
            <w:r>
              <w:rPr>
                <w:rFonts w:ascii="GHEA Grapalat" w:eastAsia="GHEA Grapalat" w:hAnsi="GHEA Grapalat" w:cs="GHEA Grapalat"/>
                <w:sz w:val="22"/>
                <w:szCs w:val="22"/>
              </w:rPr>
              <w:t xml:space="preserve">2.7. Համաչափության հարցը։ Սահմանադրության 78-րդ հոդվածով իրավունքները սահմանափակող միջոցը պետք է լինի նպատակին հասնելու </w:t>
            </w:r>
            <w:r>
              <w:rPr>
                <w:rFonts w:ascii="GHEA Grapalat" w:eastAsia="GHEA Grapalat" w:hAnsi="GHEA Grapalat" w:cs="GHEA Grapalat"/>
                <w:sz w:val="22"/>
                <w:szCs w:val="22"/>
              </w:rPr>
              <w:lastRenderedPageBreak/>
              <w:t>պիտանի, անհրաժեշտ և չափավոր միջոց, ընդ որում «անհրաժեշտ» նշանակում է, որ պակաս սահմանափակող այլընտրանք չկա։ 3-րդ բաժնում ներկայացված է այլընտրանք, որը հասնում է նույն նպատակին՝ առանց ինքնուրույն պատրաստվելու հնարավորությունը վերացնելու և առանց շուկա մուտքի արգելքների։ Խնդրում եմ ամփոփաթերթում անդրադառնալ նաև այս հարցին։</w:t>
            </w:r>
          </w:p>
        </w:tc>
        <w:tc>
          <w:tcPr>
            <w:tcW w:w="1680" w:type="dxa"/>
            <w:tcBorders>
              <w:top w:val="single" w:sz="1" w:space="0" w:color="000000"/>
              <w:left w:val="single" w:sz="1" w:space="0" w:color="000000"/>
              <w:bottom w:val="single" w:sz="1" w:space="0" w:color="000000"/>
              <w:right w:val="single" w:sz="1" w:space="0" w:color="000000"/>
            </w:tcBorders>
            <w:noWrap/>
          </w:tcPr>
          <w:p w:rsidR="00DD0193" w:rsidRDefault="00DD0193">
            <w:pPr>
              <w:jc w:val="center"/>
            </w:pPr>
          </w:p>
        </w:tc>
        <w:tc>
          <w:tcPr>
            <w:tcW w:w="3000" w:type="dxa"/>
            <w:tcBorders>
              <w:top w:val="single" w:sz="1" w:space="0" w:color="000000"/>
              <w:left w:val="single" w:sz="1" w:space="0" w:color="000000"/>
              <w:bottom w:val="single" w:sz="1" w:space="0" w:color="000000"/>
              <w:right w:val="single" w:sz="1" w:space="0" w:color="000000"/>
            </w:tcBorders>
            <w:noWrap/>
          </w:tcPr>
          <w:p w:rsidR="00DD0193" w:rsidRDefault="00624A43">
            <w:r>
              <w:rPr>
                <w:rFonts w:ascii="GHEA Grapalat" w:eastAsia="GHEA Grapalat" w:hAnsi="GHEA Grapalat" w:cs="GHEA Grapalat"/>
                <w:sz w:val="22"/>
                <w:szCs w:val="22"/>
              </w:rPr>
              <w:t>Նախագծի հետ առնչություն չունի։</w:t>
            </w:r>
          </w:p>
        </w:tc>
        <w:tc>
          <w:tcPr>
            <w:tcW w:w="1176" w:type="dxa"/>
            <w:tcBorders>
              <w:top w:val="single" w:sz="1" w:space="0" w:color="000000"/>
              <w:left w:val="single" w:sz="1" w:space="0" w:color="000000"/>
              <w:bottom w:val="single" w:sz="1" w:space="0" w:color="000000"/>
              <w:right w:val="single" w:sz="1" w:space="0" w:color="000000"/>
            </w:tcBorders>
            <w:noWrap/>
          </w:tcPr>
          <w:p w:rsidR="00DD0193" w:rsidRDefault="00DD0193">
            <w:pPr>
              <w:jc w:val="center"/>
            </w:pPr>
          </w:p>
        </w:tc>
      </w:tr>
      <w:tr w:rsidR="00DD0193" w:rsidTr="0059286B">
        <w:tc>
          <w:tcPr>
            <w:tcW w:w="540"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lastRenderedPageBreak/>
              <w:t>3</w:t>
            </w:r>
          </w:p>
        </w:tc>
        <w:tc>
          <w:tcPr>
            <w:tcW w:w="2232"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t>ԱԶԱՏ ԹԱՆԱՆՅԱՆ</w:t>
            </w:r>
          </w:p>
          <w:p w:rsidR="00DD0193" w:rsidRDefault="00624A43">
            <w:pPr>
              <w:jc w:val="center"/>
            </w:pPr>
            <w:r>
              <w:rPr>
                <w:rFonts w:ascii="GHEA Grapalat" w:eastAsia="GHEA Grapalat" w:hAnsi="GHEA Grapalat" w:cs="GHEA Grapalat"/>
                <w:color w:val="000000"/>
                <w:sz w:val="22"/>
                <w:szCs w:val="22"/>
              </w:rPr>
              <w:t>31.08.2026 11:37:09</w:t>
            </w:r>
          </w:p>
        </w:tc>
        <w:tc>
          <w:tcPr>
            <w:tcW w:w="1653" w:type="dxa"/>
            <w:tcBorders>
              <w:top w:val="single" w:sz="1" w:space="0" w:color="000000"/>
              <w:left w:val="single" w:sz="1" w:space="0" w:color="000000"/>
              <w:bottom w:val="single" w:sz="1" w:space="0" w:color="000000"/>
              <w:right w:val="single" w:sz="1" w:space="0" w:color="000000"/>
            </w:tcBorders>
            <w:noWrap/>
          </w:tcPr>
          <w:p w:rsidR="00DD0193" w:rsidRDefault="00DD0193">
            <w:pPr>
              <w:jc w:val="center"/>
            </w:pPr>
          </w:p>
        </w:tc>
        <w:tc>
          <w:tcPr>
            <w:tcW w:w="4305" w:type="dxa"/>
            <w:tcBorders>
              <w:top w:val="single" w:sz="1" w:space="0" w:color="000000"/>
              <w:left w:val="single" w:sz="1" w:space="0" w:color="000000"/>
              <w:bottom w:val="single" w:sz="1" w:space="0" w:color="000000"/>
              <w:right w:val="single" w:sz="1" w:space="0" w:color="000000"/>
            </w:tcBorders>
            <w:noWrap/>
          </w:tcPr>
          <w:p w:rsidR="00DD0193" w:rsidRDefault="00624A43">
            <w:r>
              <w:rPr>
                <w:rFonts w:ascii="GHEA Grapalat" w:eastAsia="GHEA Grapalat" w:hAnsi="GHEA Grapalat" w:cs="GHEA Grapalat"/>
                <w:sz w:val="22"/>
                <w:szCs w:val="22"/>
              </w:rPr>
              <w:t>3. Առաջարկ</w:t>
            </w:r>
          </w:p>
          <w:p w:rsidR="00DD0193" w:rsidRDefault="00624A43">
            <w:r>
              <w:rPr>
                <w:rFonts w:ascii="GHEA Grapalat" w:eastAsia="GHEA Grapalat" w:hAnsi="GHEA Grapalat" w:cs="GHEA Grapalat"/>
                <w:sz w:val="22"/>
                <w:szCs w:val="22"/>
              </w:rPr>
              <w:t> Կետերը փոխկապակցված են և ներկայացվում են որպես մեկ ամբողջություն, ոչ թե առանձին բարելավումներ գործող նախագծի ներսում։</w:t>
            </w:r>
          </w:p>
          <w:p w:rsidR="00DD0193" w:rsidRDefault="00624A43">
            <w:r>
              <w:rPr>
                <w:rFonts w:ascii="GHEA Grapalat" w:eastAsia="GHEA Grapalat" w:hAnsi="GHEA Grapalat" w:cs="GHEA Grapalat"/>
                <w:sz w:val="22"/>
                <w:szCs w:val="22"/>
              </w:rPr>
              <w:t> 3.1. Պահպանել ինքնուրույն պատրաստվելու հնարավորությունը։ Առաջարկում եմ 28-րդ հոդվածի 1.2, 6, 7 և 8-րդ մասերը ուժը կորցրած չճանաչել և չսահմանել ուսուցման մասին փաստաթուղթ ներկայացնելու պահանջ։ Կա հմտություն, կա քննության դրական արդյունք։</w:t>
            </w:r>
          </w:p>
          <w:p w:rsidR="00DD0193" w:rsidRDefault="00624A43">
            <w:r>
              <w:rPr>
                <w:rFonts w:ascii="GHEA Grapalat" w:eastAsia="GHEA Grapalat" w:hAnsi="GHEA Grapalat" w:cs="GHEA Grapalat"/>
                <w:sz w:val="22"/>
                <w:szCs w:val="22"/>
              </w:rPr>
              <w:lastRenderedPageBreak/>
              <w:t> 3.2. Տեսական քննություն՝ վարորդի ձեռնարկի հիման վրա։ Այլևս չհրապարակել պաշտոնական հարցաշարերը։ Փոխարենը մշակել և անվճար հասանելի դարձնել վարորդի ուսումնական ձեռնարկը՝ որպես քննական հարցերի միակ հիմք։ Այս դեպքում անգիր անելու առարկան վերանում է․ սովորելու միակ ճանապարհը ձեռնարկի բովանդակությունն է։ Ընդ որում ձեռնարկը թույլ է տալիս ներառել անվտանգությանը վերաբերող հարցեր, որոնք իրավական ակտում ուղիղ գրել հնարավոր չէ։ Օրինակ՝ որևէ նորմով հնարավոր չէ սահմանել, որ վարորդը պարտավոր է դիմացի մեքենայից պահել 2–4 վայրկյանի հեռավորություն, սակայն ձեռնարկում դա կարելի է շարադրել և քննության ժամանակ ստուգել։ Այս մոտեցումը կիրառվում է ԱՄՆ նահանգների ճնշող մեծամասնությունում։ Այս դեպքում «հարցերն անգիր են արվել» հիմնավորումը կորցնում է իմաստը, քանի որ ձեռնարկով սովորելը բովանդակային գիտելիք է ենթադրում։</w:t>
            </w:r>
          </w:p>
          <w:p w:rsidR="00DD0193" w:rsidRDefault="00624A43">
            <w:r>
              <w:rPr>
                <w:rFonts w:ascii="GHEA Grapalat" w:eastAsia="GHEA Grapalat" w:hAnsi="GHEA Grapalat" w:cs="GHEA Grapalat"/>
                <w:sz w:val="22"/>
                <w:szCs w:val="22"/>
              </w:rPr>
              <w:t xml:space="preserve"> 3.3. Լիցենզավորել վարորդ-հրահանգիչ–ավտոմոբիլ զույգը, ոչ թե </w:t>
            </w:r>
            <w:r>
              <w:rPr>
                <w:rFonts w:ascii="GHEA Grapalat" w:eastAsia="GHEA Grapalat" w:hAnsi="GHEA Grapalat" w:cs="GHEA Grapalat"/>
                <w:sz w:val="22"/>
                <w:szCs w:val="22"/>
              </w:rPr>
              <w:lastRenderedPageBreak/>
              <w:t>ավտոդպրոցները։ Ավտոմոբիլը, որը կարող է պատկանել ինչպես ավտոդպրոցի, այնպես էլ անհատի, զննումից հետո ստանում է որպես ուսումնական մեքենա շահագործվելու թույլտվություն, իսկ վարորդը վարորդ-հրահանգչի որակավորման քննությունը հանձնելուց հետո ստանում է դասավանդելու իրավունք։ Առցանց հայտում նշվում են վարորդ-հրահանգիչը և ավտոմոբիլը, և լիցենզիան սկսում է գործել։ Լիցենզիայի հետ գեներացվում է QR կոդ, որը լիցենզիայի գործողության ողջ ժամկետում փակցվում է ուսումնական մեքենայի հետնապակուն և ցանկացած պահի թույլ է տալիս պարեկներին և ցանկացած անձի ստանալ արդի տեղեկություն։</w:t>
            </w:r>
          </w:p>
          <w:p w:rsidR="00DD0193" w:rsidRDefault="00624A43">
            <w:r>
              <w:rPr>
                <w:rFonts w:ascii="GHEA Grapalat" w:eastAsia="GHEA Grapalat" w:hAnsi="GHEA Grapalat" w:cs="GHEA Grapalat"/>
                <w:sz w:val="22"/>
                <w:szCs w:val="22"/>
              </w:rPr>
              <w:t xml:space="preserve"> 3.4. Դասերի ինքնաշխատ գրանցում։ Հրահանգիչն ու սովորողը հավելվածով գրանցում են դասի սկիզբն ու ավարտը։ Չգրանցված դասը ուսումնական վարում չի համարվում, ինչը նշանակում է, որ մեքենան վարում է վարորդական վկայական չունեցող անձ՝ դրա բոլոր իրավական հետևանքներով։ Լրացուցիչ խթան՝ ապահովագրական ընկերությունը </w:t>
            </w:r>
            <w:r>
              <w:rPr>
                <w:rFonts w:ascii="GHEA Grapalat" w:eastAsia="GHEA Grapalat" w:hAnsi="GHEA Grapalat" w:cs="GHEA Grapalat"/>
                <w:sz w:val="22"/>
                <w:szCs w:val="22"/>
              </w:rPr>
              <w:lastRenderedPageBreak/>
              <w:t>չի փոխհատուցում ուսումնական վարման ընթացքում տեղի ունեցած վթարը, եթե դասը գրանցված չէ։ Այս երկու հանգամանքը գործնականում բացառում է դասի չգրանցումը՝ առանց որևէ ստուգողի և առանց նախազգուշացման այցելությունների։ Պետությունը առանց լրացուցիչ ծախսի ստանում է օբյեկտիվ տվյալ ոլորտի վիճակի մասին։</w:t>
            </w:r>
          </w:p>
          <w:p w:rsidR="00DD0193" w:rsidRDefault="00624A43">
            <w:r>
              <w:rPr>
                <w:rFonts w:ascii="GHEA Grapalat" w:eastAsia="GHEA Grapalat" w:hAnsi="GHEA Grapalat" w:cs="GHEA Grapalat"/>
                <w:sz w:val="22"/>
                <w:szCs w:val="22"/>
              </w:rPr>
              <w:t> </w:t>
            </w:r>
          </w:p>
          <w:p w:rsidR="00DD0193" w:rsidRDefault="00624A43">
            <w:r>
              <w:rPr>
                <w:rFonts w:ascii="GHEA Grapalat" w:eastAsia="GHEA Grapalat" w:hAnsi="GHEA Grapalat" w:cs="GHEA Grapalat"/>
                <w:sz w:val="22"/>
                <w:szCs w:val="22"/>
              </w:rPr>
              <w:t xml:space="preserve">3.5. Հանրային ցուցակ և վարկանշավորում։ Պարեկային ոստիկանության կայքին կից հրապարակել լիցենզավորված հրահանգիչների ցուցակը, որտեղ յուրաքանչյուր տողում նշվում են վարորդ-հրահանգիչը և ավտոդպրոցը, իսկ ինքնուրույն գործող հրահանգիչների դեպքում համապատասխան սյունակում՝ «անհատ»։ Դասերի գրանցման տվյալների հիման վրա ցուցակում ցուցադրվում են երկու ցուցանիշ․ ուսուցում անցած անձանց գնահատականը և միջին ցուցանիշը, թե տվյալ հրահանգիչը մոտավորապես քանի ժամում է ապահովում գործնական քննությունը հանձնելու համար բավարար </w:t>
            </w:r>
            <w:r>
              <w:rPr>
                <w:rFonts w:ascii="GHEA Grapalat" w:eastAsia="GHEA Grapalat" w:hAnsi="GHEA Grapalat" w:cs="GHEA Grapalat"/>
                <w:sz w:val="22"/>
                <w:szCs w:val="22"/>
              </w:rPr>
              <w:lastRenderedPageBreak/>
              <w:t>հմտություն։ Այսպես շուկայական անորոշությունը վերանում է․ մարդիկ կիմանան, թե որտեղ գտնել վարորդ-հրահանգիչ՝ սոցիալական ցանցերում որոնումների փոխարեն։</w:t>
            </w:r>
          </w:p>
          <w:p w:rsidR="00DD0193" w:rsidRDefault="00624A43">
            <w:r>
              <w:rPr>
                <w:rFonts w:ascii="GHEA Grapalat" w:eastAsia="GHEA Grapalat" w:hAnsi="GHEA Grapalat" w:cs="GHEA Grapalat"/>
                <w:sz w:val="22"/>
                <w:szCs w:val="22"/>
              </w:rPr>
              <w:t> Վարկանշավորումը կուտակվում է այն սուբյեկտի հաշվին, ում մեքենայով և ում կազմում իրականացվել է դասը։ Ավտոդպրոցի մեքենայով դասավանդելիս ցուցանիշները հաշվառվում են ավտոդպրոցին։ Հրահանգիչը իր անվան ցուցանիշներ ունենում է միայն այն դասերի մասով, որոնք իրականացրել է սեփական լիցենզավորված մեքենայով։ Ավտոդպրոցից դուրս գալիս հրահանգիչը իր հետ չի տանում ավտոդպրոցի կազմում կուտակված ցուցանիշները։ Այս կանոնը պաշտպանում է ավտոդպրոցի ներդրումը հրահանգչի պատրաստման մեջ։</w:t>
            </w:r>
          </w:p>
          <w:p w:rsidR="00DD0193" w:rsidRDefault="00624A43">
            <w:r>
              <w:rPr>
                <w:rFonts w:ascii="GHEA Grapalat" w:eastAsia="GHEA Grapalat" w:hAnsi="GHEA Grapalat" w:cs="GHEA Grapalat"/>
                <w:sz w:val="22"/>
                <w:szCs w:val="22"/>
              </w:rPr>
              <w:t xml:space="preserve"> 3.6. Վարման քննություն առանց երթուղու։ Քննությունը անցկացնել լիցենզավորված ուսումնական մեքենայով՝ հրահանգչի մասնակցությամբ, որն ապահովում է անվտանգությունը։ Քննություն ընդունողը նստում է հետևում և հրահանգում է վարել ցանկացած ուղղությամբ։ Այս դեպքում քննական </w:t>
            </w:r>
            <w:r>
              <w:rPr>
                <w:rFonts w:ascii="GHEA Grapalat" w:eastAsia="GHEA Grapalat" w:hAnsi="GHEA Grapalat" w:cs="GHEA Grapalat"/>
                <w:sz w:val="22"/>
                <w:szCs w:val="22"/>
              </w:rPr>
              <w:lastRenderedPageBreak/>
              <w:t>երթուղի գոյություն չունի, և հիմնավորմամբ բարձրացված երկրորդ խնդիրը լուծվում է ամբողջությամբ։ Պետական ապարատի համար ընթացակարգը էականորեն պարզանում է։</w:t>
            </w:r>
          </w:p>
          <w:p w:rsidR="00DD0193" w:rsidRDefault="00624A43">
            <w:r>
              <w:rPr>
                <w:rFonts w:ascii="GHEA Grapalat" w:eastAsia="GHEA Grapalat" w:hAnsi="GHEA Grapalat" w:cs="GHEA Grapalat"/>
                <w:sz w:val="22"/>
                <w:szCs w:val="22"/>
              </w:rPr>
              <w:t> 3.7. Հարկային ռեժիմ։ Ավտոդպրոցները գործում են ընդհանուր հարկային դաշտում, ինքնուրույն գործող հրահանգիչների համար սահմանվում է պետական տուրք։</w:t>
            </w:r>
          </w:p>
          <w:p w:rsidR="00DD0193" w:rsidRDefault="00624A43">
            <w:r>
              <w:rPr>
                <w:rFonts w:ascii="GHEA Grapalat" w:eastAsia="GHEA Grapalat" w:hAnsi="GHEA Grapalat" w:cs="GHEA Grapalat"/>
                <w:sz w:val="22"/>
                <w:szCs w:val="22"/>
              </w:rPr>
              <w:t xml:space="preserve"> Առաջարկի տնտեսական տրամաբանությունը։ Նախագիծը կարգավորում է մուտքային պայմանները՝ ով է դասավանդում, ինչ տարածքում, քանի աշխատողով, ինչ կազմակերպական ձևով։ Մինչդեռ պետությունն արդեն տիրապետում է արդյունքի ուղղակի չափման գործիքին՝ քննությանը։ Երբ արդյունքը չափելի է, մուտքային պայմանների կարգավորումը ծախս է ավելացնում՝ առանց լրացուցիչ երաշխիքի։ Այս շուկայում սպառողի իրական խնդիրը մատակարարի որակը նախապես գնահատելու անհնարինությունն է․ լիցենզիան ազդանշան է միայն նվազագույն ձևական </w:t>
            </w:r>
            <w:r>
              <w:rPr>
                <w:rFonts w:ascii="GHEA Grapalat" w:eastAsia="GHEA Grapalat" w:hAnsi="GHEA Grapalat" w:cs="GHEA Grapalat"/>
                <w:sz w:val="22"/>
                <w:szCs w:val="22"/>
              </w:rPr>
              <w:lastRenderedPageBreak/>
              <w:t>պայմանների մասին և ոչինչ չի ասում որակի տարբերության մասին, մինչդեռ հանրային ցուցակը՝ գնահատականով և դասաժամերի տվյալով, հենց այդ անհամաչափությունն է վերացնում։ Դասերի գրանցումը իր հերթին գործում է առանց ստուգողի, քանի որ չգրանցելու ռիսկը կրում է հենց այն կողմը, ով կարող էր չգրանցել, և տվյալը ձևավորվում է հենց գործարքի ներսում։ Վերջապես, ավտոդրոմն ու մշտական աշխատակազմը հաստատուն ծախսեր են, որոնք չեն կախված սովորողների թվից և մեխանիկորեն բերում են կենտրոնացման, մինչդեռ առաջարկվող մոդելում ուսումնական տարածքը կարող է լինել առանձին սուբյեկտի մատուցած ծառայություն՝ վարձակալությամբ հասանելի բոլորին, և ծախսը բաշխվում է օգտագործմանը համաչափ։</w:t>
            </w:r>
          </w:p>
          <w:p w:rsidR="00DD0193" w:rsidRDefault="00624A43">
            <w:r>
              <w:rPr>
                <w:rFonts w:ascii="GHEA Grapalat" w:eastAsia="GHEA Grapalat" w:hAnsi="GHEA Grapalat" w:cs="GHEA Grapalat"/>
                <w:sz w:val="22"/>
                <w:szCs w:val="22"/>
              </w:rPr>
              <w:t xml:space="preserve"> Առաջարկվող համակարգում պետությունը ստանում է այն, ինչ նախագիծը փորձում է ապահովել վերահսկողությամբ․ ոլորտի ամբողջական տեսանելիություն, օբյեկտիվ տվյալներ ուսուցման ծավալի և արդյունքի մասին, հրահանգիչների որակավորման </w:t>
            </w:r>
            <w:r>
              <w:rPr>
                <w:rFonts w:ascii="GHEA Grapalat" w:eastAsia="GHEA Grapalat" w:hAnsi="GHEA Grapalat" w:cs="GHEA Grapalat"/>
                <w:sz w:val="22"/>
                <w:szCs w:val="22"/>
              </w:rPr>
              <w:lastRenderedPageBreak/>
              <w:t>երաշխիք և հանրային վարկանշավորում։ Տարբերությունն այն է, որ այս տվյալները ձևավորվում են ինքնաշխատ՝ հենց ծառայության մատուցման ընթացքում, և չեն պահանջում ստուգումներ, հաշվետվություններ և շուկա մուտքի սահմանափակումներ։</w:t>
            </w:r>
          </w:p>
          <w:p w:rsidR="00DD0193" w:rsidRDefault="00624A43" w:rsidP="0059286B">
            <w:r>
              <w:rPr>
                <w:rFonts w:ascii="Calibri" w:eastAsia="GHEA Grapalat" w:hAnsi="Calibri" w:cs="Calibri"/>
                <w:sz w:val="22"/>
                <w:szCs w:val="22"/>
              </w:rPr>
              <w:t> </w:t>
            </w:r>
            <w:r>
              <w:rPr>
                <w:rFonts w:ascii="GHEA Grapalat" w:eastAsia="GHEA Grapalat" w:hAnsi="GHEA Grapalat" w:cs="GHEA Grapalat"/>
                <w:sz w:val="22"/>
                <w:szCs w:val="22"/>
              </w:rPr>
              <w:t>Խնդրում եմ ամփոփաթերթում անդրադառնալ առաջարկի յուրաքանչյուր կետին։ Եթե որևէ կետ համարվում է անընդունելի, խնդրում եմ նշել հիմնավորումը։</w:t>
            </w:r>
          </w:p>
        </w:tc>
        <w:tc>
          <w:tcPr>
            <w:tcW w:w="1680" w:type="dxa"/>
            <w:tcBorders>
              <w:top w:val="single" w:sz="1" w:space="0" w:color="000000"/>
              <w:left w:val="single" w:sz="1" w:space="0" w:color="000000"/>
              <w:bottom w:val="single" w:sz="1" w:space="0" w:color="000000"/>
              <w:right w:val="single" w:sz="1" w:space="0" w:color="000000"/>
            </w:tcBorders>
            <w:noWrap/>
          </w:tcPr>
          <w:p w:rsidR="00DD0193" w:rsidRDefault="00DD0193">
            <w:pPr>
              <w:jc w:val="center"/>
            </w:pPr>
          </w:p>
        </w:tc>
        <w:tc>
          <w:tcPr>
            <w:tcW w:w="3000" w:type="dxa"/>
            <w:tcBorders>
              <w:top w:val="single" w:sz="1" w:space="0" w:color="000000"/>
              <w:left w:val="single" w:sz="1" w:space="0" w:color="000000"/>
              <w:bottom w:val="single" w:sz="1" w:space="0" w:color="000000"/>
              <w:right w:val="single" w:sz="1" w:space="0" w:color="000000"/>
            </w:tcBorders>
            <w:noWrap/>
          </w:tcPr>
          <w:p w:rsidR="00DD0193" w:rsidRDefault="00624A43">
            <w:r>
              <w:rPr>
                <w:rFonts w:ascii="GHEA Grapalat" w:eastAsia="GHEA Grapalat" w:hAnsi="GHEA Grapalat" w:cs="GHEA Grapalat"/>
                <w:sz w:val="22"/>
                <w:szCs w:val="22"/>
              </w:rPr>
              <w:t>Նախագծի հետ առնչություն չունի։</w:t>
            </w:r>
          </w:p>
        </w:tc>
        <w:tc>
          <w:tcPr>
            <w:tcW w:w="1176" w:type="dxa"/>
            <w:tcBorders>
              <w:top w:val="single" w:sz="1" w:space="0" w:color="000000"/>
              <w:left w:val="single" w:sz="1" w:space="0" w:color="000000"/>
              <w:bottom w:val="single" w:sz="1" w:space="0" w:color="000000"/>
              <w:right w:val="single" w:sz="1" w:space="0" w:color="000000"/>
            </w:tcBorders>
            <w:noWrap/>
          </w:tcPr>
          <w:p w:rsidR="00DD0193" w:rsidRDefault="00DD0193">
            <w:pPr>
              <w:jc w:val="center"/>
            </w:pPr>
          </w:p>
        </w:tc>
      </w:tr>
      <w:tr w:rsidR="00DD0193" w:rsidTr="0059286B">
        <w:tc>
          <w:tcPr>
            <w:tcW w:w="540"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lastRenderedPageBreak/>
              <w:t>4</w:t>
            </w:r>
          </w:p>
        </w:tc>
        <w:tc>
          <w:tcPr>
            <w:tcW w:w="2232" w:type="dxa"/>
            <w:tcBorders>
              <w:top w:val="single" w:sz="1" w:space="0" w:color="000000"/>
              <w:left w:val="single" w:sz="1" w:space="0" w:color="000000"/>
              <w:bottom w:val="single" w:sz="1" w:space="0" w:color="000000"/>
              <w:right w:val="single" w:sz="1" w:space="0" w:color="000000"/>
            </w:tcBorders>
            <w:noWrap/>
          </w:tcPr>
          <w:p w:rsidR="00DD0193" w:rsidRDefault="00624A43">
            <w:pPr>
              <w:jc w:val="center"/>
            </w:pPr>
            <w:r>
              <w:rPr>
                <w:rFonts w:ascii="GHEA Grapalat" w:eastAsia="GHEA Grapalat" w:hAnsi="GHEA Grapalat" w:cs="GHEA Grapalat"/>
                <w:color w:val="000000"/>
                <w:sz w:val="22"/>
                <w:szCs w:val="22"/>
              </w:rPr>
              <w:t>ԱԶԱՏ ԹԱՆԱՆՅԱՆ</w:t>
            </w:r>
          </w:p>
          <w:p w:rsidR="00DD0193" w:rsidRDefault="00624A43">
            <w:pPr>
              <w:jc w:val="center"/>
            </w:pPr>
            <w:r>
              <w:rPr>
                <w:rFonts w:ascii="GHEA Grapalat" w:eastAsia="GHEA Grapalat" w:hAnsi="GHEA Grapalat" w:cs="GHEA Grapalat"/>
                <w:color w:val="000000"/>
                <w:sz w:val="22"/>
                <w:szCs w:val="22"/>
              </w:rPr>
              <w:t>31.08.2026 11:36:25</w:t>
            </w:r>
          </w:p>
        </w:tc>
        <w:tc>
          <w:tcPr>
            <w:tcW w:w="1653" w:type="dxa"/>
            <w:tcBorders>
              <w:top w:val="single" w:sz="1" w:space="0" w:color="000000"/>
              <w:left w:val="single" w:sz="1" w:space="0" w:color="000000"/>
              <w:bottom w:val="single" w:sz="1" w:space="0" w:color="000000"/>
              <w:right w:val="single" w:sz="1" w:space="0" w:color="000000"/>
            </w:tcBorders>
            <w:noWrap/>
          </w:tcPr>
          <w:p w:rsidR="00DD0193" w:rsidRDefault="00DD0193">
            <w:pPr>
              <w:jc w:val="center"/>
            </w:pPr>
          </w:p>
        </w:tc>
        <w:tc>
          <w:tcPr>
            <w:tcW w:w="4305" w:type="dxa"/>
            <w:tcBorders>
              <w:top w:val="single" w:sz="1" w:space="0" w:color="000000"/>
              <w:left w:val="single" w:sz="1" w:space="0" w:color="000000"/>
              <w:bottom w:val="single" w:sz="1" w:space="0" w:color="000000"/>
              <w:right w:val="single" w:sz="1" w:space="0" w:color="000000"/>
            </w:tcBorders>
            <w:noWrap/>
          </w:tcPr>
          <w:p w:rsidR="00DD0193" w:rsidRDefault="00624A43">
            <w:r>
              <w:rPr>
                <w:rFonts w:ascii="GHEA Grapalat" w:eastAsia="GHEA Grapalat" w:hAnsi="GHEA Grapalat" w:cs="GHEA Grapalat"/>
                <w:sz w:val="22"/>
                <w:szCs w:val="22"/>
              </w:rPr>
              <w:t>1. Հիմնավորումը հակասում է ինքն իրեն</w:t>
            </w:r>
          </w:p>
          <w:p w:rsidR="00DD0193" w:rsidRDefault="00624A43">
            <w:r>
              <w:rPr>
                <w:rFonts w:ascii="GHEA Grapalat" w:eastAsia="GHEA Grapalat" w:hAnsi="GHEA Grapalat" w:cs="GHEA Grapalat"/>
                <w:sz w:val="22"/>
                <w:szCs w:val="22"/>
              </w:rPr>
              <w:t xml:space="preserve"> 1.1. Հիմնավորումն ինքն է արձանագրում, որ խնդիրը չի սահմանափակվում ինքնուս անձերով։ Հիմնավորման մեջ նշվում է, որ քննության անցկացման վայրի փոփոխության դեպքում գրեթե բոլոր քննություն հանձնողները ստանում են անբավարար գնահատական։ Այստեղ խոսքը ոչ թե ինքնուս անձանց, այլ բոլոր քննություն հանձնողների մասին է, այդ թվում՝ ավտոդպրոցում ուսուցում անցածների։ Հետևաբար նույն հիմնավորումն է վկայում, որ ավտոդպրոցում ուսուցումը այս խնդիրը չի </w:t>
            </w:r>
            <w:r>
              <w:rPr>
                <w:rFonts w:ascii="GHEA Grapalat" w:eastAsia="GHEA Grapalat" w:hAnsi="GHEA Grapalat" w:cs="GHEA Grapalat"/>
                <w:sz w:val="22"/>
                <w:szCs w:val="22"/>
              </w:rPr>
              <w:lastRenderedPageBreak/>
              <w:t>լուծում։ Այն, ինչ լուծում է, քննության վայրի կանխատեսելիության վերացումն է։</w:t>
            </w:r>
          </w:p>
          <w:p w:rsidR="00DD0193" w:rsidRDefault="00624A43">
            <w:r>
              <w:rPr>
                <w:rFonts w:ascii="GHEA Grapalat" w:eastAsia="GHEA Grapalat" w:hAnsi="GHEA Grapalat" w:cs="GHEA Grapalat"/>
                <w:sz w:val="22"/>
                <w:szCs w:val="22"/>
              </w:rPr>
              <w:t> 1.2. Անգիր անելու պատճառը հարցաշարի հրապարակված լինելն է, ոչ թե պատրաստվելու ձևը։ Հրապարակված հարցաշարը հնարավոր է անգիր անել թե՛ ինքնուրույն, թե՛ ավտոդպրոցում։ Լիցենզավորումը այս պատճառին չի անդրադառնում․ հարցաշարը մնում է հրապարակված, և անգիր անելու հնարավորությունը մնում է անփոփոխ։ Խնդրի պատճառը լիազոր մարմնի սեփական որոշումն է՝ հրապարակել քննական հարցերը։</w:t>
            </w:r>
          </w:p>
          <w:p w:rsidR="00DD0193" w:rsidRDefault="00624A43">
            <w:r>
              <w:rPr>
                <w:rFonts w:ascii="GHEA Grapalat" w:eastAsia="GHEA Grapalat" w:hAnsi="GHEA Grapalat" w:cs="GHEA Grapalat"/>
                <w:sz w:val="22"/>
                <w:szCs w:val="22"/>
              </w:rPr>
              <w:t> </w:t>
            </w:r>
          </w:p>
          <w:p w:rsidR="00DD0193" w:rsidRDefault="00624A43">
            <w:r>
              <w:rPr>
                <w:rFonts w:ascii="GHEA Grapalat" w:eastAsia="GHEA Grapalat" w:hAnsi="GHEA Grapalat" w:cs="GHEA Grapalat"/>
                <w:sz w:val="22"/>
                <w:szCs w:val="22"/>
              </w:rPr>
              <w:t xml:space="preserve">1.3. Հիմնավորումը հայտարարում է մրցակցության խթանումը որպես նպատակ, իսկ նախագիծը սահմանում է մուտքի արգելքներ։ Հիմնավորման 3-րդ բաժնում մրցակցության խթանումը և կրթության որակի բարելավումը ներկայացվում են որպես վարկանշավորման նպատակ։ Վարկանշավորումը, այսինքն՝ սպառողին տեղեկություն տալը, իրապես մրցակցային գործիք է։ Սակայն նույն </w:t>
            </w:r>
            <w:r>
              <w:rPr>
                <w:rFonts w:ascii="GHEA Grapalat" w:eastAsia="GHEA Grapalat" w:hAnsi="GHEA Grapalat" w:cs="GHEA Grapalat"/>
                <w:sz w:val="22"/>
                <w:szCs w:val="22"/>
              </w:rPr>
              <w:lastRenderedPageBreak/>
              <w:t>նախագիծը միաժամանակ սահմանում է շուկա մուտքի մի շարք պայմաններ (հոդված 30.2), որոնք գործում են հակառակ ուղղությամբ։ Մեկ փաստաթուղթը մի ձեռքով ուժեղացնում է մրցակցությունը՝ տեղեկատվությամբ, մյուսով թուլացնում է՝ մուտքի սահմանափակմամբ։</w:t>
            </w:r>
          </w:p>
          <w:p w:rsidR="00DD0193" w:rsidRDefault="00624A43">
            <w:r>
              <w:rPr>
                <w:rFonts w:ascii="GHEA Grapalat" w:eastAsia="GHEA Grapalat" w:hAnsi="GHEA Grapalat" w:cs="GHEA Grapalat"/>
                <w:sz w:val="22"/>
                <w:szCs w:val="22"/>
              </w:rPr>
              <w:t xml:space="preserve"> 1.4. Հիմնավորումը չի պարունակում որևէ քանակական տվյալ։ Փաստաթղթում առկա է «ուսումնասիրությունները ցույց են տալիս» ձևակերպումը, սակայն չեն նշվում ո՛չ ուսումնասիրության անվանումը, ո՛չ ժամանակահատվածը, ո՛չ ցուցանիշները։ Բացակայում են քննությունների հանձնման տոկոսը, ավտոդպրոցում ուսուցում անցածների և ինքնուրույն պատրաստվածների արդյունքների համեմատությունը, ինչպես նաև վկայական ստանալուց հետո վթարայնության տվյալները՝ ըստ պատրաստման ձևի։ Առանց այս տվյալների հնարավոր չէ գնահատել, թե արդյոք առաջարկվող միջոցը հասնում է հայտարարված նպատակին։ Խնդիրները, որոնց մասին խոսում է հիմնավորումը, իրական են, սակայն չափված չեն։ Նույնը </w:t>
            </w:r>
            <w:r>
              <w:rPr>
                <w:rFonts w:ascii="GHEA Grapalat" w:eastAsia="GHEA Grapalat" w:hAnsi="GHEA Grapalat" w:cs="GHEA Grapalat"/>
                <w:sz w:val="22"/>
                <w:szCs w:val="22"/>
              </w:rPr>
              <w:lastRenderedPageBreak/>
              <w:t>վերաբերում է ակնկալվող արդյունքին․ այս ոլորտում հանրային շահը առավել անվտանգ երթևեկությունն է, սակայն հիմնավորմամբ ներկայացված չեն վթարայնության դինամիկայի և նոր վկայական ստացած վարորդների հետ դրա կապի վերաբերյալ որևէ ուսումնասիրություն կամ տվյալ։</w:t>
            </w:r>
          </w:p>
          <w:p w:rsidR="00DD0193" w:rsidRDefault="00624A43">
            <w:r>
              <w:rPr>
                <w:rFonts w:ascii="GHEA Grapalat" w:eastAsia="GHEA Grapalat" w:hAnsi="GHEA Grapalat" w:cs="GHEA Grapalat"/>
                <w:sz w:val="22"/>
                <w:szCs w:val="22"/>
              </w:rPr>
              <w:t> 1.5. Ֆինանսական հետևանքների գնահատումը թերի է։ Հիմնավորման 4-րդ բաժնում նշվում է, որ պետական բյուջեում ծախսերի ավելացում չի նախատեսվում։ Միաժամանակ նախագծի 30.4 հոդվածը սահմանում է ստուգումների իրականացում, առանց նախազգուշացման այցելություններ, էլեկտրոնային գրանցամատյանի վարում, կիսամյակային հաշվետվությունների ընդունում և վարկանշավորման իրականացում։ Այս գործառույթները վարչական ռեսուրս են պահանջում։ Առանձին նշեմ, որ բացակայում է քաղաքացու ծախսի գնահատումը․ փաստաթղթում ոչ մի տեղ չի նշվում, թե ինչպես կփոխվի վարորդական վկայական ստանալու միջին ծախսը թեկնածուի համար։</w:t>
            </w:r>
          </w:p>
          <w:p w:rsidR="00DD0193" w:rsidRDefault="00624A43" w:rsidP="0059286B">
            <w:r>
              <w:rPr>
                <w:rFonts w:ascii="Calibri" w:eastAsia="GHEA Grapalat" w:hAnsi="Calibri" w:cs="Calibri"/>
                <w:sz w:val="22"/>
                <w:szCs w:val="22"/>
              </w:rPr>
              <w:lastRenderedPageBreak/>
              <w:t> </w:t>
            </w:r>
            <w:r>
              <w:rPr>
                <w:rFonts w:ascii="GHEA Grapalat" w:eastAsia="GHEA Grapalat" w:hAnsi="GHEA Grapalat" w:cs="GHEA Grapalat"/>
                <w:sz w:val="22"/>
                <w:szCs w:val="22"/>
              </w:rPr>
              <w:t>1.6. Ակնկալվող արդյունքների շարքում նշված է քննությունների հերթերի նվազեցումը։ Հիմնավորման 6-րդ բաժնում որպես ակնկալվող արդյունք նշվում է քննություններ ընդունող ստորաբաժանումների ծանրաբեռնվածության և հերթերի նվազեցումը։ Հերթը նվազում է, երբ ավելի քիչ մարդ է դիմում քննության։ Եթե հերթերի նվազեցումն ակնկալվում է քաղաքացու համար խոչընդոտ ստեղծելու հաշվին, ապա դա առաջացնում է առանձին հարցեր։ Խնդրում եմ պարզաբանել, թե ինչ մեխանիզմով է ակնկալվում այս արդյունքը և արդյոք այն ենթադրում է քննության հասանելիության կրճատում։</w:t>
            </w:r>
          </w:p>
        </w:tc>
        <w:tc>
          <w:tcPr>
            <w:tcW w:w="1680" w:type="dxa"/>
            <w:tcBorders>
              <w:top w:val="single" w:sz="1" w:space="0" w:color="000000"/>
              <w:left w:val="single" w:sz="1" w:space="0" w:color="000000"/>
              <w:bottom w:val="single" w:sz="1" w:space="0" w:color="000000"/>
              <w:right w:val="single" w:sz="1" w:space="0" w:color="000000"/>
            </w:tcBorders>
            <w:noWrap/>
          </w:tcPr>
          <w:p w:rsidR="00DD0193" w:rsidRDefault="00DD0193">
            <w:pPr>
              <w:jc w:val="center"/>
            </w:pPr>
          </w:p>
        </w:tc>
        <w:tc>
          <w:tcPr>
            <w:tcW w:w="3000" w:type="dxa"/>
            <w:tcBorders>
              <w:top w:val="single" w:sz="1" w:space="0" w:color="000000"/>
              <w:left w:val="single" w:sz="1" w:space="0" w:color="000000"/>
              <w:bottom w:val="single" w:sz="1" w:space="0" w:color="000000"/>
              <w:right w:val="single" w:sz="1" w:space="0" w:color="000000"/>
            </w:tcBorders>
            <w:noWrap/>
          </w:tcPr>
          <w:p w:rsidR="00DD0193" w:rsidRDefault="00624A43">
            <w:r>
              <w:rPr>
                <w:rFonts w:ascii="GHEA Grapalat" w:eastAsia="GHEA Grapalat" w:hAnsi="GHEA Grapalat" w:cs="GHEA Grapalat"/>
                <w:sz w:val="22"/>
                <w:szCs w:val="22"/>
              </w:rPr>
              <w:t>Նախագծի հետ առնչություն չունի։</w:t>
            </w:r>
          </w:p>
        </w:tc>
        <w:tc>
          <w:tcPr>
            <w:tcW w:w="1176" w:type="dxa"/>
            <w:tcBorders>
              <w:top w:val="single" w:sz="1" w:space="0" w:color="000000"/>
              <w:left w:val="single" w:sz="1" w:space="0" w:color="000000"/>
              <w:bottom w:val="single" w:sz="1" w:space="0" w:color="000000"/>
              <w:right w:val="single" w:sz="1" w:space="0" w:color="000000"/>
            </w:tcBorders>
            <w:noWrap/>
          </w:tcPr>
          <w:p w:rsidR="00DD0193" w:rsidRDefault="00DD0193">
            <w:pPr>
              <w:jc w:val="center"/>
            </w:pPr>
          </w:p>
        </w:tc>
      </w:tr>
    </w:tbl>
    <w:p w:rsidR="00624A43" w:rsidRDefault="00624A43"/>
    <w:sectPr w:rsidR="00624A43">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193"/>
    <w:rsid w:val="00091008"/>
    <w:rsid w:val="00535257"/>
    <w:rsid w:val="0059286B"/>
    <w:rsid w:val="00624A43"/>
    <w:rsid w:val="009F70C5"/>
    <w:rsid w:val="00DD0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687E2B-3065-4BD8-A83E-2B9DAB23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2063</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2026-09-14T07:40:00Z</dcterms:created>
  <dcterms:modified xsi:type="dcterms:W3CDTF">2026-09-14T11:03:00Z</dcterms:modified>
  <cp:category/>
</cp:coreProperties>
</file>