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1155B" w14:textId="77777777" w:rsidR="00181E9E" w:rsidRPr="00D31AA5" w:rsidRDefault="00181E9E" w:rsidP="001A1877">
      <w:pPr>
        <w:shd w:val="clear" w:color="auto" w:fill="FFFFFF"/>
        <w:tabs>
          <w:tab w:val="left" w:pos="7655"/>
        </w:tabs>
        <w:spacing w:after="0" w:line="360" w:lineRule="auto"/>
        <w:ind w:left="567" w:firstLine="375"/>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t>   </w:t>
      </w:r>
    </w:p>
    <w:p w14:paraId="0D0CF7D6" w14:textId="77777777" w:rsidR="00181E9E" w:rsidRPr="00D31AA5" w:rsidRDefault="00181E9E" w:rsidP="001A1877">
      <w:pPr>
        <w:shd w:val="clear" w:color="auto" w:fill="FFFFFF"/>
        <w:tabs>
          <w:tab w:val="left" w:pos="7655"/>
        </w:tabs>
        <w:spacing w:after="0" w:line="360" w:lineRule="auto"/>
        <w:ind w:left="567" w:firstLine="375"/>
        <w:jc w:val="center"/>
        <w:rPr>
          <w:rFonts w:ascii="GHEA Grapalat" w:eastAsia="Times New Roman" w:hAnsi="GHEA Grapalat" w:cs="Arial"/>
          <w:sz w:val="24"/>
          <w:szCs w:val="24"/>
          <w:lang w:eastAsia="hy-AM"/>
        </w:rPr>
      </w:pPr>
      <w:r w:rsidRPr="00D31AA5">
        <w:rPr>
          <w:rFonts w:ascii="GHEA Grapalat" w:eastAsia="Times New Roman" w:hAnsi="GHEA Grapalat" w:cs="Arial"/>
          <w:b/>
          <w:bCs/>
          <w:sz w:val="24"/>
          <w:szCs w:val="24"/>
          <w:lang w:eastAsia="hy-AM"/>
        </w:rPr>
        <w:t>ԱՄՓՈՓԱԹԵՐԹ</w:t>
      </w:r>
    </w:p>
    <w:p w14:paraId="3D13CAFF" w14:textId="77777777" w:rsidR="00181E9E" w:rsidRPr="00E273CC" w:rsidRDefault="00B1635C" w:rsidP="0007491F">
      <w:pPr>
        <w:shd w:val="clear" w:color="auto" w:fill="FFFFFF"/>
        <w:tabs>
          <w:tab w:val="left" w:pos="7655"/>
        </w:tabs>
        <w:spacing w:after="0" w:line="360" w:lineRule="auto"/>
        <w:ind w:left="567" w:firstLine="375"/>
        <w:jc w:val="center"/>
        <w:rPr>
          <w:rFonts w:ascii="GHEA Grapalat" w:eastAsia="Times New Roman" w:hAnsi="GHEA Grapalat" w:cs="Arial"/>
          <w:b/>
          <w:bCs/>
          <w:sz w:val="24"/>
          <w:szCs w:val="24"/>
          <w:lang w:eastAsia="hy-AM"/>
        </w:rPr>
      </w:pPr>
      <w:r w:rsidRPr="00B1635C">
        <w:rPr>
          <w:rFonts w:ascii="GHEA Grapalat" w:eastAsia="Times New Roman" w:hAnsi="GHEA Grapalat" w:cs="Arial"/>
          <w:b/>
          <w:bCs/>
          <w:sz w:val="24"/>
          <w:szCs w:val="24"/>
          <w:lang w:eastAsia="hy-AM"/>
        </w:rPr>
        <w:t>«</w:t>
      </w:r>
      <w:r w:rsidR="00EF1172" w:rsidRPr="007F1CF4">
        <w:rPr>
          <w:rFonts w:ascii="GHEA Grapalat" w:hAnsi="GHEA Grapalat"/>
          <w:bCs/>
          <w:sz w:val="24"/>
          <w:szCs w:val="24"/>
          <w:shd w:val="clear" w:color="auto" w:fill="FFFFFF"/>
        </w:rPr>
        <w:t>«</w:t>
      </w:r>
      <w:r w:rsidR="00EF1172" w:rsidRPr="00EF1172">
        <w:rPr>
          <w:rFonts w:ascii="GHEA Grapalat" w:hAnsi="GHEA Grapalat"/>
          <w:b/>
          <w:bCs/>
          <w:sz w:val="24"/>
          <w:szCs w:val="24"/>
          <w:shd w:val="clear" w:color="auto" w:fill="FFFFFF"/>
        </w:rPr>
        <w:t>ՀԱՅԱՍՏԱՆԻ ՀԱՆՐԱՊԵՏՈՒԹՅԱՆ 2026 ԹՎԱԿԱՆԻ ՊԵՏԱԿԱՆ ԲՅՈՒՋԵԻ ՄԱՍԻՆ» ՕՐԵՆՔՈՒՄ ՎԵՐԱԲԱՇԽՈՒՄ, ԼՐԱՑՈՒՄՆԵՐ, ՀԱՅԱՍՏԱՆԻ ՀԱՆՐԱՊԵՏՈՒԹՅԱՆ ԿԱՌԱՎԱՐՈՒԹՅԱՆ 2025 ԹՎԱԿԱՆԻ ԴԵԿՏԵՄԲԵՐԻ 25-Ի N 1910-Ն ՈՐՈՇՄԱՆ ՄԵՋ ՓՈՓՈԽՈՒԹՅՈՒՆՆԵՐ և ԼՐԱՑՈՒՄՆԵՐ ԿԱՏԱՐԵԼՈՒ և ԷԿՈՆՈՄԻԿԱՅԻ ՆԱԽԱՐԱՐՈՒԹՅԱՆԸ ԳՈՒՄԱՐ ՀԱՏԿԱՑՆԵԼՈՒ ՄԱՍԻՆ</w:t>
      </w:r>
      <w:r w:rsidR="00EF1172" w:rsidRPr="007F1CF4">
        <w:rPr>
          <w:rFonts w:ascii="GHEA Grapalat" w:hAnsi="GHEA Grapalat"/>
          <w:bCs/>
          <w:sz w:val="24"/>
          <w:szCs w:val="24"/>
          <w:shd w:val="clear" w:color="auto" w:fill="FFFFFF"/>
        </w:rPr>
        <w:t>»</w:t>
      </w:r>
      <w:r w:rsidRPr="00B1635C">
        <w:rPr>
          <w:rFonts w:ascii="GHEA Grapalat" w:eastAsia="Times New Roman" w:hAnsi="GHEA Grapalat" w:cs="Arial"/>
          <w:b/>
          <w:bCs/>
          <w:sz w:val="24"/>
          <w:szCs w:val="24"/>
          <w:lang w:eastAsia="hy-AM"/>
        </w:rPr>
        <w:t>» ՀՀ ԿԱՌԱՎԱՐՈՒԹՅԱՆ ՈՐՈՇՄԱՆ ՆԱԽԱԳԾԻ</w:t>
      </w:r>
    </w:p>
    <w:tbl>
      <w:tblPr>
        <w:tblW w:w="154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172"/>
        <w:gridCol w:w="35"/>
        <w:gridCol w:w="6201"/>
      </w:tblGrid>
      <w:tr w:rsidR="00D31AA5" w:rsidRPr="00D31AA5" w14:paraId="553B997C" w14:textId="77777777" w:rsidTr="001F3BAE">
        <w:trPr>
          <w:trHeight w:val="334"/>
          <w:tblCellSpacing w:w="0" w:type="dxa"/>
          <w:jc w:val="center"/>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C9D02FB" w14:textId="51A442CD" w:rsidR="00BB2390" w:rsidRPr="00D31AA5" w:rsidRDefault="00202CB8" w:rsidP="001F3BAE">
            <w:pPr>
              <w:pStyle w:val="Heading1"/>
              <w:tabs>
                <w:tab w:val="left" w:pos="7655"/>
              </w:tabs>
              <w:spacing w:before="0" w:line="360" w:lineRule="auto"/>
              <w:ind w:left="567"/>
              <w:jc w:val="center"/>
              <w:rPr>
                <w:rFonts w:ascii="GHEA Grapalat" w:hAnsi="GHEA Grapalat" w:cs="Sylfaen"/>
                <w:bCs/>
                <w:color w:val="auto"/>
                <w:sz w:val="24"/>
                <w:szCs w:val="24"/>
                <w:lang w:val="hy-AM"/>
              </w:rPr>
            </w:pPr>
            <w:r>
              <w:rPr>
                <w:rFonts w:ascii="GHEA Grapalat" w:hAnsi="GHEA Grapalat" w:cs="Sylfaen"/>
                <w:bCs/>
                <w:color w:val="auto"/>
                <w:sz w:val="24"/>
                <w:szCs w:val="24"/>
                <w:lang w:val="hy-AM"/>
              </w:rPr>
              <w:t>1</w:t>
            </w:r>
            <w:r w:rsidR="00BB2390" w:rsidRPr="00D31AA5">
              <w:rPr>
                <w:rFonts w:ascii="GHEA Grapalat" w:hAnsi="GHEA Grapalat" w:cs="Sylfaen"/>
                <w:bCs/>
                <w:color w:val="auto"/>
                <w:sz w:val="24"/>
                <w:szCs w:val="24"/>
                <w:lang w:val="hy-AM"/>
              </w:rPr>
              <w:t xml:space="preserve">.  </w:t>
            </w:r>
            <w:r w:rsidR="00A4726C" w:rsidRPr="00D31AA5">
              <w:rPr>
                <w:rFonts w:ascii="GHEA Grapalat" w:hAnsi="GHEA Grapalat" w:cs="Sylfaen"/>
                <w:bCs/>
                <w:color w:val="auto"/>
                <w:sz w:val="24"/>
                <w:szCs w:val="24"/>
                <w:lang w:val="hy-AM"/>
              </w:rPr>
              <w:t>ՀԱՅԱՍՏԱՆԻ</w:t>
            </w:r>
            <w:r w:rsidR="00A4726C" w:rsidRPr="00D31AA5">
              <w:rPr>
                <w:rFonts w:ascii="GHEA Grapalat" w:hAnsi="GHEA Grapalat" w:cs="Times Armenian"/>
                <w:bCs/>
                <w:color w:val="auto"/>
                <w:sz w:val="24"/>
                <w:szCs w:val="24"/>
                <w:lang w:val="hy-AM"/>
              </w:rPr>
              <w:t xml:space="preserve"> </w:t>
            </w:r>
            <w:r w:rsidR="00A4726C" w:rsidRPr="00D31AA5">
              <w:rPr>
                <w:rFonts w:ascii="GHEA Grapalat" w:hAnsi="GHEA Grapalat" w:cs="Sylfaen"/>
                <w:bCs/>
                <w:color w:val="auto"/>
                <w:sz w:val="24"/>
                <w:szCs w:val="24"/>
                <w:lang w:val="hy-AM"/>
              </w:rPr>
              <w:t xml:space="preserve">ՀԱՆՐԱՊԵՏՈՒԹՅԱՆ </w:t>
            </w:r>
            <w:r w:rsidR="00BB2390" w:rsidRPr="00D31AA5">
              <w:rPr>
                <w:rFonts w:ascii="GHEA Grapalat" w:hAnsi="GHEA Grapalat" w:cs="Sylfaen"/>
                <w:bCs/>
                <w:color w:val="auto"/>
                <w:sz w:val="24"/>
                <w:szCs w:val="24"/>
                <w:lang w:val="hy-AM"/>
              </w:rPr>
              <w:t>ՖԻՆԱՆՍՆԵՐԻ ՆԱԽԱՐԱՐՈՒԹՅՈՒՆ</w:t>
            </w: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E881287" w14:textId="269F08D5" w:rsidR="00BB2390" w:rsidRPr="00D31AA5" w:rsidRDefault="00EF1172" w:rsidP="00EF1172">
            <w:pPr>
              <w:tabs>
                <w:tab w:val="left" w:pos="7655"/>
              </w:tabs>
              <w:spacing w:after="0" w:line="360" w:lineRule="auto"/>
              <w:ind w:left="567"/>
              <w:jc w:val="center"/>
              <w:rPr>
                <w:rFonts w:ascii="GHEA Grapalat" w:eastAsiaTheme="majorEastAsia" w:hAnsi="GHEA Grapalat" w:cs="Sylfaen"/>
                <w:bCs/>
                <w:sz w:val="24"/>
                <w:szCs w:val="24"/>
              </w:rPr>
            </w:pPr>
            <w:r>
              <w:rPr>
                <w:rFonts w:ascii="GHEA Grapalat" w:eastAsiaTheme="majorEastAsia" w:hAnsi="GHEA Grapalat" w:cs="Sylfaen"/>
                <w:bCs/>
                <w:sz w:val="24"/>
                <w:szCs w:val="24"/>
                <w:lang w:val="en-US"/>
              </w:rPr>
              <w:t>07</w:t>
            </w:r>
            <w:r w:rsidR="00BB2390" w:rsidRPr="00D31AA5">
              <w:rPr>
                <w:rFonts w:ascii="GHEA Grapalat" w:eastAsiaTheme="majorEastAsia" w:hAnsi="GHEA Grapalat" w:cs="Sylfaen"/>
                <w:bCs/>
                <w:sz w:val="24"/>
                <w:szCs w:val="24"/>
              </w:rPr>
              <w:t>.</w:t>
            </w:r>
            <w:r>
              <w:rPr>
                <w:rFonts w:ascii="GHEA Grapalat" w:eastAsiaTheme="majorEastAsia" w:hAnsi="GHEA Grapalat" w:cs="Sylfaen"/>
                <w:bCs/>
                <w:sz w:val="24"/>
                <w:szCs w:val="24"/>
                <w:lang w:val="en-US"/>
              </w:rPr>
              <w:t>09</w:t>
            </w:r>
            <w:r w:rsidR="00BB2390" w:rsidRPr="00D31AA5">
              <w:rPr>
                <w:rFonts w:ascii="GHEA Grapalat" w:eastAsiaTheme="majorEastAsia" w:hAnsi="GHEA Grapalat" w:cs="Sylfaen"/>
                <w:bCs/>
                <w:sz w:val="24"/>
                <w:szCs w:val="24"/>
              </w:rPr>
              <w:t>.202</w:t>
            </w:r>
            <w:r w:rsidR="00A4726C">
              <w:rPr>
                <w:rFonts w:ascii="GHEA Grapalat" w:eastAsiaTheme="majorEastAsia" w:hAnsi="GHEA Grapalat" w:cs="Sylfaen"/>
                <w:bCs/>
                <w:sz w:val="24"/>
                <w:szCs w:val="24"/>
                <w:lang w:val="en-US"/>
              </w:rPr>
              <w:t>6</w:t>
            </w:r>
            <w:r w:rsidR="00BB2390" w:rsidRPr="00D31AA5">
              <w:rPr>
                <w:rFonts w:ascii="GHEA Grapalat" w:eastAsiaTheme="majorEastAsia" w:hAnsi="GHEA Grapalat" w:cs="Sylfaen"/>
                <w:bCs/>
                <w:sz w:val="24"/>
                <w:szCs w:val="24"/>
              </w:rPr>
              <w:t>թ.</w:t>
            </w:r>
          </w:p>
        </w:tc>
      </w:tr>
      <w:tr w:rsidR="00D31AA5" w:rsidRPr="00D31AA5" w14:paraId="3347576B" w14:textId="77777777" w:rsidTr="001F3BAE">
        <w:trPr>
          <w:trHeight w:val="399"/>
          <w:tblCellSpacing w:w="0" w:type="dxa"/>
          <w:jc w:val="center"/>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7C1F15" w14:textId="77777777" w:rsidR="00BB2390" w:rsidRPr="00D31AA5" w:rsidRDefault="00BB2390" w:rsidP="001A1877">
            <w:pPr>
              <w:tabs>
                <w:tab w:val="left" w:pos="7655"/>
              </w:tabs>
              <w:spacing w:after="0" w:line="360" w:lineRule="auto"/>
              <w:ind w:left="567"/>
              <w:jc w:val="center"/>
              <w:rPr>
                <w:rFonts w:ascii="GHEA Grapalat" w:eastAsia="Times New Roman" w:hAnsi="GHEA Grapalat" w:cs="Arial"/>
                <w:sz w:val="24"/>
                <w:szCs w:val="24"/>
                <w:lang w:eastAsia="hy-AM"/>
              </w:rPr>
            </w:pPr>
          </w:p>
        </w:tc>
        <w:tc>
          <w:tcPr>
            <w:tcW w:w="623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6C15E31" w14:textId="77777777" w:rsidR="00BB2390" w:rsidRPr="00D31AA5" w:rsidRDefault="00BB2390" w:rsidP="001A1877">
            <w:pPr>
              <w:tabs>
                <w:tab w:val="left" w:pos="7655"/>
              </w:tabs>
              <w:spacing w:after="0" w:line="360" w:lineRule="auto"/>
              <w:ind w:left="567"/>
              <w:jc w:val="center"/>
              <w:rPr>
                <w:rFonts w:ascii="GHEA Grapalat" w:eastAsiaTheme="majorEastAsia" w:hAnsi="GHEA Grapalat" w:cs="Sylfaen"/>
                <w:bCs/>
                <w:sz w:val="24"/>
                <w:szCs w:val="24"/>
              </w:rPr>
            </w:pPr>
            <w:r w:rsidRPr="00D31AA5">
              <w:rPr>
                <w:rFonts w:ascii="GHEA Grapalat" w:eastAsiaTheme="majorEastAsia" w:hAnsi="GHEA Grapalat" w:cs="Sylfaen"/>
                <w:bCs/>
                <w:sz w:val="24"/>
                <w:szCs w:val="24"/>
              </w:rPr>
              <w:t xml:space="preserve">N </w:t>
            </w:r>
            <w:r w:rsidR="00EF1172" w:rsidRPr="00EF1172">
              <w:rPr>
                <w:rFonts w:ascii="GHEA Grapalat" w:eastAsiaTheme="majorEastAsia" w:hAnsi="GHEA Grapalat" w:cs="Sylfaen"/>
                <w:bCs/>
                <w:sz w:val="24"/>
                <w:szCs w:val="24"/>
                <w:lang w:val="en-US"/>
              </w:rPr>
              <w:t>01/9-2/23731-2026</w:t>
            </w:r>
          </w:p>
        </w:tc>
      </w:tr>
      <w:tr w:rsidR="00D31AA5" w:rsidRPr="00D31AA5" w14:paraId="4473517B" w14:textId="77777777" w:rsidTr="00EF1172">
        <w:trPr>
          <w:trHeight w:val="667"/>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14:paraId="52F160A3" w14:textId="77777777" w:rsidR="00BB2390" w:rsidRPr="00542CCA" w:rsidRDefault="00EF1172" w:rsidP="001F3BAE">
            <w:pPr>
              <w:spacing w:after="0" w:line="276" w:lineRule="auto"/>
              <w:ind w:left="254" w:right="234" w:firstLine="313"/>
              <w:contextualSpacing/>
              <w:jc w:val="both"/>
              <w:rPr>
                <w:rFonts w:ascii="GHEA Grapalat" w:hAnsi="GHEA Grapalat"/>
                <w:sz w:val="24"/>
                <w:szCs w:val="24"/>
              </w:rPr>
            </w:pPr>
            <w:r w:rsidRPr="007F1CF4">
              <w:rPr>
                <w:rFonts w:ascii="GHEA Grapalat" w:hAnsi="GHEA Grapalat"/>
                <w:bCs/>
                <w:sz w:val="24"/>
                <w:szCs w:val="24"/>
                <w:shd w:val="clear" w:color="auto" w:fill="FFFFFF"/>
              </w:rPr>
              <w:t>Ի պատասխան Ձեր 26.0</w:t>
            </w:r>
            <w:r w:rsidRPr="008F19F6">
              <w:rPr>
                <w:rFonts w:ascii="GHEA Grapalat" w:hAnsi="GHEA Grapalat"/>
                <w:bCs/>
                <w:sz w:val="24"/>
                <w:szCs w:val="24"/>
                <w:shd w:val="clear" w:color="auto" w:fill="FFFFFF"/>
              </w:rPr>
              <w:t>8</w:t>
            </w:r>
            <w:r w:rsidRPr="007F1CF4">
              <w:rPr>
                <w:rFonts w:ascii="GHEA Grapalat" w:hAnsi="GHEA Grapalat"/>
                <w:bCs/>
                <w:sz w:val="24"/>
                <w:szCs w:val="24"/>
                <w:shd w:val="clear" w:color="auto" w:fill="FFFFFF"/>
              </w:rPr>
              <w:t xml:space="preserve">.2026թ. N 01/21351-2026 գրության՝ ««Հայաստանի Հանրապետության 2026 թվականի պետական բյուջեի մասին» օրենքում վերաբաշխում, լրացումներ, Հայաստանի Հանրապետության կառավարության 2025 թվականի դեկտեմբերի 25-ի N 1910-Ն որոշման մեջ փոփոխություններ և լրացումներ կատարելու և էկոնոմիկայի նախարարությանը գումար հատկացնելու մասին» ՀՀ կառավարության որոշման նախագծի (այսուհետ՝ Նախագիծ) վերաբերյալ, </w:t>
            </w:r>
            <w:r w:rsidRPr="007F1CF4">
              <w:rPr>
                <w:rFonts w:ascii="GHEA Grapalat" w:hAnsi="GHEA Grapalat"/>
                <w:sz w:val="24"/>
                <w:szCs w:val="24"/>
              </w:rPr>
              <w:t xml:space="preserve">որով առաջարկվում է ՀՀ 2026թ. պետական բյուջեով </w:t>
            </w:r>
            <w:r w:rsidRPr="008F19F6">
              <w:rPr>
                <w:rFonts w:ascii="GHEA Grapalat" w:hAnsi="GHEA Grapalat"/>
                <w:sz w:val="24"/>
                <w:szCs w:val="24"/>
              </w:rPr>
              <w:t>Էկոնոմիկայի նախարարությանը հատկացվ</w:t>
            </w:r>
            <w:r w:rsidRPr="007F1CF4">
              <w:rPr>
                <w:rFonts w:ascii="GHEA Grapalat" w:hAnsi="GHEA Grapalat"/>
                <w:sz w:val="24"/>
                <w:szCs w:val="24"/>
              </w:rPr>
              <w:t xml:space="preserve">ած </w:t>
            </w:r>
            <w:r w:rsidRPr="008F19F6">
              <w:rPr>
                <w:rFonts w:ascii="GHEA Grapalat" w:hAnsi="GHEA Grapalat"/>
                <w:sz w:val="24"/>
                <w:szCs w:val="24"/>
              </w:rPr>
              <w:t xml:space="preserve">միջոցներից </w:t>
            </w:r>
            <w:r w:rsidRPr="007F1CF4">
              <w:rPr>
                <w:rFonts w:ascii="GHEA Grapalat" w:hAnsi="GHEA Grapalat"/>
                <w:sz w:val="24"/>
                <w:szCs w:val="24"/>
              </w:rPr>
              <w:t xml:space="preserve">պահուստային ֆոնդի ներգրավմամբ </w:t>
            </w:r>
            <w:r w:rsidRPr="007F1CF4">
              <w:rPr>
                <w:rFonts w:ascii="GHEA Grapalat" w:hAnsi="GHEA Grapalat" w:cs="Times Armenian"/>
                <w:sz w:val="24"/>
                <w:szCs w:val="24"/>
                <w:lang w:val="pt-BR"/>
              </w:rPr>
              <w:t>վերաբաշխում կատարելու միջոցով 534.6</w:t>
            </w:r>
            <w:r w:rsidRPr="007F1CF4">
              <w:rPr>
                <w:rFonts w:ascii="GHEA Grapalat" w:hAnsi="GHEA Grapalat"/>
                <w:sz w:val="24"/>
                <w:szCs w:val="24"/>
              </w:rPr>
              <w:t xml:space="preserve"> մլն դրամ (որից 302.</w:t>
            </w:r>
            <w:r w:rsidRPr="008F19F6">
              <w:rPr>
                <w:rFonts w:ascii="GHEA Grapalat" w:hAnsi="GHEA Grapalat"/>
                <w:sz w:val="24"/>
                <w:szCs w:val="24"/>
              </w:rPr>
              <w:t>8</w:t>
            </w:r>
            <w:r w:rsidRPr="007F1CF4">
              <w:rPr>
                <w:rFonts w:ascii="GHEA Grapalat" w:hAnsi="GHEA Grapalat"/>
                <w:sz w:val="24"/>
                <w:szCs w:val="24"/>
              </w:rPr>
              <w:t xml:space="preserve"> մլն դրամը՝ ժամանակավորապես ազատ միջոցներից) </w:t>
            </w:r>
            <w:r w:rsidRPr="007F1CF4">
              <w:rPr>
                <w:rFonts w:ascii="GHEA Grapalat" w:hAnsi="GHEA Grapalat" w:cs="Times Armenian"/>
                <w:sz w:val="24"/>
                <w:szCs w:val="24"/>
                <w:lang w:val="pt-BR"/>
              </w:rPr>
              <w:t xml:space="preserve">հատկացնել </w:t>
            </w:r>
            <w:r w:rsidRPr="007F1CF4">
              <w:rPr>
                <w:rFonts w:ascii="GHEA Grapalat" w:hAnsi="GHEA Grapalat"/>
                <w:bCs/>
                <w:sz w:val="24"/>
                <w:szCs w:val="24"/>
                <w:shd w:val="clear" w:color="auto" w:fill="FFFFFF"/>
              </w:rPr>
              <w:t xml:space="preserve">2026թ. պետական բյուջեով Էկոնոմիկայի նախարարության կողմից իրականացվող մի շարք միջոցառումների գծով նախատեսվածից ավել, ինչպես նաև թվով </w:t>
            </w:r>
            <w:r w:rsidRPr="008F19F6">
              <w:rPr>
                <w:rFonts w:ascii="GHEA Grapalat" w:hAnsi="GHEA Grapalat"/>
                <w:bCs/>
                <w:sz w:val="24"/>
                <w:szCs w:val="24"/>
                <w:shd w:val="clear" w:color="auto" w:fill="FFFFFF"/>
              </w:rPr>
              <w:t>2</w:t>
            </w:r>
            <w:r w:rsidRPr="007F1CF4">
              <w:rPr>
                <w:rFonts w:ascii="GHEA Grapalat" w:hAnsi="GHEA Grapalat"/>
                <w:bCs/>
                <w:sz w:val="24"/>
                <w:szCs w:val="24"/>
                <w:shd w:val="clear" w:color="auto" w:fill="FFFFFF"/>
              </w:rPr>
              <w:t xml:space="preserve"> նոր միջոցառումների</w:t>
            </w:r>
            <w:r w:rsidRPr="008F19F6">
              <w:rPr>
                <w:rFonts w:ascii="GHEA Grapalat" w:hAnsi="GHEA Grapalat"/>
                <w:bCs/>
                <w:sz w:val="24"/>
                <w:szCs w:val="24"/>
                <w:shd w:val="clear" w:color="auto" w:fill="FFFFFF"/>
              </w:rPr>
              <w:t xml:space="preserve"> (1022-12022. 2026 թվականին կաթի արտադրության համար սուբսիդավորման տրամադրման միջոցառում և 1022-12023. ՀՀ Արարատի և Արմավիրի մարզերում գործունեություն իրականացնող արդյունագործական ձկնաբուծական տնտեսություններին աջակցություն միջոցառումներ)</w:t>
            </w:r>
            <w:r w:rsidRPr="007F1CF4">
              <w:rPr>
                <w:rFonts w:ascii="GHEA Grapalat" w:hAnsi="GHEA Grapalat"/>
                <w:bCs/>
                <w:sz w:val="24"/>
                <w:szCs w:val="24"/>
                <w:shd w:val="clear" w:color="auto" w:fill="FFFFFF"/>
              </w:rPr>
              <w:t xml:space="preserve"> </w:t>
            </w:r>
            <w:r w:rsidRPr="007F1CF4">
              <w:rPr>
                <w:rFonts w:ascii="GHEA Grapalat" w:hAnsi="GHEA Grapalat"/>
                <w:bCs/>
                <w:sz w:val="24"/>
                <w:szCs w:val="24"/>
                <w:shd w:val="clear" w:color="auto" w:fill="FFFFFF"/>
              </w:rPr>
              <w:lastRenderedPageBreak/>
              <w:t xml:space="preserve">շրջանակներում ստանձնած պարտավորությունների մարման նպատակով, </w:t>
            </w:r>
            <w:r w:rsidRPr="007F1CF4">
              <w:rPr>
                <w:rFonts w:ascii="GHEA Grapalat" w:hAnsi="GHEA Grapalat"/>
                <w:sz w:val="24"/>
                <w:szCs w:val="24"/>
              </w:rPr>
              <w:t>հայտնում ենք հետևյալը.</w:t>
            </w:r>
          </w:p>
        </w:tc>
        <w:tc>
          <w:tcPr>
            <w:tcW w:w="35" w:type="dxa"/>
            <w:tcBorders>
              <w:top w:val="outset" w:sz="6" w:space="0" w:color="auto"/>
              <w:left w:val="outset" w:sz="6" w:space="0" w:color="auto"/>
              <w:bottom w:val="outset" w:sz="6" w:space="0" w:color="auto"/>
              <w:right w:val="nil"/>
            </w:tcBorders>
            <w:shd w:val="clear" w:color="auto" w:fill="FFFFFF"/>
            <w:hideMark/>
          </w:tcPr>
          <w:p w14:paraId="111532F8" w14:textId="77777777" w:rsidR="00BB2390" w:rsidRPr="00D31AA5" w:rsidRDefault="00BB2390" w:rsidP="001A1877">
            <w:pPr>
              <w:tabs>
                <w:tab w:val="left" w:pos="7655"/>
              </w:tabs>
              <w:spacing w:after="0" w:line="360" w:lineRule="auto"/>
              <w:ind w:left="567"/>
              <w:rPr>
                <w:rFonts w:ascii="GHEA Grapalat" w:eastAsia="Times New Roman" w:hAnsi="GHEA Grapalat" w:cs="Arial"/>
                <w:sz w:val="24"/>
                <w:szCs w:val="24"/>
                <w:lang w:eastAsia="hy-AM"/>
              </w:rPr>
            </w:pPr>
            <w:r w:rsidRPr="00D31AA5">
              <w:rPr>
                <w:rFonts w:ascii="Calibri" w:eastAsia="Times New Roman" w:hAnsi="Calibri" w:cs="Calibri"/>
                <w:sz w:val="24"/>
                <w:szCs w:val="24"/>
                <w:lang w:eastAsia="hy-AM"/>
              </w:rPr>
              <w:lastRenderedPageBreak/>
              <w:t> </w:t>
            </w:r>
          </w:p>
        </w:tc>
        <w:tc>
          <w:tcPr>
            <w:tcW w:w="6201" w:type="dxa"/>
            <w:tcBorders>
              <w:top w:val="outset" w:sz="6" w:space="0" w:color="auto"/>
              <w:left w:val="nil"/>
              <w:bottom w:val="outset" w:sz="6" w:space="0" w:color="auto"/>
              <w:right w:val="outset" w:sz="6" w:space="0" w:color="auto"/>
            </w:tcBorders>
            <w:shd w:val="clear" w:color="auto" w:fill="FFFFFF"/>
            <w:hideMark/>
          </w:tcPr>
          <w:p w14:paraId="75512131" w14:textId="77777777" w:rsidR="00A875F6" w:rsidRPr="00D31AA5" w:rsidRDefault="00A875F6" w:rsidP="001A1877">
            <w:pPr>
              <w:tabs>
                <w:tab w:val="left" w:pos="7655"/>
              </w:tabs>
              <w:spacing w:after="0" w:line="360" w:lineRule="auto"/>
              <w:ind w:left="567"/>
              <w:rPr>
                <w:rFonts w:ascii="GHEA Grapalat" w:eastAsia="Times New Roman" w:hAnsi="GHEA Grapalat" w:cs="Arial"/>
                <w:sz w:val="24"/>
                <w:szCs w:val="24"/>
                <w:lang w:eastAsia="hy-AM"/>
              </w:rPr>
            </w:pPr>
          </w:p>
        </w:tc>
      </w:tr>
      <w:tr w:rsidR="00D31AA5" w:rsidRPr="00D31AA5" w14:paraId="5B2347F9" w14:textId="77777777" w:rsidTr="00EF1172">
        <w:trPr>
          <w:trHeight w:val="704"/>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14:paraId="1709BF1E" w14:textId="77777777" w:rsidR="00EF1172" w:rsidRPr="00EF1172" w:rsidRDefault="00EF1172" w:rsidP="001F3BAE">
            <w:pPr>
              <w:pStyle w:val="ListParagraph"/>
              <w:numPr>
                <w:ilvl w:val="0"/>
                <w:numId w:val="19"/>
              </w:numPr>
              <w:spacing w:after="0" w:line="276" w:lineRule="auto"/>
              <w:ind w:left="240" w:right="165" w:firstLine="327"/>
              <w:jc w:val="both"/>
              <w:rPr>
                <w:rFonts w:ascii="GHEA Grapalat" w:eastAsia="Times New Roman" w:hAnsi="GHEA Grapalat" w:cs="Sylfaen"/>
                <w:bCs/>
                <w:sz w:val="24"/>
                <w:szCs w:val="24"/>
              </w:rPr>
            </w:pPr>
            <w:r w:rsidRPr="00EF1172">
              <w:rPr>
                <w:rFonts w:ascii="GHEA Grapalat" w:hAnsi="GHEA Grapalat" w:cs="Times New Roman"/>
                <w:bCs/>
                <w:sz w:val="24"/>
                <w:szCs w:val="24"/>
                <w:shd w:val="clear" w:color="auto" w:fill="FFFFFF"/>
              </w:rPr>
              <w:t>Նախագծով</w:t>
            </w:r>
            <w:r w:rsidRPr="00EF1172">
              <w:rPr>
                <w:rFonts w:ascii="GHEA Grapalat" w:hAnsi="GHEA Grapalat"/>
                <w:bCs/>
                <w:sz w:val="24"/>
                <w:szCs w:val="24"/>
                <w:shd w:val="clear" w:color="auto" w:fill="FFFFFF"/>
              </w:rPr>
              <w:t xml:space="preserve"> վերաբաշխվող գումարից 18.6 մլն դրամն առաջարկվում է վերաբաշխել 1022-11002 Պետական աջակցություն Հայաստանի Հանրապետության գյուղատնտեսական ծրագրերի իրականացմանը միջոցառումից: Հիմնավորման համաձայն </w:t>
            </w:r>
            <w:r w:rsidRPr="00EF1172">
              <w:rPr>
                <w:rFonts w:ascii="GHEA Grapalat" w:eastAsia="Times New Roman" w:hAnsi="GHEA Grapalat" w:cs="Sylfaen"/>
                <w:bCs/>
                <w:sz w:val="24"/>
                <w:szCs w:val="24"/>
              </w:rPr>
              <w:t xml:space="preserve">գյուղատնտեսության ոլորտում իրականացվող աջակցության ծրագրերի գծով մոնիթորինգի, տեղազննության և ուսումնասիրությունների իրականացումը պատվիրակվել են «Տնտեսական զարգացման և ֆինանսավորման կառույց» հիմնարկին (ՀՀ կառավարության 30.04.2026թ. N 581-Լ որոշում), որի արդյունքում «Գյուղատնտեսական ծառայությունների կենտրոն» ՊՈԱԿ-ի (այսուհետ՝ ՊՈԱԿ) հաստիքացուցակից հանվել է Մոնիթորինգի և տեղազննության իրականացման բաժինը (թվով 17 հաստիք, ամսական 3,780.0 հազ. դրամ աշխատավարձի ֆոնդ): Արդյունքում ՊՈԱԿ-ի տնօրենի 10.06.2026թ. N 31-Ն հրամանով հաստատված նոր հաստիքացուցակով (առանց Մոնիթորինգի և տեղազննության իրականացման բաժնի) ամսական աշխատավարձի ֆոնդը կազմում է 16,394.0 հազ. դրամ, իսկ 2026թ. երկրորդ կիսամյակի (հուլիս-դեկտեմբեր ամիսների) աշխատավարձերի և դրանց հավասարեցված վճարումների գծով անհրաժեշտ ֆինանսավորումը՝ 98,364.0 հազ. դրամ (16,394.0*6=98,364.0): Սակայն հարկ է նշել, որ նախքան նոր հաստիքացուցակի ընդունվելը ՊՈԱԿ-ի ամսական աշխատավարձի ֆոնդը կազմում էր 19,434.0 հազ. դրամ, հետևաբար հաստիքացուցակից Մոնիթորինգի և տեղազննության իրականացման բաժնի ամսական աշխատավարձի ֆոնդը (3,780.0 հազ. դրամ) հանելուց հետո ՊՈԱԿ-ի ամսական աշխատավարձի ֆոնդը կկազմի 15,654.0 հազ. դրամ, իսկ 2026թ. երկրորդ կիսամյակի (հուլիս-դեկտեմբեր ամիսների) աշխատավարձերի և դրանց հավասարեցված վճարումների գծով անհրաժեշտ ֆինանսավորումը՝ 93,924.0 հազ. դրամ (15,654.0*6=93,924.0): Արդյունքում հիմնավորմամբ ներկայացված ՊՈԱԿ-ի հաստիքացուցակով նախատեսված 233,208.0 հազ. </w:t>
            </w:r>
            <w:r w:rsidRPr="00EF1172">
              <w:rPr>
                <w:rFonts w:ascii="GHEA Grapalat" w:eastAsia="Times New Roman" w:hAnsi="GHEA Grapalat" w:cs="Sylfaen"/>
                <w:bCs/>
                <w:sz w:val="24"/>
                <w:szCs w:val="24"/>
              </w:rPr>
              <w:lastRenderedPageBreak/>
              <w:t>դրամ աշխատավարձի ֆոնդից (233,208.0 հազ. դրամ) հիմնավորման համաձայն 2026թ. 1-ին կիսամյակում փաստացի կատարված ծախսերի (119,317.13 հազ. դրամ) և երկրորդ կիսամյակի համար անհրաժեշտ ֆինանսավորման (93,924.0 հազ. դրամ) տարբերությունը կկազմի 19,966.87 հազ. դրամ` (233,208.0-119,317.13-93,924.0=19,966.87), ԱԱՀ-ով՝ 23,960.24 հազ. դրամ, որն էլ ենթակա է վերադարձման պետական բյուջե:</w:t>
            </w:r>
          </w:p>
          <w:p w14:paraId="47A6F317" w14:textId="39ED1B2D" w:rsidR="00A769D8" w:rsidRPr="001F3BAE" w:rsidRDefault="00EF1172" w:rsidP="001F3BAE">
            <w:pPr>
              <w:tabs>
                <w:tab w:val="left" w:pos="7531"/>
              </w:tabs>
              <w:spacing w:after="0" w:line="276" w:lineRule="auto"/>
              <w:ind w:left="240" w:right="165" w:firstLine="327"/>
              <w:contextualSpacing/>
              <w:jc w:val="both"/>
              <w:rPr>
                <w:rFonts w:ascii="GHEA Grapalat" w:eastAsia="Times New Roman" w:hAnsi="GHEA Grapalat" w:cs="Sylfaen"/>
                <w:bCs/>
                <w:sz w:val="24"/>
                <w:szCs w:val="24"/>
              </w:rPr>
            </w:pPr>
            <w:r w:rsidRPr="008F19F6">
              <w:rPr>
                <w:rFonts w:ascii="GHEA Grapalat" w:eastAsia="Times New Roman" w:hAnsi="GHEA Grapalat" w:cs="Sylfaen"/>
                <w:bCs/>
                <w:sz w:val="24"/>
                <w:szCs w:val="24"/>
              </w:rPr>
              <w:t xml:space="preserve">Ընդ որում, ՊՈԱԿ-ի հաստիքների ընդհանուր թվից (89 հաստիք) </w:t>
            </w:r>
            <w:r w:rsidRPr="007F1CF4">
              <w:rPr>
                <w:rFonts w:ascii="GHEA Grapalat" w:eastAsia="Times New Roman" w:hAnsi="GHEA Grapalat" w:cs="Sylfaen"/>
                <w:bCs/>
                <w:sz w:val="24"/>
                <w:szCs w:val="24"/>
              </w:rPr>
              <w:t>Մոնիթորինգի և տեղազննության իրականացման բաժն</w:t>
            </w:r>
            <w:r w:rsidRPr="008F19F6">
              <w:rPr>
                <w:rFonts w:ascii="GHEA Grapalat" w:eastAsia="Times New Roman" w:hAnsi="GHEA Grapalat" w:cs="Sylfaen"/>
                <w:bCs/>
                <w:sz w:val="24"/>
                <w:szCs w:val="24"/>
              </w:rPr>
              <w:t>ի թվով 17 հաստիքները հանելուց հետո դրանց ընդհանուր թիվը պետք է կազմեր 72 հաստիք, մինչդեռ Նախագծին կից ներկայացված նոր հաստիքացուցակի համաձայն դրանք կազմում են թվով 75-ը: Հետևաբար բացահայտման կարիք ունի թվով 3 նոր հաստիքներ նախատեսելու անհրաժեշտությունն ու շարժառիթները, ինչպես նաև դրանց կողմից իրականացվելիք գործառույթների շրջանակը:</w:t>
            </w:r>
          </w:p>
        </w:tc>
        <w:tc>
          <w:tcPr>
            <w:tcW w:w="35" w:type="dxa"/>
            <w:tcBorders>
              <w:top w:val="outset" w:sz="6" w:space="0" w:color="auto"/>
              <w:left w:val="outset" w:sz="6" w:space="0" w:color="auto"/>
              <w:bottom w:val="outset" w:sz="6" w:space="0" w:color="auto"/>
              <w:right w:val="nil"/>
            </w:tcBorders>
            <w:shd w:val="clear" w:color="auto" w:fill="FFFFFF"/>
          </w:tcPr>
          <w:p w14:paraId="6AC8913E"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6ECD2924" w14:textId="77777777" w:rsidR="001A4A13"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Չի ընդունվել: Տրվել է պարզաբանում:</w:t>
            </w:r>
          </w:p>
          <w:p w14:paraId="681558C2"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«Գյուղատնտեսական ծառայությունների կենտրոն» պետական ոչ առևտրային կազմակերպության (այսուհետ՝ Կազմակերպություն) 2026 թվականի ֆինանսավորման, իրականացված կառուցվածքային փոփոխությունների և դրանց արդյունքում ձևավորված տնտեսման վերաբերյալ հայտնում ենք հետևյալը։</w:t>
            </w:r>
          </w:p>
          <w:p w14:paraId="15FAEF68"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ՀՀ կառավարության 2026 թվականի ապրիլի 30-ի N 581-Լ որոշմամբ գյուղատնտեսության ոլորտի պետական աջակցության մի շարք ծրագրերի շրջանակներում նախկինում Կազմակերպության կողմից իրականացվող մոնիթորինգի, տեղազննության և ուսումնասիրությունների գործառույթներից որոշ աջակցման ծրագրերի մասով փոխանցվել են ՀՀ էկոնոմիկայի նախարարության «Տնտեսական զարգացման և ֆինանսավորման կառույց» հիմնարկին (այսուհետ՝ ՏԶՖԿ)։ </w:t>
            </w:r>
          </w:p>
          <w:p w14:paraId="56BF35F5"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Սակայն ՀՀ կառավարության 2026 թվականի ապրիլի 30-ի N 581-Լ որոշմամբ Կազմակերպությանը վերապահված և նախկինում իրականացվող ծրագրերից ոչ բոլորի տեղեափոխությունն է իրականացվել, ինչ արդյունքում նախկինում իրականացվող բոլոր ծրագրի մոնիթորինգային և մշտադիտարկման գործառույթներից </w:t>
            </w:r>
            <w:r w:rsidRPr="006A5B17">
              <w:rPr>
                <w:rFonts w:ascii="Calibri" w:eastAsia="Times New Roman" w:hAnsi="Calibri" w:cs="Calibri"/>
                <w:sz w:val="24"/>
                <w:szCs w:val="24"/>
                <w:lang w:eastAsia="hy-AM"/>
              </w:rPr>
              <w:t> </w:t>
            </w:r>
            <w:r w:rsidRPr="006A5B17">
              <w:rPr>
                <w:rFonts w:ascii="GHEA Grapalat" w:eastAsia="Times New Roman" w:hAnsi="GHEA Grapalat" w:cs="GHEA Grapalat"/>
                <w:sz w:val="24"/>
                <w:szCs w:val="24"/>
                <w:lang w:eastAsia="hy-AM"/>
              </w:rPr>
              <w:t>ՏԶՖԿ</w:t>
            </w:r>
            <w:r w:rsidRPr="006A5B17">
              <w:rPr>
                <w:rFonts w:ascii="GHEA Grapalat" w:eastAsia="Times New Roman" w:hAnsi="GHEA Grapalat" w:cs="Arial"/>
                <w:sz w:val="24"/>
                <w:szCs w:val="24"/>
                <w:lang w:eastAsia="hy-AM"/>
              </w:rPr>
              <w:t>-ին փոխանցվել են ոչ ամբողջական ծավալով։</w:t>
            </w:r>
          </w:p>
          <w:p w14:paraId="0085D54B"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Մասնավորապես, N 581-Լ որոշման 1-10-րդ կետերով փոփոխություններ են կատարվել որոշմամբ ուղղակիորեն թվարկված առանձին պետական աջակցության ծրագրերում, իսկ 11-րդ կետով ՏԶՖԿ-ին </w:t>
            </w:r>
            <w:r w:rsidRPr="006A5B17">
              <w:rPr>
                <w:rFonts w:ascii="GHEA Grapalat" w:eastAsia="Times New Roman" w:hAnsi="GHEA Grapalat" w:cs="Arial"/>
                <w:sz w:val="24"/>
                <w:szCs w:val="24"/>
                <w:lang w:eastAsia="hy-AM"/>
              </w:rPr>
              <w:lastRenderedPageBreak/>
              <w:t>են պատվիրակվել գյուղատնտեսության ոլորտում արդեն իրականացված և գործողության ժամկետը լրացած կամ համապատասխան որոշմամբ ուժը կորցրած ճանաչված աջակցության ծրագրերի շրջանակներում նախատեսված մոնիթորինգի, տեղազննության կամ ուսումնասիրությունների հետ կապված գործառույթները։</w:t>
            </w:r>
          </w:p>
          <w:p w14:paraId="29545731"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Հետևաբար N 581-Լ որոշումը չի պարունակում ընդհանուր կարգավորում, համաձայն որի՝ Կազմակերպությանը այլ գործող իրավական ակտերով վերապահված բոլոր մոնիթորինգային և մշտադիտարկման գործառույթները դադարեցվում կամ ամբողջությամբ փոխանցվում են ՏԶՖԿ-ին։</w:t>
            </w:r>
          </w:p>
          <w:p w14:paraId="23A1CE71"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Ընդհակառակը՝ Կազմակերպության կողմից իրականացվել և ներկայումս շարունակում են իրականացվել մի շարք գործող իրավական ակտերով Կազմակերպությանը ուղղակիորեն վերապահված մոնիթորինգային, մշտադիտարկման և դրանց հետ կապված մասնագիտական գործառույթներ։</w:t>
            </w:r>
          </w:p>
          <w:p w14:paraId="117989A7"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Մասնավորապես՝</w:t>
            </w:r>
          </w:p>
          <w:p w14:paraId="7EA27729"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1. ՀՀ կառավարության 2022 թվականի հոկտեմբերի 6-ի N 1544-Լ որոշմամբ հաստատված՝ Հայաստանի Հանրապետությունում գյուղատնտեսական կենդանիների պատվաստման ծրագրի շրջանակներում</w:t>
            </w:r>
          </w:p>
          <w:p w14:paraId="39C25DE3" w14:textId="77777777" w:rsidR="006A5B17" w:rsidRPr="006A5B17" w:rsidRDefault="006A5B17" w:rsidP="006A5B17">
            <w:pPr>
              <w:numPr>
                <w:ilvl w:val="0"/>
                <w:numId w:val="20"/>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ծրագրի 28-րդ կետով սահմանված է, որ ծրագրի մոնիթորինգն իրականացվում է ՀՀ էկոնոմիկայի նախարարության և «Գյուղատնտեսական ծառայությունների կենտրոն» ՊՈԱԿ-ի կողմից,</w:t>
            </w:r>
          </w:p>
          <w:p w14:paraId="7098A49B" w14:textId="77777777" w:rsidR="006A5B17" w:rsidRPr="006A5B17" w:rsidRDefault="006A5B17" w:rsidP="006A5B17">
            <w:pPr>
              <w:numPr>
                <w:ilvl w:val="0"/>
                <w:numId w:val="20"/>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ծրագրի 34-րդ կետով Կազմակերպությունն ըստ եռամսյակների համայնքներում իրականացնում է մոնիթորինգ՝ ըստ կենդանատեսակների </w:t>
            </w:r>
            <w:r w:rsidRPr="006A5B17">
              <w:rPr>
                <w:rFonts w:ascii="GHEA Grapalat" w:eastAsia="Times New Roman" w:hAnsi="GHEA Grapalat" w:cs="Arial"/>
                <w:sz w:val="24"/>
                <w:szCs w:val="24"/>
                <w:lang w:eastAsia="hy-AM"/>
              </w:rPr>
              <w:lastRenderedPageBreak/>
              <w:t>իրականացված միջոցառումների, ինչպես նաև անասնաբուժական դեղամիջոցների և պարագաների բաշխման ու մնացորդների վերաբերյալ,</w:t>
            </w:r>
          </w:p>
          <w:p w14:paraId="2AEFB1AA" w14:textId="77777777" w:rsidR="006A5B17" w:rsidRPr="006A5B17" w:rsidRDefault="006A5B17" w:rsidP="006A5B17">
            <w:pPr>
              <w:numPr>
                <w:ilvl w:val="0"/>
                <w:numId w:val="20"/>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ծրագրի 36-րդ կետով Կազմակերպությանն ուղղակիորեն վերապահված է մոնիթորինգի տվյալների հավաքագրումը, մշակումը, ամփոփումը և տեղեկատվությունը նախարարություն ներկայացնելը,</w:t>
            </w:r>
          </w:p>
          <w:p w14:paraId="487F9B34" w14:textId="77777777" w:rsidR="006A5B17" w:rsidRPr="006A5B17" w:rsidRDefault="006A5B17" w:rsidP="006A5B17">
            <w:pPr>
              <w:numPr>
                <w:ilvl w:val="0"/>
                <w:numId w:val="20"/>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ծրագրի 37-րդ կետով նախատեսված է մոնիթորինգի արդյունքում արձանագրված բացթողումների վերաբերյալ համապատասխան տեղեկատվության ներկայացում։</w:t>
            </w:r>
          </w:p>
          <w:p w14:paraId="6271E890"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Բացի այդ, նշված որոշմամբ հաստատված ժամանակացույցով «Մոնիթորինգի իրականացում» միջոցառման պատասխանատու կառույցների թվում ուղղակիորեն նշված է նաև «Գյուղատնտեսական ծառայությունների կենտրոն» ՊՈԱԿ-ը։</w:t>
            </w:r>
          </w:p>
          <w:p w14:paraId="46F3D1E0"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2. ՀՀ կառավարության 2024 թվականի նոյեմբերի 21-ի N 1831-Լ որոշմամբ հաստատված՝ գյուղատնտեսական նշանակության հողատեսքերում բուսասանիտարական ուսումնասիրության և բույսերի պաշտպանության միջոցառումների իրականացման ծրագրի շրջանակներում</w:t>
            </w:r>
          </w:p>
          <w:p w14:paraId="12C757FE" w14:textId="77777777" w:rsidR="006A5B17" w:rsidRPr="006A5B17" w:rsidRDefault="006A5B17" w:rsidP="006A5B17">
            <w:pPr>
              <w:numPr>
                <w:ilvl w:val="0"/>
                <w:numId w:val="21"/>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ծրագրի 12-րդ կետով սահմանված է, որ ծրագրի մոնիթորինգն իրականացվում է նախարարության և Կազմակերպության համապատասխան մասնագիտական ստորաբաժանումների կողմից,</w:t>
            </w:r>
          </w:p>
          <w:p w14:paraId="0487680B" w14:textId="77777777" w:rsidR="006A5B17" w:rsidRPr="006A5B17" w:rsidRDefault="006A5B17" w:rsidP="006A5B17">
            <w:pPr>
              <w:numPr>
                <w:ilvl w:val="0"/>
                <w:numId w:val="21"/>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ծրագրի 17-րդ կետով Կազմակերպությունն ըստ եռամսյակների համայնքներում իրականացնում է մոնիթորինգ՝ գյուղատնտեսական մշակաբույսերի վնասակար օրգանիզմների տարածվածության, ինչպես նաև թունանյութերի և ֆերոմոնային </w:t>
            </w:r>
            <w:r w:rsidRPr="006A5B17">
              <w:rPr>
                <w:rFonts w:ascii="GHEA Grapalat" w:eastAsia="Times New Roman" w:hAnsi="GHEA Grapalat" w:cs="Arial"/>
                <w:sz w:val="24"/>
                <w:szCs w:val="24"/>
                <w:lang w:eastAsia="hy-AM"/>
              </w:rPr>
              <w:lastRenderedPageBreak/>
              <w:t>թակարդների բաշխման, առկա մնացորդների և դրանց պահպանման ժամկետների վերաբերյալ,</w:t>
            </w:r>
          </w:p>
          <w:p w14:paraId="59AF2D62" w14:textId="77777777" w:rsidR="006A5B17" w:rsidRPr="006A5B17" w:rsidRDefault="006A5B17" w:rsidP="006A5B17">
            <w:pPr>
              <w:numPr>
                <w:ilvl w:val="0"/>
                <w:numId w:val="21"/>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ծրագրի 19-րդ կետով Կազմակերպությանն ուղղակիորեն վերապահված է մոնիթորինգի տվյալների հավաքագրումը, մշակումը, ամփոփումը և նախարարություն ներկայացումը։</w:t>
            </w:r>
          </w:p>
          <w:p w14:paraId="306CFC11"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Նույն որոշմամբ հաստատված ժամանակացույցով Կազմակերպությանը վերապահված են նաև մշտադիտարկման, բուսասանիտարական ուսումնասիրությունների իրականացման և համապատասխան հաշվետվությունների ներկայացման գործառույթներ։</w:t>
            </w:r>
          </w:p>
          <w:p w14:paraId="600EEE7E"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3. ՀՀ կառավարության 2003 թվականի փետրվարի 6-ի N 138-Ն որոշմամբ հաստատված «Գյուղատնտեսական ծառայությունների կենտրոն» ՊՈԱԿ-ի կանոնադրությամբ</w:t>
            </w:r>
          </w:p>
          <w:p w14:paraId="37E03B34"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Կազմակերպությանը որպես հիմնական մասնագիտական գործառույթներ վերապահված են՝</w:t>
            </w:r>
          </w:p>
          <w:p w14:paraId="304C1528" w14:textId="77777777" w:rsidR="006A5B17" w:rsidRPr="006A5B17" w:rsidRDefault="006A5B17" w:rsidP="006A5B17">
            <w:pPr>
              <w:numPr>
                <w:ilvl w:val="0"/>
                <w:numId w:val="22"/>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բույսերի կարանտին օրգանիզմների հայտնաբերման, տարածման արեալի ճշտման և համապատասխան միջոցառումների իրականացման նպատակով հետազոտությունների՝ մոնիթորինգի իրականացումը,</w:t>
            </w:r>
          </w:p>
          <w:p w14:paraId="71D45C25" w14:textId="77777777" w:rsidR="006A5B17" w:rsidRPr="006A5B17" w:rsidRDefault="006A5B17" w:rsidP="006A5B17">
            <w:pPr>
              <w:numPr>
                <w:ilvl w:val="0"/>
                <w:numId w:val="22"/>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գյուղատնտեսական նշանակության հողատեսքերի բուսասանիտարական վիճակի գնահատման նպատակով բուսասանիտարական դիտարկումների իրականացումը,</w:t>
            </w:r>
          </w:p>
          <w:p w14:paraId="7ADFF59E" w14:textId="77777777" w:rsidR="006A5B17" w:rsidRPr="006A5B17" w:rsidRDefault="006A5B17" w:rsidP="006A5B17">
            <w:pPr>
              <w:numPr>
                <w:ilvl w:val="0"/>
                <w:numId w:val="22"/>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վնասակար օրգանիզմների հայտնաբերման, հաշվառման և տարածման վերաբերյալ աշխատանքների իրականացումը,</w:t>
            </w:r>
          </w:p>
          <w:p w14:paraId="7CDEAA1A" w14:textId="77777777" w:rsidR="006A5B17" w:rsidRPr="006A5B17" w:rsidRDefault="006A5B17" w:rsidP="006A5B17">
            <w:pPr>
              <w:numPr>
                <w:ilvl w:val="0"/>
                <w:numId w:val="22"/>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lastRenderedPageBreak/>
              <w:t>գյուղատնտեսական նշանակության հողերի ագրոքիմիական վիճակի հետազոտումն ու գնահատումը,</w:t>
            </w:r>
          </w:p>
          <w:p w14:paraId="0530A375" w14:textId="77777777" w:rsidR="006A5B17" w:rsidRPr="006A5B17" w:rsidRDefault="006A5B17" w:rsidP="006A5B17">
            <w:pPr>
              <w:numPr>
                <w:ilvl w:val="0"/>
                <w:numId w:val="22"/>
              </w:num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համապատասխան ծրագրերով նախատեսված մասնագիտական միջոցառումների իրականացումը։</w:t>
            </w:r>
          </w:p>
          <w:p w14:paraId="35FB644B"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Այսպիսով՝ Կազմակերպության մոնիթորինգային և մշտադիտարկման գործառույթների իրավական հիմքը չի սահմանափակվում միայն այն պետական աջակցության ծրագրերով, որոնց շրջանակներում գործառույթները N 581-Լ որոշմամբ փոխանցվել են ՏԶՖԿ-ին։</w:t>
            </w:r>
          </w:p>
          <w:p w14:paraId="08437235"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Այս ամենի արդյունքում Կազմակերպության աշխատակիցները մինչև կառուցվածքային փոփոխությունները իրականացրել և ներկայումս շարունակում են իրականացնել Կազմակերպությանը վերոնշյալ գործող իրավական ակտերով, այլ ակտերով, կանոնադրությամբ և կնքված պայմանագրերով վերապահված մոնիթորինգի, մշտադիտարկման, ուսումնասիրության, համապատասխան տվյալների հավաքագրման, մշակման և ամփոփման գործառույթները։ Վերջիններիս աշխատանքային պայմանագրերով, ինչպես նաև համապատասխան վարչությունների գործառույթներով արդեն իսկ նախատեսված են տվյալ ոլորտներին վերաբերող մոնիթորինգի և մշտադիտարկման աշխատանքների իրականացման պարտականությունները, ուստի այդ գործառույթների կատարումը կազմակերպվում է գործող կառուցվածքի շրջանակում։ Համապատասխան աշխատակիցների աշխատանքային պայմանագրերի օրինակները կցվում են։</w:t>
            </w:r>
          </w:p>
          <w:p w14:paraId="1E811061"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lastRenderedPageBreak/>
              <w:t>Հետևաբար առանձին «մոնիթորինգի մասնագետ» հաստիքի կամ նախկին Մոնիթորինգի և տեղազննության իրականացման բաժնի բացակայությունը չի կարող մեկնաբանվել որպես Կազմակերպության բոլոր մոնիթորինգային գործառույթների դադարեցում։ Գործառույթի առկայությունը պայմանավորված է ոչ թե համապատասխան հաստիքի անվանումով, այլ Կազմակերպությանը իրավական ակտերով վերապահված պարտականություններով և տվյալ աշխատանքների իրականացումը համապատասխան աշխատակիցների աշխատանքային պարտականությունների կազմում ամրագրելու հանգամանքով։</w:t>
            </w:r>
          </w:p>
          <w:p w14:paraId="585E2AC2"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Նշված գործառութային փոփոխություններով պայմանավորված՝ Կազմակերպությունում իրականացվել են նաև համապատասխան կառուցվածքային փոփոխություններ։ Մոնիթորինգի և տեղազննության իրականացման բաժնի 16 հաստիքային միավորներից 13-ը փոխանցվել են ՏԶՖԿ-ին, իսկ Կազմակերպությունում պահպանվել է միայն այն մասնագիտական ներուժը (3 հաստիքը) , որն անհրաժեշտ է Կազմակերպությանը վերը նշված և այժմ էլ </w:t>
            </w:r>
            <w:r w:rsidRPr="006A5B17">
              <w:rPr>
                <w:rFonts w:ascii="Calibri" w:eastAsia="Times New Roman" w:hAnsi="Calibri" w:cs="Calibri"/>
                <w:sz w:val="24"/>
                <w:szCs w:val="24"/>
                <w:lang w:eastAsia="hy-AM"/>
              </w:rPr>
              <w:t> </w:t>
            </w:r>
            <w:r w:rsidRPr="006A5B17">
              <w:rPr>
                <w:rFonts w:ascii="GHEA Grapalat" w:eastAsia="Times New Roman" w:hAnsi="GHEA Grapalat" w:cs="GHEA Grapalat"/>
                <w:sz w:val="24"/>
                <w:szCs w:val="24"/>
                <w:lang w:eastAsia="hy-AM"/>
              </w:rPr>
              <w:t>գործող</w:t>
            </w:r>
            <w:r w:rsidRPr="006A5B17">
              <w:rPr>
                <w:rFonts w:ascii="GHEA Grapalat" w:eastAsia="Times New Roman" w:hAnsi="GHEA Grapalat" w:cs="Arial"/>
                <w:sz w:val="24"/>
                <w:szCs w:val="24"/>
                <w:lang w:eastAsia="hy-AM"/>
              </w:rPr>
              <w:t xml:space="preserve"> այլ իրավական ակտերով վերապահված շարունակական գործառույթների իրականացման համար։</w:t>
            </w:r>
          </w:p>
          <w:p w14:paraId="2F9B464B"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Միաժամանակ, հաշվի առնելով աշխատողների աշխատանքային հարաբերությունների դադարեցման համար օրենսդրությամբ նախատեսված ծանուցման ժամկետները, համապատասխան աշխատողների աշխատանքային հարաբերությունները Կազմակերպության հետ դադարեցվել են 2026 </w:t>
            </w:r>
            <w:r w:rsidRPr="006A5B17">
              <w:rPr>
                <w:rFonts w:ascii="GHEA Grapalat" w:eastAsia="Times New Roman" w:hAnsi="GHEA Grapalat" w:cs="Arial"/>
                <w:sz w:val="24"/>
                <w:szCs w:val="24"/>
                <w:lang w:eastAsia="hy-AM"/>
              </w:rPr>
              <w:lastRenderedPageBreak/>
              <w:t>թվականի հունիսի 10-ին, և մինչև այդ պահը Կազմակերպությունը կրել է նրանց աշխատավարձի և դրան հավասարեցված վճարումների կատարման պարտավորությունը։ Այս Կառուցվածքային փոփոխությունների արդյունքում կարիք է առաջացել համապատասխանաբար նվազեցնել նաև Կազմակերպության աշխատավարձային ֆոնդը։</w:t>
            </w:r>
          </w:p>
          <w:p w14:paraId="72E481B6"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Նշեմ որ 2026 թվականի հունիսի 10-ից Կազմակերպությունն առաջնորդվում է Կազմակերպության տնօրենի 2026 թվականի հունիսի 10-ի N 31-Ն հրամանով հաստատված նոր հաստիքացուցակով, որով Կազմակերպության կառուցվածքում այլևս նախատեսված չէ Մոնիթորինգի և տեղազննության իրականացման բաժինը, ինչպես նաև առանձին «մոնիթորինգի մասնագետ» հաստիք։</w:t>
            </w:r>
          </w:p>
          <w:p w14:paraId="4351147C"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ՀՀ կառավարության 2025 թվականի դեկտեմբերի 25-ի N 1910-Ն որոշմամբ Կազմակերպության 2026 թվականի «Աշխատավարձ և դրան հավասարեցված վճարումներ» հոդվածով նախատեսված տարեկան գումարը կազմում է 233,208.0 հազ. դրամ։</w:t>
            </w:r>
          </w:p>
          <w:p w14:paraId="188BAC25"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Նախկին հաստիքացուցակով Կազմակերպության ամսական աշխատավարձային ֆոնդը կազմել է 19,434.0 հազ. դրամ, հետևաբար 2026 թվականի առաջին կիսամյակի՝ վեց ամիսների հաշվարկային աշխատավարձային ծախսը կազմել է 116,604.0 հազ. դրամ։ Միաժամանկ հայտնում եմ որ հաստիքների տեղափոխման ժամանակ առաջացել է վերջնահվարկների տրման պարտավրություն, ինչ արդյունքում ՊՈԱԿ ի աշխատավարձի գծով</w:t>
            </w:r>
            <w:r w:rsidRPr="006A5B17">
              <w:rPr>
                <w:rFonts w:ascii="Calibri" w:eastAsia="Times New Roman" w:hAnsi="Calibri" w:cs="Calibri"/>
                <w:sz w:val="24"/>
                <w:szCs w:val="24"/>
                <w:lang w:eastAsia="hy-AM"/>
              </w:rPr>
              <w:t> </w:t>
            </w:r>
            <w:r w:rsidRPr="006A5B17">
              <w:rPr>
                <w:rFonts w:ascii="GHEA Grapalat" w:eastAsia="Times New Roman" w:hAnsi="GHEA Grapalat" w:cs="Arial"/>
                <w:sz w:val="24"/>
                <w:szCs w:val="24"/>
                <w:lang w:eastAsia="hy-AM"/>
              </w:rPr>
              <w:t xml:space="preserve"> 2026 թվականի առաջին կիսամյակում փաստացի կատարված ծախսերը կազմել են 119,317.13 հազ. դրամ։</w:t>
            </w:r>
          </w:p>
          <w:p w14:paraId="4157CBC7"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lastRenderedPageBreak/>
              <w:t>2026 թվականի հունիսի 10-ից գործող նոր հաստիքացուցակի համաձայն՝ Կազմակերպության ամսական աշխատավարձային ֆոնդը կազմում է 16,394.0 հազ. դրամ։</w:t>
            </w:r>
          </w:p>
          <w:p w14:paraId="60315DF1"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Հետևաբար 2026 թվականի հուլիս-դեկտեմբեր ամիսների համար անհրաժեշտ աշխատավարձային ֆինանսավորումը կազմում է՝</w:t>
            </w:r>
          </w:p>
          <w:p w14:paraId="7B96ECBA" w14:textId="77777777" w:rsidR="006A5B17" w:rsidRDefault="006A5B17" w:rsidP="006A5B17">
            <w:pPr>
              <w:tabs>
                <w:tab w:val="left" w:pos="7655"/>
              </w:tabs>
              <w:spacing w:after="0" w:line="240" w:lineRule="auto"/>
              <w:ind w:left="134" w:right="87"/>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հուլիս — 16,394.0 հազ. դրամ,</w:t>
            </w:r>
          </w:p>
          <w:p w14:paraId="694C33A5" w14:textId="77777777" w:rsidR="006A5B17" w:rsidRDefault="006A5B17" w:rsidP="006A5B17">
            <w:pPr>
              <w:tabs>
                <w:tab w:val="left" w:pos="7655"/>
              </w:tabs>
              <w:spacing w:after="0" w:line="240" w:lineRule="auto"/>
              <w:ind w:left="134" w:right="87"/>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օգոստոս — 16,394.0 հազ. դրամ,</w:t>
            </w:r>
          </w:p>
          <w:p w14:paraId="4AC2D314" w14:textId="77777777" w:rsidR="006A5B17" w:rsidRDefault="006A5B17" w:rsidP="006A5B17">
            <w:pPr>
              <w:tabs>
                <w:tab w:val="left" w:pos="7655"/>
              </w:tabs>
              <w:spacing w:after="0" w:line="240" w:lineRule="auto"/>
              <w:ind w:left="134" w:right="87"/>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սեպտեմբեր — 16,394.0 հազ. դրամ,</w:t>
            </w:r>
          </w:p>
          <w:p w14:paraId="47B1E51B" w14:textId="77777777" w:rsidR="006A5B17" w:rsidRDefault="006A5B17" w:rsidP="006A5B17">
            <w:pPr>
              <w:tabs>
                <w:tab w:val="left" w:pos="7655"/>
              </w:tabs>
              <w:spacing w:after="0" w:line="240" w:lineRule="auto"/>
              <w:ind w:left="134" w:right="87"/>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հոկտեմբեր — 16,394.0 հազ. դրամ,</w:t>
            </w:r>
          </w:p>
          <w:p w14:paraId="1FC40D25" w14:textId="77777777" w:rsidR="006A5B17" w:rsidRDefault="006A5B17" w:rsidP="006A5B17">
            <w:pPr>
              <w:tabs>
                <w:tab w:val="left" w:pos="7655"/>
              </w:tabs>
              <w:spacing w:after="0" w:line="240" w:lineRule="auto"/>
              <w:ind w:left="134" w:right="87"/>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նոյեմբեր — 16,394.0 հազ. դրամ,</w:t>
            </w:r>
          </w:p>
          <w:p w14:paraId="60EDDFC8" w14:textId="6C2D452F" w:rsidR="006A5B17" w:rsidRPr="006A5B17" w:rsidRDefault="006A5B17" w:rsidP="006A5B17">
            <w:pPr>
              <w:tabs>
                <w:tab w:val="left" w:pos="7655"/>
              </w:tabs>
              <w:spacing w:after="0" w:line="240" w:lineRule="auto"/>
              <w:ind w:left="134" w:right="87"/>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դեկտեմբեր — 16,394.0 հազ. դրամ։</w:t>
            </w:r>
          </w:p>
          <w:p w14:paraId="20AEF7D1"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Ընդամենը՝</w:t>
            </w:r>
          </w:p>
          <w:p w14:paraId="7365BF93"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16,394.0 × 6 = 98,364.0 հազ. դրամ։</w:t>
            </w:r>
          </w:p>
          <w:p w14:paraId="21736284"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Այսպիսով՝ 2026 թվականի համար Կազմակերպության աշխատավարձի և դրան հավասարեցված վճարումների ընդհանուր անհրաժեշտությունը կազմում է՝</w:t>
            </w:r>
          </w:p>
          <w:p w14:paraId="62971C05"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119,317.13 + 98,364.0 = 217,681.13 հազ. դրամ։</w:t>
            </w:r>
          </w:p>
          <w:p w14:paraId="5A1AE340"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Տարեկան հաստատված 233,208.0 հազ. դրամի նկատմամբ ձևավորվող տնտեսումը կազմում է՝</w:t>
            </w:r>
          </w:p>
          <w:p w14:paraId="548CFC9E"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233,208.0 − 217,681.13 = 15,526.87 հազ. դրամ։</w:t>
            </w:r>
          </w:p>
          <w:p w14:paraId="3FC42898"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Հաշվի առնելով, որ Կազմակերպությունը հանդիսանում է ԱԱՀ վճարող, իսկ նախարարության և Կազմակերպության միջև կնքված ծառայությունների մատուցման պայմանագրով ծառայության արժեքը ձևավորվում է ԱԱՀ-ով, նշված 15,526.87 հազ. դրամի տնտեսմանը համապատասխան ԱԱՀ-ի գումարը կազմում է՝</w:t>
            </w:r>
          </w:p>
          <w:p w14:paraId="635617F9"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15,526.87 × 20% = 3,105.37 հազ. դրամ։</w:t>
            </w:r>
          </w:p>
          <w:p w14:paraId="78E2939B"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lastRenderedPageBreak/>
              <w:t>Հետևաբար ԱԱՀ-ն ներառյալ պետական բյուջե վերադարձման ենթակա ընդհանուր տնտեսումը կազմում է՝</w:t>
            </w:r>
          </w:p>
          <w:p w14:paraId="27458D95"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15,526.87 + 3,105.37 = 18,632.24 հազ. դրամ։</w:t>
            </w:r>
          </w:p>
          <w:p w14:paraId="325552BD"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ՀՀ հարկային օրենսգրքի 60-րդ հոդվածի համաձայն՝ ծառայության մատուցումը հանդիսանում է ԱԱՀ-ով հարկման օբյեկտ, 61-րդ հոդվածով սահմանվում է ծառայության մատուցման դեպքում ԱԱՀ-ով հարկման բազայի ձևավորման կարգը, իսկ 63-րդ հոդվածով ԱԱՀ-ի հարկման բազայի նկատմամբ կիրառվում է 20 տոկոս դրույքաչափ։</w:t>
            </w:r>
          </w:p>
          <w:p w14:paraId="0E53ECB0"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Վերոգրյալից հետևում է, որ Կազմակերպության ֆինանսավորման հնարավոր լրացուցիչ նվազեցումը՝ այն պատճառաբանությամբ, որ N 581-Լ որոշմամբ մոնիթորինգի գործառույթները փոխանցվել են ՏԶՖԿ-ին, չի համապատասխանի Կազմակերպության փաստացի գործառութային և կառուցվածքային փոփոխություններին։</w:t>
            </w:r>
          </w:p>
          <w:p w14:paraId="44ABCF1D" w14:textId="77777777"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Հաշվի առնելով վերոգրյալը՝ Կազմակերպության կողմից ներկայացված 18,632.24 հազ. դրամ տնտեսման չափը ձևավորվել է N 581-Լ որոշման իրականացման արդյունքում փաստացի կատարված կառուցվածքային փոփոխություններից և աշխատավարձային ֆոնդի համապատասխան նվազեցումից և ամբողջությամբ արտացոլում է տվյալ փոփոխության արդյունքում առաջացած ֆինանսական տնտեսումը։</w:t>
            </w:r>
          </w:p>
          <w:p w14:paraId="2B78FA33" w14:textId="3F38FBAA" w:rsidR="006A5B17" w:rsidRPr="006A5B17" w:rsidRDefault="006A5B17" w:rsidP="006A5B17">
            <w:pPr>
              <w:tabs>
                <w:tab w:val="left" w:pos="7655"/>
              </w:tabs>
              <w:spacing w:after="0" w:line="240" w:lineRule="auto"/>
              <w:ind w:left="134" w:right="87" w:firstLine="142"/>
              <w:jc w:val="both"/>
              <w:rPr>
                <w:rFonts w:ascii="GHEA Grapalat" w:eastAsia="Times New Roman" w:hAnsi="GHEA Grapalat" w:cs="Arial"/>
                <w:sz w:val="24"/>
                <w:szCs w:val="24"/>
                <w:lang w:eastAsia="hy-AM"/>
              </w:rPr>
            </w:pPr>
            <w:r w:rsidRPr="006A5B17">
              <w:rPr>
                <w:rFonts w:ascii="GHEA Grapalat" w:eastAsia="Times New Roman" w:hAnsi="GHEA Grapalat" w:cs="Arial"/>
                <w:sz w:val="24"/>
                <w:szCs w:val="24"/>
                <w:lang w:eastAsia="hy-AM"/>
              </w:rPr>
              <w:t xml:space="preserve">Ուստի խնդրում ենք Կազմակերպության ֆինանսավորման վերանայման հարցում հիմք ընդունել փաստացի իրականացված կառուցվածքային փոփոխությունները, 2026 թվականի հունիսի 10-ից գործող նոր հաստիքացուցակը, համապատասխան </w:t>
            </w:r>
            <w:r w:rsidRPr="006A5B17">
              <w:rPr>
                <w:rFonts w:ascii="GHEA Grapalat" w:eastAsia="Times New Roman" w:hAnsi="GHEA Grapalat" w:cs="Arial"/>
                <w:sz w:val="24"/>
                <w:szCs w:val="24"/>
                <w:lang w:eastAsia="hy-AM"/>
              </w:rPr>
              <w:lastRenderedPageBreak/>
              <w:t>աշխատակիցների աշխատանքային պայմանագրերով ամրագրված գործառույթները, ինչպես նաև վերոնշյալ գործող իրավական ակտերով Կազմակերպությանը պահպանված լիազորությունները՝ 18,632.24 հազ. դրամը համարելով N 581-Լ որոշման կատարման արդյունքում ձևավորված և պետական բյուջե վերադարձման ենթակա ամբողջական տնտեսման չափ։</w:t>
            </w:r>
          </w:p>
        </w:tc>
      </w:tr>
      <w:tr w:rsidR="00D31AA5" w:rsidRPr="00D31AA5" w14:paraId="16A08055" w14:textId="77777777" w:rsidTr="00EF1172">
        <w:trPr>
          <w:trHeight w:val="704"/>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14:paraId="738D064D" w14:textId="77777777" w:rsidR="00EF1172" w:rsidRPr="00EF1172" w:rsidRDefault="00EF1172" w:rsidP="001F3BAE">
            <w:pPr>
              <w:pStyle w:val="ListParagraph"/>
              <w:numPr>
                <w:ilvl w:val="0"/>
                <w:numId w:val="19"/>
              </w:numPr>
              <w:tabs>
                <w:tab w:val="left" w:pos="870"/>
              </w:tabs>
              <w:spacing w:after="0" w:line="276" w:lineRule="auto"/>
              <w:ind w:left="240" w:right="165" w:firstLine="327"/>
              <w:jc w:val="both"/>
              <w:rPr>
                <w:rFonts w:ascii="GHEA Grapalat" w:hAnsi="GHEA Grapalat"/>
                <w:bCs/>
                <w:sz w:val="24"/>
                <w:szCs w:val="24"/>
                <w:shd w:val="clear" w:color="auto" w:fill="FFFFFF"/>
              </w:rPr>
            </w:pPr>
            <w:r w:rsidRPr="00EF1172">
              <w:rPr>
                <w:rFonts w:ascii="GHEA Grapalat" w:hAnsi="GHEA Grapalat"/>
                <w:bCs/>
                <w:sz w:val="24"/>
                <w:szCs w:val="24"/>
                <w:shd w:val="clear" w:color="auto" w:fill="FFFFFF"/>
              </w:rPr>
              <w:lastRenderedPageBreak/>
              <w:t xml:space="preserve">1022-12023. ՀՀ Արարատի և Արմավիրի մարզերում գործունեություն իրականացնող արդյունագործական ձկնաբուծական տնտեսություններին աջակցություն միջոցառման (այսուհետ՝ Միջոցառում) համար Նախագծով պահանջվող 150.0 մլն դրամը հիմնավորման համաձայն ներկայացվել </w:t>
            </w:r>
            <w:r w:rsidRPr="00EF1172">
              <w:rPr>
                <w:rFonts w:ascii="GHEA Grapalat" w:hAnsi="GHEA Grapalat"/>
                <w:bCs/>
                <w:i/>
                <w:sz w:val="24"/>
                <w:szCs w:val="24"/>
                <w:shd w:val="clear" w:color="auto" w:fill="FFFFFF"/>
              </w:rPr>
              <w:t>է հայտ ներկայացրած տնտեսավարողների հաշվարկով (</w:t>
            </w:r>
            <w:r w:rsidRPr="00EF1172">
              <w:rPr>
                <w:rFonts w:ascii="GHEA Grapalat" w:hAnsi="GHEA Grapalat" w:cs="Arial"/>
                <w:i/>
                <w:sz w:val="24"/>
                <w:szCs w:val="24"/>
                <w:shd w:val="clear" w:color="auto" w:fill="FFFFFF"/>
              </w:rPr>
              <w:t>շուրջ 25 տնտեսավարող՝ յուրաքանչյուրին 6 մլն դրամ</w:t>
            </w:r>
            <w:r w:rsidRPr="00EF1172">
              <w:rPr>
                <w:rFonts w:ascii="GHEA Grapalat" w:hAnsi="GHEA Grapalat"/>
                <w:bCs/>
                <w:i/>
                <w:sz w:val="24"/>
                <w:szCs w:val="24"/>
                <w:shd w:val="clear" w:color="auto" w:fill="FFFFFF"/>
              </w:rPr>
              <w:t>)</w:t>
            </w:r>
            <w:r w:rsidRPr="00EF1172">
              <w:rPr>
                <w:rFonts w:ascii="GHEA Grapalat" w:hAnsi="GHEA Grapalat"/>
                <w:bCs/>
                <w:sz w:val="24"/>
                <w:szCs w:val="24"/>
                <w:shd w:val="clear" w:color="auto" w:fill="FFFFFF"/>
              </w:rPr>
              <w:t xml:space="preserve">, միաժամանակ ներկայացվել է, որ </w:t>
            </w:r>
            <w:r w:rsidRPr="00EF1172">
              <w:rPr>
                <w:rFonts w:ascii="GHEA Grapalat" w:hAnsi="GHEA Grapalat" w:cs="Arial"/>
                <w:sz w:val="24"/>
                <w:szCs w:val="24"/>
                <w:shd w:val="clear" w:color="auto" w:fill="FFFFFF"/>
              </w:rPr>
              <w:t>ընթացիկ փուլում են գտնվում նոր հայտերի ընդունումը և փաստաթղթերի ուսումնասիրությունները։</w:t>
            </w:r>
            <w:r w:rsidRPr="00EF1172">
              <w:rPr>
                <w:rFonts w:ascii="GHEA Grapalat" w:hAnsi="GHEA Grapalat" w:cs="Arial"/>
                <w:b/>
                <w:bCs/>
                <w:sz w:val="24"/>
                <w:szCs w:val="24"/>
                <w:shd w:val="clear" w:color="auto" w:fill="FFFFFF"/>
              </w:rPr>
              <w:t xml:space="preserve"> </w:t>
            </w:r>
            <w:r w:rsidRPr="00EF1172">
              <w:rPr>
                <w:rFonts w:ascii="GHEA Grapalat" w:hAnsi="GHEA Grapalat"/>
                <w:bCs/>
                <w:sz w:val="24"/>
                <w:szCs w:val="24"/>
                <w:shd w:val="clear" w:color="auto" w:fill="FFFFFF"/>
              </w:rPr>
              <w:t xml:space="preserve">Այնինչ, Միջոցառման շրջանակներում աջակցությունը նախատեսվել է տրամադրել 2026թ. 1-ին կիսամյակի ընթացքում </w:t>
            </w:r>
            <w:r w:rsidRPr="00EF1172">
              <w:rPr>
                <w:rFonts w:ascii="GHEA Grapalat" w:hAnsi="GHEA Grapalat"/>
                <w:bCs/>
                <w:i/>
                <w:sz w:val="24"/>
                <w:szCs w:val="24"/>
                <w:shd w:val="clear" w:color="auto" w:fill="FFFFFF"/>
              </w:rPr>
              <w:t>ձեռք բերված ձկան կերի ընդհանուր քանակի հիման վրա (կիսամյակի կտրվածքով հաշվարկված միջին ամսական քանակի 20 տոկոսի չափով, յուրաքանչյուր փոխհատուցման ենթակա 1 կգ հաշվով 900 դրամի չափով)</w:t>
            </w:r>
            <w:r w:rsidRPr="00EF1172">
              <w:rPr>
                <w:rFonts w:ascii="GHEA Grapalat" w:hAnsi="GHEA Grapalat"/>
                <w:bCs/>
                <w:sz w:val="24"/>
                <w:szCs w:val="24"/>
                <w:shd w:val="clear" w:color="auto" w:fill="FFFFFF"/>
              </w:rPr>
              <w:t>, որի հաշվարկման համար հիմք են հանդիսանում տնտեսավարողի կողմից ձկան կերերի ձեռքբերումը հիմնավորող փաստաթղթերը՝ հաշիվ վավերագիրը կամ հարկային հաշիվը, իսկ ներմուծված ձկան կերի մասով՝ ներմուծման հայտարարագիրը (ՀՀ կառավարության 30.07.2026թ. N 1125-Լ որոշում)։</w:t>
            </w:r>
          </w:p>
          <w:p w14:paraId="68BE26CD" w14:textId="1B83E73B" w:rsidR="00A769D8" w:rsidRPr="001F3BAE" w:rsidRDefault="00EF1172" w:rsidP="001F3BAE">
            <w:pPr>
              <w:pStyle w:val="NormalWeb"/>
              <w:shd w:val="clear" w:color="auto" w:fill="FFFFFF"/>
              <w:tabs>
                <w:tab w:val="left" w:pos="567"/>
              </w:tabs>
              <w:spacing w:before="0" w:beforeAutospacing="0" w:after="0" w:afterAutospacing="0" w:line="276" w:lineRule="auto"/>
              <w:ind w:left="240" w:right="165" w:firstLine="327"/>
              <w:jc w:val="both"/>
              <w:rPr>
                <w:rFonts w:ascii="GHEA Grapalat" w:eastAsiaTheme="minorHAnsi" w:hAnsi="GHEA Grapalat" w:cstheme="minorBidi"/>
                <w:bCs/>
                <w:shd w:val="clear" w:color="auto" w:fill="FFFFFF"/>
              </w:rPr>
            </w:pPr>
            <w:r w:rsidRPr="008F19F6">
              <w:rPr>
                <w:rFonts w:ascii="GHEA Grapalat" w:eastAsiaTheme="minorHAnsi" w:hAnsi="GHEA Grapalat" w:cstheme="minorBidi"/>
                <w:bCs/>
                <w:shd w:val="clear" w:color="auto" w:fill="FFFFFF"/>
              </w:rPr>
              <w:t>Ելնելով վերոգրյալից և հաշվի առնելով</w:t>
            </w:r>
            <w:r>
              <w:rPr>
                <w:rFonts w:ascii="GHEA Grapalat" w:eastAsiaTheme="minorHAnsi" w:hAnsi="GHEA Grapalat" w:cstheme="minorBidi"/>
                <w:bCs/>
                <w:shd w:val="clear" w:color="auto" w:fill="FFFFFF"/>
              </w:rPr>
              <w:t>, որ</w:t>
            </w:r>
            <w:r w:rsidRPr="008F19F6">
              <w:rPr>
                <w:rFonts w:ascii="GHEA Grapalat" w:eastAsiaTheme="minorHAnsi" w:hAnsi="GHEA Grapalat" w:cstheme="minorBidi"/>
                <w:bCs/>
                <w:shd w:val="clear" w:color="auto" w:fill="FFFFFF"/>
              </w:rPr>
              <w:t xml:space="preserve"> Միջոցառման համաձայն շահառուներն աջակցություն ստանալու նպատակով դիմումները ներկայացնում են մինչև 2026թ. սեպտեմբերի 1-ը ներառյալ (այսինքն՝ դիմումների ներկայացման ժամկետն արդեն իսկ սպառվել է), առաջարկում ենք Միջոցառման համար պահանջվող ֆինանսական միջոցների չափը </w:t>
            </w:r>
            <w:r w:rsidRPr="008F19F6">
              <w:rPr>
                <w:rFonts w:ascii="GHEA Grapalat" w:eastAsiaTheme="minorHAnsi" w:hAnsi="GHEA Grapalat" w:cstheme="minorBidi"/>
                <w:bCs/>
                <w:shd w:val="clear" w:color="auto" w:fill="FFFFFF"/>
              </w:rPr>
              <w:lastRenderedPageBreak/>
              <w:t xml:space="preserve">ներկայացնել արդեն իսկ փաստացի ձևավորված պարտավորությունների և Միջոցառմամբ սահմանված հաշվարկման մեխանիզմի հիման վրա:  </w:t>
            </w:r>
          </w:p>
        </w:tc>
        <w:tc>
          <w:tcPr>
            <w:tcW w:w="35" w:type="dxa"/>
            <w:tcBorders>
              <w:top w:val="outset" w:sz="6" w:space="0" w:color="auto"/>
              <w:left w:val="outset" w:sz="6" w:space="0" w:color="auto"/>
              <w:bottom w:val="outset" w:sz="6" w:space="0" w:color="auto"/>
              <w:right w:val="nil"/>
            </w:tcBorders>
            <w:shd w:val="clear" w:color="auto" w:fill="FFFFFF"/>
          </w:tcPr>
          <w:p w14:paraId="61E363FB" w14:textId="77777777" w:rsidR="00A769D8" w:rsidRPr="00D31AA5" w:rsidRDefault="00A769D8"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3656D86B" w14:textId="77777777" w:rsidR="0018175B" w:rsidRDefault="00202CB8" w:rsidP="00202CB8">
            <w:pPr>
              <w:tabs>
                <w:tab w:val="left" w:pos="7655"/>
              </w:tabs>
              <w:spacing w:after="0" w:line="240" w:lineRule="auto"/>
              <w:ind w:left="146" w:right="87" w:firstLine="421"/>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Ընդունվել է</w:t>
            </w:r>
            <w:r w:rsidR="006A5B17">
              <w:rPr>
                <w:rFonts w:ascii="GHEA Grapalat" w:eastAsia="Times New Roman" w:hAnsi="GHEA Grapalat" w:cs="Arial"/>
                <w:sz w:val="24"/>
                <w:szCs w:val="24"/>
                <w:lang w:eastAsia="hy-AM"/>
              </w:rPr>
              <w:t xml:space="preserve"> ի գիտություն</w:t>
            </w:r>
            <w:r>
              <w:rPr>
                <w:rFonts w:ascii="GHEA Grapalat" w:eastAsia="Times New Roman" w:hAnsi="GHEA Grapalat" w:cs="Arial"/>
                <w:sz w:val="24"/>
                <w:szCs w:val="24"/>
                <w:lang w:eastAsia="hy-AM"/>
              </w:rPr>
              <w:t xml:space="preserve">: </w:t>
            </w:r>
          </w:p>
          <w:p w14:paraId="26FE4610" w14:textId="73D2502A" w:rsidR="00202CB8" w:rsidRDefault="00202CB8" w:rsidP="00202CB8">
            <w:pPr>
              <w:tabs>
                <w:tab w:val="left" w:pos="7655"/>
              </w:tabs>
              <w:spacing w:after="0" w:line="240" w:lineRule="auto"/>
              <w:ind w:left="146" w:right="87" w:firstLine="421"/>
              <w:jc w:val="both"/>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Նախագծին կցվել են  հիմքերը: Տ</w:t>
            </w:r>
            <w:r w:rsidRPr="00202CB8">
              <w:rPr>
                <w:rFonts w:ascii="GHEA Grapalat" w:eastAsia="Times New Roman" w:hAnsi="GHEA Grapalat" w:cs="Arial"/>
                <w:sz w:val="24"/>
                <w:szCs w:val="24"/>
                <w:lang w:eastAsia="hy-AM"/>
              </w:rPr>
              <w:t xml:space="preserve">եղեկացվում է, որ 2026 թվականի հուլիսի 30-ի  ՀՀ կառավարության N 1125-Լ որոշմամբ նախատեսված՝ ՀՀ Արարատի և Արմավիրի մարզերում գործունեություն իրականացնող արդյունագործական ձկնաբուծական տնտեսություններին աջակցություն տրամադրելու նպատակով, մինչև 2026 թվականի սեպտեմբերի 1-ը ներառյալ ներկայացվել է 60 դիմում-հայտեր։ Թեև </w:t>
            </w:r>
            <w:r w:rsidR="00A1683D" w:rsidRPr="00A1683D">
              <w:rPr>
                <w:rFonts w:ascii="GHEA Grapalat" w:eastAsia="Times New Roman" w:hAnsi="GHEA Grapalat" w:cs="Arial"/>
                <w:sz w:val="24"/>
                <w:szCs w:val="24"/>
                <w:lang w:eastAsia="hy-AM"/>
              </w:rPr>
              <w:t xml:space="preserve">ՀՀ կառավարության N 1125-Լ որոշմամբ </w:t>
            </w:r>
            <w:r w:rsidRPr="00202CB8">
              <w:rPr>
                <w:rFonts w:ascii="GHEA Grapalat" w:eastAsia="Times New Roman" w:hAnsi="GHEA Grapalat" w:cs="Arial"/>
                <w:sz w:val="24"/>
                <w:szCs w:val="24"/>
                <w:lang w:eastAsia="hy-AM"/>
              </w:rPr>
              <w:t xml:space="preserve">նախատեսված է 450 մլն ՀՀ դրամ, այնուամենայնիվ վերաբաշխման արդյունքում նախապես անհրաժեշտ է 150 մլն ՀՀ դրամ։ </w:t>
            </w:r>
          </w:p>
          <w:p w14:paraId="3D853019" w14:textId="77777777" w:rsidR="006A5B17" w:rsidRDefault="00202CB8" w:rsidP="00202CB8">
            <w:pPr>
              <w:tabs>
                <w:tab w:val="left" w:pos="7655"/>
              </w:tabs>
              <w:spacing w:after="0" w:line="240" w:lineRule="auto"/>
              <w:ind w:left="146" w:right="87" w:firstLine="421"/>
              <w:jc w:val="both"/>
              <w:rPr>
                <w:rFonts w:ascii="GHEA Grapalat" w:eastAsia="Times New Roman" w:hAnsi="GHEA Grapalat" w:cs="Arial"/>
                <w:sz w:val="24"/>
                <w:szCs w:val="24"/>
                <w:lang w:eastAsia="hy-AM"/>
              </w:rPr>
            </w:pPr>
            <w:r w:rsidRPr="00202CB8">
              <w:rPr>
                <w:rFonts w:ascii="GHEA Grapalat" w:eastAsia="Times New Roman" w:hAnsi="GHEA Grapalat" w:cs="Arial"/>
                <w:sz w:val="24"/>
                <w:szCs w:val="24"/>
                <w:lang w:eastAsia="hy-AM"/>
              </w:rPr>
              <w:t>Առանց թերությունների ներկայացված փաստաթղթերի հաշվարկման արդյունքում այս պահին անհրաժեշտ է  199</w:t>
            </w:r>
            <w:r>
              <w:rPr>
                <w:rFonts w:ascii="GHEA Grapalat" w:eastAsia="Times New Roman" w:hAnsi="GHEA Grapalat" w:cs="Arial"/>
                <w:sz w:val="24"/>
                <w:szCs w:val="24"/>
                <w:lang w:eastAsia="hy-AM"/>
              </w:rPr>
              <w:t xml:space="preserve">.1 մլն </w:t>
            </w:r>
            <w:r w:rsidRPr="00202CB8">
              <w:rPr>
                <w:rFonts w:ascii="GHEA Grapalat" w:eastAsia="Times New Roman" w:hAnsi="GHEA Grapalat" w:cs="Arial"/>
                <w:sz w:val="24"/>
                <w:szCs w:val="24"/>
                <w:lang w:eastAsia="hy-AM"/>
              </w:rPr>
              <w:t xml:space="preserve">դրամ։ Որոշ շահառուների կողմից ներկայացված փաստաթղթերում առկա են թերություններ, որոնց լրամշակումից հետո հաշվարկման արդյունքում կպարզվի ամբողջական գումարը։ </w:t>
            </w:r>
            <w:r>
              <w:rPr>
                <w:rFonts w:ascii="GHEA Grapalat" w:eastAsia="Times New Roman" w:hAnsi="GHEA Grapalat" w:cs="Arial"/>
                <w:sz w:val="24"/>
                <w:szCs w:val="24"/>
                <w:lang w:eastAsia="hy-AM"/>
              </w:rPr>
              <w:t>Ներկայացված նախագծով առաջարկվում է միջոցառմանը հատկացնել 150.0 մլն դրամ:</w:t>
            </w:r>
          </w:p>
          <w:p w14:paraId="2B0269E7" w14:textId="58E3FD9C" w:rsidR="00202CB8" w:rsidRPr="00202CB8" w:rsidRDefault="00202CB8" w:rsidP="00202CB8">
            <w:pPr>
              <w:tabs>
                <w:tab w:val="left" w:pos="7655"/>
              </w:tabs>
              <w:spacing w:after="0" w:line="240" w:lineRule="auto"/>
              <w:ind w:left="146" w:right="87" w:firstLine="421"/>
              <w:jc w:val="both"/>
              <w:rPr>
                <w:rFonts w:ascii="GHEA Grapalat" w:eastAsia="Times New Roman" w:hAnsi="GHEA Grapalat" w:cs="Arial"/>
                <w:sz w:val="24"/>
                <w:szCs w:val="24"/>
                <w:lang w:eastAsia="hy-AM"/>
              </w:rPr>
            </w:pPr>
            <w:r w:rsidRPr="00202CB8">
              <w:rPr>
                <w:rFonts w:ascii="GHEA Grapalat" w:eastAsia="Times New Roman" w:hAnsi="GHEA Grapalat" w:cs="Arial"/>
                <w:sz w:val="24"/>
                <w:szCs w:val="24"/>
                <w:lang w:eastAsia="hy-AM"/>
              </w:rPr>
              <w:tab/>
            </w:r>
          </w:p>
          <w:p w14:paraId="6B7F8865" w14:textId="77777777" w:rsidR="00A769D8" w:rsidRPr="00D31AA5" w:rsidRDefault="00A769D8" w:rsidP="00477724">
            <w:pPr>
              <w:tabs>
                <w:tab w:val="left" w:pos="7655"/>
              </w:tabs>
              <w:spacing w:after="0" w:line="360" w:lineRule="auto"/>
              <w:ind w:left="567"/>
              <w:jc w:val="center"/>
              <w:rPr>
                <w:rFonts w:ascii="GHEA Grapalat" w:eastAsia="Times New Roman" w:hAnsi="GHEA Grapalat" w:cs="Arial"/>
                <w:sz w:val="24"/>
                <w:szCs w:val="24"/>
                <w:lang w:eastAsia="hy-AM"/>
              </w:rPr>
            </w:pPr>
          </w:p>
        </w:tc>
      </w:tr>
      <w:tr w:rsidR="00477724" w:rsidRPr="00D31AA5" w14:paraId="5869D81B" w14:textId="77777777" w:rsidTr="00EF1172">
        <w:trPr>
          <w:trHeight w:val="704"/>
          <w:tblCellSpacing w:w="0" w:type="dxa"/>
          <w:jc w:val="center"/>
        </w:trPr>
        <w:tc>
          <w:tcPr>
            <w:tcW w:w="9172" w:type="dxa"/>
            <w:tcBorders>
              <w:top w:val="outset" w:sz="6" w:space="0" w:color="auto"/>
              <w:left w:val="outset" w:sz="6" w:space="0" w:color="auto"/>
              <w:bottom w:val="outset" w:sz="6" w:space="0" w:color="auto"/>
              <w:right w:val="outset" w:sz="6" w:space="0" w:color="auto"/>
            </w:tcBorders>
            <w:shd w:val="clear" w:color="auto" w:fill="FFFFFF"/>
          </w:tcPr>
          <w:p w14:paraId="2667F740" w14:textId="77777777" w:rsidR="00477724" w:rsidRPr="00477724" w:rsidRDefault="00EF1172" w:rsidP="001F3BAE">
            <w:pPr>
              <w:pStyle w:val="ListParagraph"/>
              <w:tabs>
                <w:tab w:val="left" w:pos="960"/>
              </w:tabs>
              <w:spacing w:after="0" w:line="276" w:lineRule="auto"/>
              <w:ind w:left="240" w:right="93"/>
              <w:jc w:val="both"/>
              <w:rPr>
                <w:rFonts w:ascii="GHEA Grapalat" w:hAnsi="GHEA Grapalat" w:cs="Cambria Math"/>
                <w:sz w:val="24"/>
                <w:szCs w:val="24"/>
                <w:shd w:val="clear" w:color="auto" w:fill="FFFFFF"/>
              </w:rPr>
            </w:pPr>
            <w:r w:rsidRPr="007F1CF4">
              <w:rPr>
                <w:rFonts w:ascii="GHEA Grapalat" w:hAnsi="GHEA Grapalat"/>
                <w:sz w:val="24"/>
                <w:szCs w:val="24"/>
              </w:rPr>
              <w:t xml:space="preserve">Միաժամանակ խմբագրական </w:t>
            </w:r>
            <w:r w:rsidRPr="008F19F6">
              <w:rPr>
                <w:rFonts w:ascii="GHEA Grapalat" w:hAnsi="GHEA Grapalat"/>
                <w:sz w:val="24"/>
                <w:szCs w:val="24"/>
              </w:rPr>
              <w:t xml:space="preserve">առումով առաջարկում ենք </w:t>
            </w:r>
            <w:r w:rsidRPr="007F1CF4">
              <w:rPr>
                <w:rFonts w:ascii="GHEA Grapalat" w:hAnsi="GHEA Grapalat"/>
                <w:sz w:val="24"/>
                <w:szCs w:val="24"/>
              </w:rPr>
              <w:t xml:space="preserve">Նախագծի </w:t>
            </w:r>
            <w:r w:rsidRPr="007F1CF4">
              <w:rPr>
                <w:rFonts w:ascii="GHEA Grapalat" w:hAnsi="GHEA Grapalat"/>
                <w:sz w:val="24"/>
                <w:szCs w:val="24"/>
                <w:lang w:val="es-ES"/>
              </w:rPr>
              <w:t>NN 5 և 6 հավելվածներում 1187-12019 Տնամերձ հողամասերում այգեհիմնման և ոռոգման արդիական համակարգերի ներդրման աջակցություն միջոցառումից հանել Ծրագրին մասնակից շահառուների քանակ և Տնամերձ հողամասերում այգեհիմնման և ոռոգման արդիական</w:t>
            </w:r>
            <w:r>
              <w:rPr>
                <w:rFonts w:ascii="GHEA Grapalat" w:hAnsi="GHEA Grapalat"/>
                <w:sz w:val="24"/>
                <w:szCs w:val="24"/>
              </w:rPr>
              <w:t xml:space="preserve"> </w:t>
            </w:r>
            <w:r w:rsidRPr="007F1CF4">
              <w:rPr>
                <w:rFonts w:ascii="GHEA Grapalat" w:hAnsi="GHEA Grapalat"/>
                <w:sz w:val="24"/>
                <w:szCs w:val="24"/>
                <w:lang w:val="es-ES"/>
              </w:rPr>
              <w:t>համակարգերի ներդրում, հեկտար արդյունքային ցուցանիշների դատարկ տողերը:</w:t>
            </w:r>
          </w:p>
        </w:tc>
        <w:tc>
          <w:tcPr>
            <w:tcW w:w="35" w:type="dxa"/>
            <w:tcBorders>
              <w:top w:val="outset" w:sz="6" w:space="0" w:color="auto"/>
              <w:left w:val="outset" w:sz="6" w:space="0" w:color="auto"/>
              <w:bottom w:val="outset" w:sz="6" w:space="0" w:color="auto"/>
              <w:right w:val="nil"/>
            </w:tcBorders>
            <w:shd w:val="clear" w:color="auto" w:fill="FFFFFF"/>
          </w:tcPr>
          <w:p w14:paraId="7D8518D4" w14:textId="77777777" w:rsidR="00477724" w:rsidRPr="00D31AA5" w:rsidRDefault="00477724" w:rsidP="001A1877">
            <w:pPr>
              <w:tabs>
                <w:tab w:val="left" w:pos="7655"/>
              </w:tabs>
              <w:spacing w:after="0" w:line="360" w:lineRule="auto"/>
              <w:ind w:left="567"/>
              <w:rPr>
                <w:rFonts w:ascii="GHEA Grapalat" w:eastAsia="Times New Roman" w:hAnsi="GHEA Grapalat" w:cs="Arial"/>
                <w:sz w:val="24"/>
                <w:szCs w:val="24"/>
                <w:lang w:eastAsia="hy-AM"/>
              </w:rPr>
            </w:pPr>
          </w:p>
        </w:tc>
        <w:tc>
          <w:tcPr>
            <w:tcW w:w="6201" w:type="dxa"/>
            <w:tcBorders>
              <w:top w:val="outset" w:sz="6" w:space="0" w:color="auto"/>
              <w:left w:val="nil"/>
              <w:bottom w:val="outset" w:sz="6" w:space="0" w:color="auto"/>
              <w:right w:val="outset" w:sz="6" w:space="0" w:color="auto"/>
            </w:tcBorders>
            <w:shd w:val="clear" w:color="auto" w:fill="FFFFFF"/>
          </w:tcPr>
          <w:p w14:paraId="76168143" w14:textId="556C6131" w:rsidR="00477724" w:rsidRPr="00D31AA5" w:rsidRDefault="001F3BAE" w:rsidP="00202CB8">
            <w:pPr>
              <w:tabs>
                <w:tab w:val="left" w:pos="7655"/>
              </w:tabs>
              <w:spacing w:after="0" w:line="360" w:lineRule="auto"/>
              <w:ind w:left="567"/>
              <w:rPr>
                <w:rFonts w:ascii="GHEA Grapalat" w:eastAsia="Times New Roman" w:hAnsi="GHEA Grapalat" w:cs="Arial"/>
                <w:sz w:val="24"/>
                <w:szCs w:val="24"/>
                <w:lang w:eastAsia="hy-AM"/>
              </w:rPr>
            </w:pPr>
            <w:r>
              <w:rPr>
                <w:rFonts w:ascii="GHEA Grapalat" w:eastAsia="Times New Roman" w:hAnsi="GHEA Grapalat" w:cs="Arial"/>
                <w:sz w:val="24"/>
                <w:szCs w:val="24"/>
                <w:lang w:eastAsia="hy-AM"/>
              </w:rPr>
              <w:t>Ընդունվել է: Նախագիծը խմբագրվել է:</w:t>
            </w:r>
          </w:p>
        </w:tc>
      </w:tr>
    </w:tbl>
    <w:p w14:paraId="6F946BE2" w14:textId="77777777" w:rsidR="000E771F" w:rsidRPr="00D31AA5" w:rsidRDefault="000E771F" w:rsidP="001A1877">
      <w:pPr>
        <w:tabs>
          <w:tab w:val="left" w:pos="7655"/>
        </w:tabs>
        <w:spacing w:after="0" w:line="360" w:lineRule="auto"/>
        <w:ind w:left="567"/>
        <w:rPr>
          <w:rFonts w:ascii="GHEA Grapalat" w:hAnsi="GHEA Grapalat"/>
          <w:sz w:val="24"/>
          <w:szCs w:val="24"/>
        </w:rPr>
      </w:pPr>
    </w:p>
    <w:sectPr w:rsidR="000E771F" w:rsidRPr="00D31AA5" w:rsidSect="004D60EF">
      <w:pgSz w:w="16838" w:h="11906" w:orient="landscape" w:code="9"/>
      <w:pgMar w:top="568" w:right="395"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7B78"/>
    <w:multiLevelType w:val="hybridMultilevel"/>
    <w:tmpl w:val="02CE1A0E"/>
    <w:lvl w:ilvl="0" w:tplc="329E5AA0">
      <w:start w:val="2"/>
      <w:numFmt w:val="decimal"/>
      <w:lvlText w:val="%1."/>
      <w:lvlJc w:val="left"/>
      <w:pPr>
        <w:ind w:left="1064" w:hanging="360"/>
      </w:pPr>
      <w:rPr>
        <w:rFonts w:cs="Cambria Math" w:hint="default"/>
        <w:color w:val="auto"/>
      </w:rPr>
    </w:lvl>
    <w:lvl w:ilvl="1" w:tplc="042B0019" w:tentative="1">
      <w:start w:val="1"/>
      <w:numFmt w:val="lowerLetter"/>
      <w:lvlText w:val="%2."/>
      <w:lvlJc w:val="left"/>
      <w:pPr>
        <w:ind w:left="1784" w:hanging="360"/>
      </w:pPr>
    </w:lvl>
    <w:lvl w:ilvl="2" w:tplc="042B001B" w:tentative="1">
      <w:start w:val="1"/>
      <w:numFmt w:val="lowerRoman"/>
      <w:lvlText w:val="%3."/>
      <w:lvlJc w:val="right"/>
      <w:pPr>
        <w:ind w:left="2504" w:hanging="180"/>
      </w:pPr>
    </w:lvl>
    <w:lvl w:ilvl="3" w:tplc="042B000F" w:tentative="1">
      <w:start w:val="1"/>
      <w:numFmt w:val="decimal"/>
      <w:lvlText w:val="%4."/>
      <w:lvlJc w:val="left"/>
      <w:pPr>
        <w:ind w:left="3224" w:hanging="360"/>
      </w:pPr>
    </w:lvl>
    <w:lvl w:ilvl="4" w:tplc="042B0019" w:tentative="1">
      <w:start w:val="1"/>
      <w:numFmt w:val="lowerLetter"/>
      <w:lvlText w:val="%5."/>
      <w:lvlJc w:val="left"/>
      <w:pPr>
        <w:ind w:left="3944" w:hanging="360"/>
      </w:pPr>
    </w:lvl>
    <w:lvl w:ilvl="5" w:tplc="042B001B" w:tentative="1">
      <w:start w:val="1"/>
      <w:numFmt w:val="lowerRoman"/>
      <w:lvlText w:val="%6."/>
      <w:lvlJc w:val="right"/>
      <w:pPr>
        <w:ind w:left="4664" w:hanging="180"/>
      </w:pPr>
    </w:lvl>
    <w:lvl w:ilvl="6" w:tplc="042B000F" w:tentative="1">
      <w:start w:val="1"/>
      <w:numFmt w:val="decimal"/>
      <w:lvlText w:val="%7."/>
      <w:lvlJc w:val="left"/>
      <w:pPr>
        <w:ind w:left="5384" w:hanging="360"/>
      </w:pPr>
    </w:lvl>
    <w:lvl w:ilvl="7" w:tplc="042B0019" w:tentative="1">
      <w:start w:val="1"/>
      <w:numFmt w:val="lowerLetter"/>
      <w:lvlText w:val="%8."/>
      <w:lvlJc w:val="left"/>
      <w:pPr>
        <w:ind w:left="6104" w:hanging="360"/>
      </w:pPr>
    </w:lvl>
    <w:lvl w:ilvl="8" w:tplc="042B001B" w:tentative="1">
      <w:start w:val="1"/>
      <w:numFmt w:val="lowerRoman"/>
      <w:lvlText w:val="%9."/>
      <w:lvlJc w:val="right"/>
      <w:pPr>
        <w:ind w:left="6824" w:hanging="180"/>
      </w:pPr>
    </w:lvl>
  </w:abstractNum>
  <w:abstractNum w:abstractNumId="1" w15:restartNumberingAfterBreak="0">
    <w:nsid w:val="043D5A8F"/>
    <w:multiLevelType w:val="hybridMultilevel"/>
    <w:tmpl w:val="592C5D8A"/>
    <w:lvl w:ilvl="0" w:tplc="FDAC5E12">
      <w:start w:val="1"/>
      <w:numFmt w:val="decimal"/>
      <w:lvlText w:val="%1."/>
      <w:lvlJc w:val="left"/>
      <w:pPr>
        <w:ind w:left="1323" w:hanging="360"/>
      </w:pPr>
      <w:rPr>
        <w:rFonts w:hint="default"/>
      </w:rPr>
    </w:lvl>
    <w:lvl w:ilvl="1" w:tplc="042B0019" w:tentative="1">
      <w:start w:val="1"/>
      <w:numFmt w:val="lowerLetter"/>
      <w:lvlText w:val="%2."/>
      <w:lvlJc w:val="left"/>
      <w:pPr>
        <w:ind w:left="2043" w:hanging="360"/>
      </w:pPr>
    </w:lvl>
    <w:lvl w:ilvl="2" w:tplc="042B001B" w:tentative="1">
      <w:start w:val="1"/>
      <w:numFmt w:val="lowerRoman"/>
      <w:lvlText w:val="%3."/>
      <w:lvlJc w:val="right"/>
      <w:pPr>
        <w:ind w:left="2763" w:hanging="180"/>
      </w:pPr>
    </w:lvl>
    <w:lvl w:ilvl="3" w:tplc="042B000F" w:tentative="1">
      <w:start w:val="1"/>
      <w:numFmt w:val="decimal"/>
      <w:lvlText w:val="%4."/>
      <w:lvlJc w:val="left"/>
      <w:pPr>
        <w:ind w:left="3483" w:hanging="360"/>
      </w:pPr>
    </w:lvl>
    <w:lvl w:ilvl="4" w:tplc="042B0019" w:tentative="1">
      <w:start w:val="1"/>
      <w:numFmt w:val="lowerLetter"/>
      <w:lvlText w:val="%5."/>
      <w:lvlJc w:val="left"/>
      <w:pPr>
        <w:ind w:left="4203" w:hanging="360"/>
      </w:pPr>
    </w:lvl>
    <w:lvl w:ilvl="5" w:tplc="042B001B" w:tentative="1">
      <w:start w:val="1"/>
      <w:numFmt w:val="lowerRoman"/>
      <w:lvlText w:val="%6."/>
      <w:lvlJc w:val="right"/>
      <w:pPr>
        <w:ind w:left="4923" w:hanging="180"/>
      </w:pPr>
    </w:lvl>
    <w:lvl w:ilvl="6" w:tplc="042B000F" w:tentative="1">
      <w:start w:val="1"/>
      <w:numFmt w:val="decimal"/>
      <w:lvlText w:val="%7."/>
      <w:lvlJc w:val="left"/>
      <w:pPr>
        <w:ind w:left="5643" w:hanging="360"/>
      </w:pPr>
    </w:lvl>
    <w:lvl w:ilvl="7" w:tplc="042B0019" w:tentative="1">
      <w:start w:val="1"/>
      <w:numFmt w:val="lowerLetter"/>
      <w:lvlText w:val="%8."/>
      <w:lvlJc w:val="left"/>
      <w:pPr>
        <w:ind w:left="6363" w:hanging="360"/>
      </w:pPr>
    </w:lvl>
    <w:lvl w:ilvl="8" w:tplc="042B001B" w:tentative="1">
      <w:start w:val="1"/>
      <w:numFmt w:val="lowerRoman"/>
      <w:lvlText w:val="%9."/>
      <w:lvlJc w:val="right"/>
      <w:pPr>
        <w:ind w:left="7083" w:hanging="180"/>
      </w:pPr>
    </w:lvl>
  </w:abstractNum>
  <w:abstractNum w:abstractNumId="2" w15:restartNumberingAfterBreak="0">
    <w:nsid w:val="12DC24BE"/>
    <w:multiLevelType w:val="hybridMultilevel"/>
    <w:tmpl w:val="3E781272"/>
    <w:lvl w:ilvl="0" w:tplc="04C20A54">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2E3387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4" w15:restartNumberingAfterBreak="0">
    <w:nsid w:val="1FF06CF6"/>
    <w:multiLevelType w:val="multilevel"/>
    <w:tmpl w:val="D63A2F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A3208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6" w15:restartNumberingAfterBreak="0">
    <w:nsid w:val="28B558F5"/>
    <w:multiLevelType w:val="multilevel"/>
    <w:tmpl w:val="0A5E0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985A7D"/>
    <w:multiLevelType w:val="hybridMultilevel"/>
    <w:tmpl w:val="3DF6939E"/>
    <w:lvl w:ilvl="0" w:tplc="391A00AC">
      <w:start w:val="1"/>
      <w:numFmt w:val="decimal"/>
      <w:lvlText w:val="%1."/>
      <w:lvlJc w:val="left"/>
      <w:pPr>
        <w:ind w:left="2031" w:hanging="360"/>
      </w:pPr>
      <w:rPr>
        <w:rFonts w:hint="default"/>
      </w:rPr>
    </w:lvl>
    <w:lvl w:ilvl="1" w:tplc="042B0019" w:tentative="1">
      <w:start w:val="1"/>
      <w:numFmt w:val="lowerLetter"/>
      <w:lvlText w:val="%2."/>
      <w:lvlJc w:val="left"/>
      <w:pPr>
        <w:ind w:left="2751" w:hanging="360"/>
      </w:pPr>
    </w:lvl>
    <w:lvl w:ilvl="2" w:tplc="042B001B" w:tentative="1">
      <w:start w:val="1"/>
      <w:numFmt w:val="lowerRoman"/>
      <w:lvlText w:val="%3."/>
      <w:lvlJc w:val="right"/>
      <w:pPr>
        <w:ind w:left="3471" w:hanging="180"/>
      </w:pPr>
    </w:lvl>
    <w:lvl w:ilvl="3" w:tplc="042B000F" w:tentative="1">
      <w:start w:val="1"/>
      <w:numFmt w:val="decimal"/>
      <w:lvlText w:val="%4."/>
      <w:lvlJc w:val="left"/>
      <w:pPr>
        <w:ind w:left="4191" w:hanging="360"/>
      </w:pPr>
    </w:lvl>
    <w:lvl w:ilvl="4" w:tplc="042B0019" w:tentative="1">
      <w:start w:val="1"/>
      <w:numFmt w:val="lowerLetter"/>
      <w:lvlText w:val="%5."/>
      <w:lvlJc w:val="left"/>
      <w:pPr>
        <w:ind w:left="4911" w:hanging="360"/>
      </w:pPr>
    </w:lvl>
    <w:lvl w:ilvl="5" w:tplc="042B001B" w:tentative="1">
      <w:start w:val="1"/>
      <w:numFmt w:val="lowerRoman"/>
      <w:lvlText w:val="%6."/>
      <w:lvlJc w:val="right"/>
      <w:pPr>
        <w:ind w:left="5631" w:hanging="180"/>
      </w:pPr>
    </w:lvl>
    <w:lvl w:ilvl="6" w:tplc="042B000F" w:tentative="1">
      <w:start w:val="1"/>
      <w:numFmt w:val="decimal"/>
      <w:lvlText w:val="%7."/>
      <w:lvlJc w:val="left"/>
      <w:pPr>
        <w:ind w:left="6351" w:hanging="360"/>
      </w:pPr>
    </w:lvl>
    <w:lvl w:ilvl="7" w:tplc="042B0019" w:tentative="1">
      <w:start w:val="1"/>
      <w:numFmt w:val="lowerLetter"/>
      <w:lvlText w:val="%8."/>
      <w:lvlJc w:val="left"/>
      <w:pPr>
        <w:ind w:left="7071" w:hanging="360"/>
      </w:pPr>
    </w:lvl>
    <w:lvl w:ilvl="8" w:tplc="042B001B" w:tentative="1">
      <w:start w:val="1"/>
      <w:numFmt w:val="lowerRoman"/>
      <w:lvlText w:val="%9."/>
      <w:lvlJc w:val="right"/>
      <w:pPr>
        <w:ind w:left="7791" w:hanging="180"/>
      </w:pPr>
    </w:lvl>
  </w:abstractNum>
  <w:abstractNum w:abstractNumId="8" w15:restartNumberingAfterBreak="0">
    <w:nsid w:val="2D6A0477"/>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9" w15:restartNumberingAfterBreak="0">
    <w:nsid w:val="301B2EDE"/>
    <w:multiLevelType w:val="hybridMultilevel"/>
    <w:tmpl w:val="C81EDE9A"/>
    <w:lvl w:ilvl="0" w:tplc="391A00AC">
      <w:start w:val="1"/>
      <w:numFmt w:val="decimal"/>
      <w:lvlText w:val="%1."/>
      <w:lvlJc w:val="left"/>
      <w:pPr>
        <w:ind w:left="2994" w:hanging="360"/>
      </w:pPr>
      <w:rPr>
        <w:rFonts w:hint="default"/>
      </w:rPr>
    </w:lvl>
    <w:lvl w:ilvl="1" w:tplc="042B000F">
      <w:start w:val="1"/>
      <w:numFmt w:val="decimal"/>
      <w:lvlText w:val="%2."/>
      <w:lvlJc w:val="left"/>
      <w:pPr>
        <w:ind w:left="2403" w:hanging="360"/>
      </w:pPr>
    </w:lvl>
    <w:lvl w:ilvl="2" w:tplc="042B001B" w:tentative="1">
      <w:start w:val="1"/>
      <w:numFmt w:val="lowerRoman"/>
      <w:lvlText w:val="%3."/>
      <w:lvlJc w:val="right"/>
      <w:pPr>
        <w:ind w:left="3123" w:hanging="180"/>
      </w:pPr>
    </w:lvl>
    <w:lvl w:ilvl="3" w:tplc="042B000F" w:tentative="1">
      <w:start w:val="1"/>
      <w:numFmt w:val="decimal"/>
      <w:lvlText w:val="%4."/>
      <w:lvlJc w:val="left"/>
      <w:pPr>
        <w:ind w:left="3843" w:hanging="360"/>
      </w:pPr>
    </w:lvl>
    <w:lvl w:ilvl="4" w:tplc="042B0019" w:tentative="1">
      <w:start w:val="1"/>
      <w:numFmt w:val="lowerLetter"/>
      <w:lvlText w:val="%5."/>
      <w:lvlJc w:val="left"/>
      <w:pPr>
        <w:ind w:left="4563" w:hanging="360"/>
      </w:pPr>
    </w:lvl>
    <w:lvl w:ilvl="5" w:tplc="042B001B" w:tentative="1">
      <w:start w:val="1"/>
      <w:numFmt w:val="lowerRoman"/>
      <w:lvlText w:val="%6."/>
      <w:lvlJc w:val="right"/>
      <w:pPr>
        <w:ind w:left="5283" w:hanging="180"/>
      </w:pPr>
    </w:lvl>
    <w:lvl w:ilvl="6" w:tplc="042B000F" w:tentative="1">
      <w:start w:val="1"/>
      <w:numFmt w:val="decimal"/>
      <w:lvlText w:val="%7."/>
      <w:lvlJc w:val="left"/>
      <w:pPr>
        <w:ind w:left="6003" w:hanging="360"/>
      </w:pPr>
    </w:lvl>
    <w:lvl w:ilvl="7" w:tplc="042B0019" w:tentative="1">
      <w:start w:val="1"/>
      <w:numFmt w:val="lowerLetter"/>
      <w:lvlText w:val="%8."/>
      <w:lvlJc w:val="left"/>
      <w:pPr>
        <w:ind w:left="6723" w:hanging="360"/>
      </w:pPr>
    </w:lvl>
    <w:lvl w:ilvl="8" w:tplc="042B001B" w:tentative="1">
      <w:start w:val="1"/>
      <w:numFmt w:val="lowerRoman"/>
      <w:lvlText w:val="%9."/>
      <w:lvlJc w:val="right"/>
      <w:pPr>
        <w:ind w:left="7443" w:hanging="180"/>
      </w:pPr>
    </w:lvl>
  </w:abstractNum>
  <w:abstractNum w:abstractNumId="10" w15:restartNumberingAfterBreak="0">
    <w:nsid w:val="35B77E2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1" w15:restartNumberingAfterBreak="0">
    <w:nsid w:val="3A225835"/>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2" w15:restartNumberingAfterBreak="0">
    <w:nsid w:val="4962735B"/>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3" w15:restartNumberingAfterBreak="0">
    <w:nsid w:val="4C797969"/>
    <w:multiLevelType w:val="multilevel"/>
    <w:tmpl w:val="20FCD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5A17D6"/>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15" w15:restartNumberingAfterBreak="0">
    <w:nsid w:val="633C35B7"/>
    <w:multiLevelType w:val="hybridMultilevel"/>
    <w:tmpl w:val="E85CCC3E"/>
    <w:lvl w:ilvl="0" w:tplc="DDF6DDB8">
      <w:start w:val="1"/>
      <w:numFmt w:val="decimal"/>
      <w:lvlText w:val="%1."/>
      <w:lvlJc w:val="left"/>
      <w:pPr>
        <w:ind w:left="907" w:hanging="360"/>
      </w:pPr>
      <w:rPr>
        <w:rFonts w:eastAsiaTheme="minorHAnsi" w:cstheme="minorBidi" w:hint="default"/>
        <w:color w:val="auto"/>
      </w:rPr>
    </w:lvl>
    <w:lvl w:ilvl="1" w:tplc="042B0019" w:tentative="1">
      <w:start w:val="1"/>
      <w:numFmt w:val="lowerLetter"/>
      <w:lvlText w:val="%2."/>
      <w:lvlJc w:val="left"/>
      <w:pPr>
        <w:ind w:left="1627" w:hanging="360"/>
      </w:pPr>
    </w:lvl>
    <w:lvl w:ilvl="2" w:tplc="042B001B" w:tentative="1">
      <w:start w:val="1"/>
      <w:numFmt w:val="lowerRoman"/>
      <w:lvlText w:val="%3."/>
      <w:lvlJc w:val="right"/>
      <w:pPr>
        <w:ind w:left="2347" w:hanging="180"/>
      </w:pPr>
    </w:lvl>
    <w:lvl w:ilvl="3" w:tplc="042B000F" w:tentative="1">
      <w:start w:val="1"/>
      <w:numFmt w:val="decimal"/>
      <w:lvlText w:val="%4."/>
      <w:lvlJc w:val="left"/>
      <w:pPr>
        <w:ind w:left="3067" w:hanging="360"/>
      </w:pPr>
    </w:lvl>
    <w:lvl w:ilvl="4" w:tplc="042B0019" w:tentative="1">
      <w:start w:val="1"/>
      <w:numFmt w:val="lowerLetter"/>
      <w:lvlText w:val="%5."/>
      <w:lvlJc w:val="left"/>
      <w:pPr>
        <w:ind w:left="3787" w:hanging="360"/>
      </w:pPr>
    </w:lvl>
    <w:lvl w:ilvl="5" w:tplc="042B001B" w:tentative="1">
      <w:start w:val="1"/>
      <w:numFmt w:val="lowerRoman"/>
      <w:lvlText w:val="%6."/>
      <w:lvlJc w:val="right"/>
      <w:pPr>
        <w:ind w:left="4507" w:hanging="180"/>
      </w:pPr>
    </w:lvl>
    <w:lvl w:ilvl="6" w:tplc="042B000F" w:tentative="1">
      <w:start w:val="1"/>
      <w:numFmt w:val="decimal"/>
      <w:lvlText w:val="%7."/>
      <w:lvlJc w:val="left"/>
      <w:pPr>
        <w:ind w:left="5227" w:hanging="360"/>
      </w:pPr>
    </w:lvl>
    <w:lvl w:ilvl="7" w:tplc="042B0019" w:tentative="1">
      <w:start w:val="1"/>
      <w:numFmt w:val="lowerLetter"/>
      <w:lvlText w:val="%8."/>
      <w:lvlJc w:val="left"/>
      <w:pPr>
        <w:ind w:left="5947" w:hanging="360"/>
      </w:pPr>
    </w:lvl>
    <w:lvl w:ilvl="8" w:tplc="042B001B" w:tentative="1">
      <w:start w:val="1"/>
      <w:numFmt w:val="lowerRoman"/>
      <w:lvlText w:val="%9."/>
      <w:lvlJc w:val="right"/>
      <w:pPr>
        <w:ind w:left="6667" w:hanging="180"/>
      </w:pPr>
    </w:lvl>
  </w:abstractNum>
  <w:abstractNum w:abstractNumId="16" w15:restartNumberingAfterBreak="0">
    <w:nsid w:val="6E5F7999"/>
    <w:multiLevelType w:val="hybridMultilevel"/>
    <w:tmpl w:val="6330952A"/>
    <w:lvl w:ilvl="0" w:tplc="E040A688">
      <w:start w:val="1"/>
      <w:numFmt w:val="decimal"/>
      <w:lvlText w:val="%1."/>
      <w:lvlJc w:val="left"/>
      <w:pPr>
        <w:ind w:left="900" w:hanging="360"/>
      </w:pPr>
      <w:rPr>
        <w:rFonts w:eastAsia="Times New Roman" w:cs="Sylfaen"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7" w15:restartNumberingAfterBreak="0">
    <w:nsid w:val="6F4502C4"/>
    <w:multiLevelType w:val="multilevel"/>
    <w:tmpl w:val="B40CA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86001"/>
    <w:multiLevelType w:val="hybridMultilevel"/>
    <w:tmpl w:val="D3E22198"/>
    <w:lvl w:ilvl="0" w:tplc="F4167598">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6AF786B"/>
    <w:multiLevelType w:val="hybridMultilevel"/>
    <w:tmpl w:val="6DE2134C"/>
    <w:lvl w:ilvl="0" w:tplc="042B000F">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abstractNum w:abstractNumId="20" w15:restartNumberingAfterBreak="0">
    <w:nsid w:val="7C5B0D88"/>
    <w:multiLevelType w:val="hybridMultilevel"/>
    <w:tmpl w:val="22CA1E58"/>
    <w:lvl w:ilvl="0" w:tplc="7A1CF4CE">
      <w:start w:val="1"/>
      <w:numFmt w:val="decimal"/>
      <w:lvlText w:val="%1)"/>
      <w:lvlJc w:val="left"/>
      <w:pPr>
        <w:ind w:left="987" w:hanging="360"/>
      </w:pPr>
      <w:rPr>
        <w:rFonts w:ascii="Calibri" w:hAnsi="Calibri" w:cs="Calibri" w:hint="default"/>
      </w:rPr>
    </w:lvl>
    <w:lvl w:ilvl="1" w:tplc="042B0019" w:tentative="1">
      <w:start w:val="1"/>
      <w:numFmt w:val="lowerLetter"/>
      <w:lvlText w:val="%2."/>
      <w:lvlJc w:val="left"/>
      <w:pPr>
        <w:ind w:left="1707" w:hanging="360"/>
      </w:pPr>
    </w:lvl>
    <w:lvl w:ilvl="2" w:tplc="042B001B" w:tentative="1">
      <w:start w:val="1"/>
      <w:numFmt w:val="lowerRoman"/>
      <w:lvlText w:val="%3."/>
      <w:lvlJc w:val="right"/>
      <w:pPr>
        <w:ind w:left="2427" w:hanging="180"/>
      </w:pPr>
    </w:lvl>
    <w:lvl w:ilvl="3" w:tplc="042B000F" w:tentative="1">
      <w:start w:val="1"/>
      <w:numFmt w:val="decimal"/>
      <w:lvlText w:val="%4."/>
      <w:lvlJc w:val="left"/>
      <w:pPr>
        <w:ind w:left="3147" w:hanging="360"/>
      </w:pPr>
    </w:lvl>
    <w:lvl w:ilvl="4" w:tplc="042B0019" w:tentative="1">
      <w:start w:val="1"/>
      <w:numFmt w:val="lowerLetter"/>
      <w:lvlText w:val="%5."/>
      <w:lvlJc w:val="left"/>
      <w:pPr>
        <w:ind w:left="3867" w:hanging="360"/>
      </w:pPr>
    </w:lvl>
    <w:lvl w:ilvl="5" w:tplc="042B001B" w:tentative="1">
      <w:start w:val="1"/>
      <w:numFmt w:val="lowerRoman"/>
      <w:lvlText w:val="%6."/>
      <w:lvlJc w:val="right"/>
      <w:pPr>
        <w:ind w:left="4587" w:hanging="180"/>
      </w:pPr>
    </w:lvl>
    <w:lvl w:ilvl="6" w:tplc="042B000F" w:tentative="1">
      <w:start w:val="1"/>
      <w:numFmt w:val="decimal"/>
      <w:lvlText w:val="%7."/>
      <w:lvlJc w:val="left"/>
      <w:pPr>
        <w:ind w:left="5307" w:hanging="360"/>
      </w:pPr>
    </w:lvl>
    <w:lvl w:ilvl="7" w:tplc="042B0019" w:tentative="1">
      <w:start w:val="1"/>
      <w:numFmt w:val="lowerLetter"/>
      <w:lvlText w:val="%8."/>
      <w:lvlJc w:val="left"/>
      <w:pPr>
        <w:ind w:left="6027" w:hanging="360"/>
      </w:pPr>
    </w:lvl>
    <w:lvl w:ilvl="8" w:tplc="042B001B" w:tentative="1">
      <w:start w:val="1"/>
      <w:numFmt w:val="lowerRoman"/>
      <w:lvlText w:val="%9."/>
      <w:lvlJc w:val="right"/>
      <w:pPr>
        <w:ind w:left="6747" w:hanging="180"/>
      </w:pPr>
    </w:lvl>
  </w:abstractNum>
  <w:abstractNum w:abstractNumId="21" w15:restartNumberingAfterBreak="0">
    <w:nsid w:val="7E15471F"/>
    <w:multiLevelType w:val="hybridMultilevel"/>
    <w:tmpl w:val="9EFCB19A"/>
    <w:lvl w:ilvl="0" w:tplc="7D7C701E">
      <w:start w:val="1"/>
      <w:numFmt w:val="decimal"/>
      <w:lvlText w:val="%1."/>
      <w:lvlJc w:val="left"/>
      <w:pPr>
        <w:ind w:left="704" w:hanging="360"/>
      </w:pPr>
      <w:rPr>
        <w:rFonts w:hint="default"/>
      </w:rPr>
    </w:lvl>
    <w:lvl w:ilvl="1" w:tplc="042B0019" w:tentative="1">
      <w:start w:val="1"/>
      <w:numFmt w:val="lowerLetter"/>
      <w:lvlText w:val="%2."/>
      <w:lvlJc w:val="left"/>
      <w:pPr>
        <w:ind w:left="1424" w:hanging="360"/>
      </w:pPr>
    </w:lvl>
    <w:lvl w:ilvl="2" w:tplc="042B001B" w:tentative="1">
      <w:start w:val="1"/>
      <w:numFmt w:val="lowerRoman"/>
      <w:lvlText w:val="%3."/>
      <w:lvlJc w:val="right"/>
      <w:pPr>
        <w:ind w:left="2144" w:hanging="180"/>
      </w:pPr>
    </w:lvl>
    <w:lvl w:ilvl="3" w:tplc="042B000F" w:tentative="1">
      <w:start w:val="1"/>
      <w:numFmt w:val="decimal"/>
      <w:lvlText w:val="%4."/>
      <w:lvlJc w:val="left"/>
      <w:pPr>
        <w:ind w:left="2864" w:hanging="360"/>
      </w:pPr>
    </w:lvl>
    <w:lvl w:ilvl="4" w:tplc="042B0019" w:tentative="1">
      <w:start w:val="1"/>
      <w:numFmt w:val="lowerLetter"/>
      <w:lvlText w:val="%5."/>
      <w:lvlJc w:val="left"/>
      <w:pPr>
        <w:ind w:left="3584" w:hanging="360"/>
      </w:pPr>
    </w:lvl>
    <w:lvl w:ilvl="5" w:tplc="042B001B" w:tentative="1">
      <w:start w:val="1"/>
      <w:numFmt w:val="lowerRoman"/>
      <w:lvlText w:val="%6."/>
      <w:lvlJc w:val="right"/>
      <w:pPr>
        <w:ind w:left="4304" w:hanging="180"/>
      </w:pPr>
    </w:lvl>
    <w:lvl w:ilvl="6" w:tplc="042B000F" w:tentative="1">
      <w:start w:val="1"/>
      <w:numFmt w:val="decimal"/>
      <w:lvlText w:val="%7."/>
      <w:lvlJc w:val="left"/>
      <w:pPr>
        <w:ind w:left="5024" w:hanging="360"/>
      </w:pPr>
    </w:lvl>
    <w:lvl w:ilvl="7" w:tplc="042B0019" w:tentative="1">
      <w:start w:val="1"/>
      <w:numFmt w:val="lowerLetter"/>
      <w:lvlText w:val="%8."/>
      <w:lvlJc w:val="left"/>
      <w:pPr>
        <w:ind w:left="5744" w:hanging="360"/>
      </w:pPr>
    </w:lvl>
    <w:lvl w:ilvl="8" w:tplc="042B001B" w:tentative="1">
      <w:start w:val="1"/>
      <w:numFmt w:val="lowerRoman"/>
      <w:lvlText w:val="%9."/>
      <w:lvlJc w:val="right"/>
      <w:pPr>
        <w:ind w:left="6464" w:hanging="180"/>
      </w:pPr>
    </w:lvl>
  </w:abstractNum>
  <w:num w:numId="1" w16cid:durableId="1018853990">
    <w:abstractNumId w:val="19"/>
  </w:num>
  <w:num w:numId="2" w16cid:durableId="1996906650">
    <w:abstractNumId w:val="3"/>
  </w:num>
  <w:num w:numId="3" w16cid:durableId="2108689214">
    <w:abstractNumId w:val="11"/>
  </w:num>
  <w:num w:numId="4" w16cid:durableId="181632536">
    <w:abstractNumId w:val="8"/>
  </w:num>
  <w:num w:numId="5" w16cid:durableId="1463307496">
    <w:abstractNumId w:val="21"/>
  </w:num>
  <w:num w:numId="6" w16cid:durableId="1973098855">
    <w:abstractNumId w:val="5"/>
  </w:num>
  <w:num w:numId="7" w16cid:durableId="112677084">
    <w:abstractNumId w:val="12"/>
  </w:num>
  <w:num w:numId="8" w16cid:durableId="253442761">
    <w:abstractNumId w:val="14"/>
  </w:num>
  <w:num w:numId="9" w16cid:durableId="1437821286">
    <w:abstractNumId w:val="16"/>
  </w:num>
  <w:num w:numId="10" w16cid:durableId="1077168337">
    <w:abstractNumId w:val="10"/>
  </w:num>
  <w:num w:numId="11" w16cid:durableId="1754625468">
    <w:abstractNumId w:val="2"/>
  </w:num>
  <w:num w:numId="12" w16cid:durableId="891117966">
    <w:abstractNumId w:val="0"/>
  </w:num>
  <w:num w:numId="13" w16cid:durableId="13849145">
    <w:abstractNumId w:val="15"/>
  </w:num>
  <w:num w:numId="14" w16cid:durableId="1152285595">
    <w:abstractNumId w:val="20"/>
  </w:num>
  <w:num w:numId="15" w16cid:durableId="880097701">
    <w:abstractNumId w:val="1"/>
  </w:num>
  <w:num w:numId="16" w16cid:durableId="629241266">
    <w:abstractNumId w:val="7"/>
  </w:num>
  <w:num w:numId="17" w16cid:durableId="1928347170">
    <w:abstractNumId w:val="9"/>
  </w:num>
  <w:num w:numId="18" w16cid:durableId="16631923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8469549">
    <w:abstractNumId w:val="18"/>
  </w:num>
  <w:num w:numId="20" w16cid:durableId="922647742">
    <w:abstractNumId w:val="13"/>
  </w:num>
  <w:num w:numId="21" w16cid:durableId="1843201150">
    <w:abstractNumId w:val="17"/>
  </w:num>
  <w:num w:numId="22" w16cid:durableId="2525881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E9E"/>
    <w:rsid w:val="000075A8"/>
    <w:rsid w:val="00014ABF"/>
    <w:rsid w:val="00017D0B"/>
    <w:rsid w:val="000311B7"/>
    <w:rsid w:val="00036928"/>
    <w:rsid w:val="00052EEF"/>
    <w:rsid w:val="00063695"/>
    <w:rsid w:val="0007358F"/>
    <w:rsid w:val="00073D6F"/>
    <w:rsid w:val="0007491F"/>
    <w:rsid w:val="00075E61"/>
    <w:rsid w:val="000838C3"/>
    <w:rsid w:val="000B09E4"/>
    <w:rsid w:val="000B227D"/>
    <w:rsid w:val="000B4382"/>
    <w:rsid w:val="000C02D6"/>
    <w:rsid w:val="000E771F"/>
    <w:rsid w:val="000E7876"/>
    <w:rsid w:val="000F530B"/>
    <w:rsid w:val="001047E9"/>
    <w:rsid w:val="0010481C"/>
    <w:rsid w:val="0010764A"/>
    <w:rsid w:val="001721B5"/>
    <w:rsid w:val="00172633"/>
    <w:rsid w:val="001804B9"/>
    <w:rsid w:val="0018175B"/>
    <w:rsid w:val="00181E9E"/>
    <w:rsid w:val="001A1877"/>
    <w:rsid w:val="001A4A13"/>
    <w:rsid w:val="001E10D3"/>
    <w:rsid w:val="001E51B7"/>
    <w:rsid w:val="001F3BAE"/>
    <w:rsid w:val="00202CB8"/>
    <w:rsid w:val="00205D81"/>
    <w:rsid w:val="00226CF7"/>
    <w:rsid w:val="00226F2E"/>
    <w:rsid w:val="00232074"/>
    <w:rsid w:val="00254F6F"/>
    <w:rsid w:val="00287951"/>
    <w:rsid w:val="002904D6"/>
    <w:rsid w:val="00294BEC"/>
    <w:rsid w:val="00294C99"/>
    <w:rsid w:val="002A17B1"/>
    <w:rsid w:val="002B0717"/>
    <w:rsid w:val="002E3C27"/>
    <w:rsid w:val="002F5620"/>
    <w:rsid w:val="002F5B55"/>
    <w:rsid w:val="003005B3"/>
    <w:rsid w:val="003149B5"/>
    <w:rsid w:val="00316B7A"/>
    <w:rsid w:val="00320A6A"/>
    <w:rsid w:val="003558B6"/>
    <w:rsid w:val="003A487D"/>
    <w:rsid w:val="003D162F"/>
    <w:rsid w:val="003D362B"/>
    <w:rsid w:val="003E1F6D"/>
    <w:rsid w:val="00405FEA"/>
    <w:rsid w:val="00436D37"/>
    <w:rsid w:val="00442E36"/>
    <w:rsid w:val="004728A6"/>
    <w:rsid w:val="00477724"/>
    <w:rsid w:val="00477B34"/>
    <w:rsid w:val="004D0247"/>
    <w:rsid w:val="004D60EF"/>
    <w:rsid w:val="004E2EBA"/>
    <w:rsid w:val="004F57A9"/>
    <w:rsid w:val="00504445"/>
    <w:rsid w:val="005173DA"/>
    <w:rsid w:val="00542CCA"/>
    <w:rsid w:val="005508EA"/>
    <w:rsid w:val="00557962"/>
    <w:rsid w:val="00561717"/>
    <w:rsid w:val="00572D07"/>
    <w:rsid w:val="00576945"/>
    <w:rsid w:val="005E6C8D"/>
    <w:rsid w:val="00610C6F"/>
    <w:rsid w:val="006111D4"/>
    <w:rsid w:val="00646BA3"/>
    <w:rsid w:val="00653DB8"/>
    <w:rsid w:val="006711C1"/>
    <w:rsid w:val="00676010"/>
    <w:rsid w:val="006910A4"/>
    <w:rsid w:val="00696191"/>
    <w:rsid w:val="006A2E45"/>
    <w:rsid w:val="006A5B17"/>
    <w:rsid w:val="006C3822"/>
    <w:rsid w:val="006C5AB6"/>
    <w:rsid w:val="006E15B4"/>
    <w:rsid w:val="0072079A"/>
    <w:rsid w:val="0073206F"/>
    <w:rsid w:val="007353F6"/>
    <w:rsid w:val="00741185"/>
    <w:rsid w:val="00741370"/>
    <w:rsid w:val="00746F26"/>
    <w:rsid w:val="00790F67"/>
    <w:rsid w:val="007A42E7"/>
    <w:rsid w:val="007B0DCE"/>
    <w:rsid w:val="007C6E88"/>
    <w:rsid w:val="007D0B51"/>
    <w:rsid w:val="007D4062"/>
    <w:rsid w:val="007D4465"/>
    <w:rsid w:val="007E0515"/>
    <w:rsid w:val="0083350C"/>
    <w:rsid w:val="00843632"/>
    <w:rsid w:val="008566BD"/>
    <w:rsid w:val="00862263"/>
    <w:rsid w:val="0086394A"/>
    <w:rsid w:val="00884A64"/>
    <w:rsid w:val="00896272"/>
    <w:rsid w:val="008A27BB"/>
    <w:rsid w:val="008A2942"/>
    <w:rsid w:val="008B1FCF"/>
    <w:rsid w:val="008B7CF6"/>
    <w:rsid w:val="008E4734"/>
    <w:rsid w:val="008F1085"/>
    <w:rsid w:val="00923DDD"/>
    <w:rsid w:val="009242E5"/>
    <w:rsid w:val="009442EC"/>
    <w:rsid w:val="009807A5"/>
    <w:rsid w:val="009A33BC"/>
    <w:rsid w:val="009A420C"/>
    <w:rsid w:val="009B1B46"/>
    <w:rsid w:val="009B680C"/>
    <w:rsid w:val="009D229A"/>
    <w:rsid w:val="009E0301"/>
    <w:rsid w:val="00A00D13"/>
    <w:rsid w:val="00A12870"/>
    <w:rsid w:val="00A146EC"/>
    <w:rsid w:val="00A1683D"/>
    <w:rsid w:val="00A270AC"/>
    <w:rsid w:val="00A41EF4"/>
    <w:rsid w:val="00A46752"/>
    <w:rsid w:val="00A4726C"/>
    <w:rsid w:val="00A661AA"/>
    <w:rsid w:val="00A769D8"/>
    <w:rsid w:val="00A875F6"/>
    <w:rsid w:val="00A8790F"/>
    <w:rsid w:val="00AA38B6"/>
    <w:rsid w:val="00AB2B92"/>
    <w:rsid w:val="00AD76C7"/>
    <w:rsid w:val="00AE33E7"/>
    <w:rsid w:val="00AF0FB3"/>
    <w:rsid w:val="00AF1E50"/>
    <w:rsid w:val="00AF3001"/>
    <w:rsid w:val="00AF796B"/>
    <w:rsid w:val="00B07DF7"/>
    <w:rsid w:val="00B1635C"/>
    <w:rsid w:val="00B3384B"/>
    <w:rsid w:val="00B37B82"/>
    <w:rsid w:val="00B42712"/>
    <w:rsid w:val="00B826F0"/>
    <w:rsid w:val="00B84C09"/>
    <w:rsid w:val="00BB2390"/>
    <w:rsid w:val="00BE04D1"/>
    <w:rsid w:val="00BE759E"/>
    <w:rsid w:val="00BF1508"/>
    <w:rsid w:val="00BF29ED"/>
    <w:rsid w:val="00C00F9C"/>
    <w:rsid w:val="00C10821"/>
    <w:rsid w:val="00C122FE"/>
    <w:rsid w:val="00C32A73"/>
    <w:rsid w:val="00C45DDF"/>
    <w:rsid w:val="00C5518F"/>
    <w:rsid w:val="00C562BB"/>
    <w:rsid w:val="00C5708F"/>
    <w:rsid w:val="00C66E55"/>
    <w:rsid w:val="00CA4A1B"/>
    <w:rsid w:val="00CB769A"/>
    <w:rsid w:val="00CD1CAE"/>
    <w:rsid w:val="00CD3E0B"/>
    <w:rsid w:val="00CF11AB"/>
    <w:rsid w:val="00D235DE"/>
    <w:rsid w:val="00D31AA5"/>
    <w:rsid w:val="00D32D4A"/>
    <w:rsid w:val="00D429AD"/>
    <w:rsid w:val="00D4383D"/>
    <w:rsid w:val="00D72D15"/>
    <w:rsid w:val="00D85555"/>
    <w:rsid w:val="00DA2A6C"/>
    <w:rsid w:val="00DB238F"/>
    <w:rsid w:val="00DC14AA"/>
    <w:rsid w:val="00DE1644"/>
    <w:rsid w:val="00DE5075"/>
    <w:rsid w:val="00DF44D3"/>
    <w:rsid w:val="00E03A4F"/>
    <w:rsid w:val="00E04815"/>
    <w:rsid w:val="00E051F8"/>
    <w:rsid w:val="00E17832"/>
    <w:rsid w:val="00E273CC"/>
    <w:rsid w:val="00E3615A"/>
    <w:rsid w:val="00E43701"/>
    <w:rsid w:val="00E43E79"/>
    <w:rsid w:val="00E458C9"/>
    <w:rsid w:val="00E46B1A"/>
    <w:rsid w:val="00E728B0"/>
    <w:rsid w:val="00E754EC"/>
    <w:rsid w:val="00EA0ABC"/>
    <w:rsid w:val="00EA4E3C"/>
    <w:rsid w:val="00EB32C2"/>
    <w:rsid w:val="00EE1A0C"/>
    <w:rsid w:val="00EE6095"/>
    <w:rsid w:val="00EE6BB0"/>
    <w:rsid w:val="00EF1172"/>
    <w:rsid w:val="00F20E52"/>
    <w:rsid w:val="00F2560F"/>
    <w:rsid w:val="00F269FE"/>
    <w:rsid w:val="00F33154"/>
    <w:rsid w:val="00F4659A"/>
    <w:rsid w:val="00F46B8D"/>
    <w:rsid w:val="00F62741"/>
    <w:rsid w:val="00F701B4"/>
    <w:rsid w:val="00F77657"/>
    <w:rsid w:val="00FA391D"/>
    <w:rsid w:val="00FC409C"/>
    <w:rsid w:val="00FD7EB4"/>
    <w:rsid w:val="00FE3583"/>
    <w:rsid w:val="00FE6020"/>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2657A"/>
  <w15:chartTrackingRefBased/>
  <w15:docId w15:val="{A72020BC-E1A5-47CC-85E2-090F175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A0C"/>
  </w:style>
  <w:style w:type="paragraph" w:styleId="Heading1">
    <w:name w:val="heading 1"/>
    <w:basedOn w:val="Normal"/>
    <w:next w:val="Normal"/>
    <w:link w:val="Heading1Char"/>
    <w:uiPriority w:val="9"/>
    <w:qFormat/>
    <w:rsid w:val="00AF1E50"/>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E50"/>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BB2390"/>
    <w:pPr>
      <w:ind w:left="720"/>
      <w:contextualSpacing/>
    </w:pPr>
  </w:style>
  <w:style w:type="paragraph" w:styleId="NoSpacing">
    <w:name w:val="No Spacing"/>
    <w:uiPriority w:val="1"/>
    <w:qFormat/>
    <w:rsid w:val="00AF796B"/>
    <w:pPr>
      <w:spacing w:after="0" w:line="240" w:lineRule="auto"/>
    </w:pPr>
    <w:rPr>
      <w:rFonts w:ascii="Calibri" w:eastAsia="Times New Roman" w:hAnsi="Calibri" w:cs="Times New Roman"/>
      <w:lang w:val="ru-RU" w:eastAsia="ru-RU"/>
    </w:rPr>
  </w:style>
  <w:style w:type="character" w:styleId="Strong">
    <w:name w:val="Strong"/>
    <w:uiPriority w:val="22"/>
    <w:qFormat/>
    <w:rsid w:val="0007358F"/>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ebb"/>
    <w:basedOn w:val="Normal"/>
    <w:link w:val="NormalWebChar"/>
    <w:uiPriority w:val="99"/>
    <w:unhideWhenUsed/>
    <w:qFormat/>
    <w:rsid w:val="00D32D4A"/>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CommentReference">
    <w:name w:val="annotation reference"/>
    <w:basedOn w:val="DefaultParagraphFont"/>
    <w:uiPriority w:val="99"/>
    <w:semiHidden/>
    <w:unhideWhenUsed/>
    <w:rsid w:val="009807A5"/>
    <w:rPr>
      <w:sz w:val="16"/>
      <w:szCs w:val="16"/>
    </w:rPr>
  </w:style>
  <w:style w:type="paragraph" w:styleId="CommentText">
    <w:name w:val="annotation text"/>
    <w:basedOn w:val="Normal"/>
    <w:link w:val="CommentTextChar"/>
    <w:uiPriority w:val="99"/>
    <w:semiHidden/>
    <w:unhideWhenUsed/>
    <w:rsid w:val="009807A5"/>
    <w:pPr>
      <w:spacing w:line="240" w:lineRule="auto"/>
    </w:pPr>
    <w:rPr>
      <w:sz w:val="20"/>
      <w:szCs w:val="20"/>
    </w:rPr>
  </w:style>
  <w:style w:type="character" w:customStyle="1" w:styleId="CommentTextChar">
    <w:name w:val="Comment Text Char"/>
    <w:basedOn w:val="DefaultParagraphFont"/>
    <w:link w:val="CommentText"/>
    <w:uiPriority w:val="99"/>
    <w:semiHidden/>
    <w:rsid w:val="009807A5"/>
    <w:rPr>
      <w:sz w:val="20"/>
      <w:szCs w:val="20"/>
    </w:rPr>
  </w:style>
  <w:style w:type="paragraph" w:styleId="CommentSubject">
    <w:name w:val="annotation subject"/>
    <w:basedOn w:val="CommentText"/>
    <w:next w:val="CommentText"/>
    <w:link w:val="CommentSubjectChar"/>
    <w:uiPriority w:val="99"/>
    <w:semiHidden/>
    <w:unhideWhenUsed/>
    <w:rsid w:val="009807A5"/>
    <w:rPr>
      <w:b/>
      <w:bCs/>
    </w:rPr>
  </w:style>
  <w:style w:type="character" w:customStyle="1" w:styleId="CommentSubjectChar">
    <w:name w:val="Comment Subject Char"/>
    <w:basedOn w:val="CommentTextChar"/>
    <w:link w:val="CommentSubject"/>
    <w:uiPriority w:val="99"/>
    <w:semiHidden/>
    <w:rsid w:val="009807A5"/>
    <w:rPr>
      <w:b/>
      <w:bCs/>
      <w:sz w:val="20"/>
      <w:szCs w:val="20"/>
    </w:rPr>
  </w:style>
  <w:style w:type="paragraph" w:styleId="BalloonText">
    <w:name w:val="Balloon Text"/>
    <w:basedOn w:val="Normal"/>
    <w:link w:val="BalloonTextChar"/>
    <w:uiPriority w:val="99"/>
    <w:semiHidden/>
    <w:unhideWhenUsed/>
    <w:rsid w:val="009807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7A5"/>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EF1172"/>
    <w:rPr>
      <w:rFonts w:ascii="Times New Roman" w:eastAsia="Times New Roman" w:hAnsi="Times New Roman" w:cs="Times New Roman"/>
      <w:sz w:val="24"/>
      <w:szCs w:val="24"/>
      <w:lang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5058">
      <w:bodyDiv w:val="1"/>
      <w:marLeft w:val="0"/>
      <w:marRight w:val="0"/>
      <w:marTop w:val="0"/>
      <w:marBottom w:val="0"/>
      <w:divBdr>
        <w:top w:val="none" w:sz="0" w:space="0" w:color="auto"/>
        <w:left w:val="none" w:sz="0" w:space="0" w:color="auto"/>
        <w:bottom w:val="none" w:sz="0" w:space="0" w:color="auto"/>
        <w:right w:val="none" w:sz="0" w:space="0" w:color="auto"/>
      </w:divBdr>
    </w:div>
    <w:div w:id="492989288">
      <w:bodyDiv w:val="1"/>
      <w:marLeft w:val="0"/>
      <w:marRight w:val="0"/>
      <w:marTop w:val="0"/>
      <w:marBottom w:val="0"/>
      <w:divBdr>
        <w:top w:val="none" w:sz="0" w:space="0" w:color="auto"/>
        <w:left w:val="none" w:sz="0" w:space="0" w:color="auto"/>
        <w:bottom w:val="none" w:sz="0" w:space="0" w:color="auto"/>
        <w:right w:val="none" w:sz="0" w:space="0" w:color="auto"/>
      </w:divBdr>
    </w:div>
    <w:div w:id="634721555">
      <w:bodyDiv w:val="1"/>
      <w:marLeft w:val="0"/>
      <w:marRight w:val="0"/>
      <w:marTop w:val="0"/>
      <w:marBottom w:val="0"/>
      <w:divBdr>
        <w:top w:val="none" w:sz="0" w:space="0" w:color="auto"/>
        <w:left w:val="none" w:sz="0" w:space="0" w:color="auto"/>
        <w:bottom w:val="none" w:sz="0" w:space="0" w:color="auto"/>
        <w:right w:val="none" w:sz="0" w:space="0" w:color="auto"/>
      </w:divBdr>
    </w:div>
    <w:div w:id="717314937">
      <w:bodyDiv w:val="1"/>
      <w:marLeft w:val="0"/>
      <w:marRight w:val="0"/>
      <w:marTop w:val="0"/>
      <w:marBottom w:val="0"/>
      <w:divBdr>
        <w:top w:val="none" w:sz="0" w:space="0" w:color="auto"/>
        <w:left w:val="none" w:sz="0" w:space="0" w:color="auto"/>
        <w:bottom w:val="none" w:sz="0" w:space="0" w:color="auto"/>
        <w:right w:val="none" w:sz="0" w:space="0" w:color="auto"/>
      </w:divBdr>
    </w:div>
    <w:div w:id="729227253">
      <w:bodyDiv w:val="1"/>
      <w:marLeft w:val="0"/>
      <w:marRight w:val="0"/>
      <w:marTop w:val="0"/>
      <w:marBottom w:val="0"/>
      <w:divBdr>
        <w:top w:val="none" w:sz="0" w:space="0" w:color="auto"/>
        <w:left w:val="none" w:sz="0" w:space="0" w:color="auto"/>
        <w:bottom w:val="none" w:sz="0" w:space="0" w:color="auto"/>
        <w:right w:val="none" w:sz="0" w:space="0" w:color="auto"/>
      </w:divBdr>
    </w:div>
    <w:div w:id="1349523534">
      <w:bodyDiv w:val="1"/>
      <w:marLeft w:val="0"/>
      <w:marRight w:val="0"/>
      <w:marTop w:val="0"/>
      <w:marBottom w:val="0"/>
      <w:divBdr>
        <w:top w:val="none" w:sz="0" w:space="0" w:color="auto"/>
        <w:left w:val="none" w:sz="0" w:space="0" w:color="auto"/>
        <w:bottom w:val="none" w:sz="0" w:space="0" w:color="auto"/>
        <w:right w:val="none" w:sz="0" w:space="0" w:color="auto"/>
      </w:divBdr>
    </w:div>
    <w:div w:id="1662613711">
      <w:bodyDiv w:val="1"/>
      <w:marLeft w:val="0"/>
      <w:marRight w:val="0"/>
      <w:marTop w:val="0"/>
      <w:marBottom w:val="0"/>
      <w:divBdr>
        <w:top w:val="none" w:sz="0" w:space="0" w:color="auto"/>
        <w:left w:val="none" w:sz="0" w:space="0" w:color="auto"/>
        <w:bottom w:val="none" w:sz="0" w:space="0" w:color="auto"/>
        <w:right w:val="none" w:sz="0" w:space="0" w:color="auto"/>
      </w:divBdr>
    </w:div>
    <w:div w:id="1820924218">
      <w:bodyDiv w:val="1"/>
      <w:marLeft w:val="0"/>
      <w:marRight w:val="0"/>
      <w:marTop w:val="0"/>
      <w:marBottom w:val="0"/>
      <w:divBdr>
        <w:top w:val="none" w:sz="0" w:space="0" w:color="auto"/>
        <w:left w:val="none" w:sz="0" w:space="0" w:color="auto"/>
        <w:bottom w:val="none" w:sz="0" w:space="0" w:color="auto"/>
        <w:right w:val="none" w:sz="0" w:space="0" w:color="auto"/>
      </w:divBdr>
    </w:div>
    <w:div w:id="1833905792">
      <w:bodyDiv w:val="1"/>
      <w:marLeft w:val="0"/>
      <w:marRight w:val="0"/>
      <w:marTop w:val="0"/>
      <w:marBottom w:val="0"/>
      <w:divBdr>
        <w:top w:val="none" w:sz="0" w:space="0" w:color="auto"/>
        <w:left w:val="none" w:sz="0" w:space="0" w:color="auto"/>
        <w:bottom w:val="none" w:sz="0" w:space="0" w:color="auto"/>
        <w:right w:val="none" w:sz="0" w:space="0" w:color="auto"/>
      </w:divBdr>
    </w:div>
    <w:div w:id="208537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0CCC7-F7AF-45D5-82AA-92CE44A5C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2588</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Shahinyan</dc:creator>
  <cp:keywords>https:/mul2-mtc.gov.am/tasks/1281403/oneclick?token=2316c29bc5dc3867f3451134596e82d9</cp:keywords>
  <dc:description/>
  <cp:lastModifiedBy>Alisa H. Melkumyan</cp:lastModifiedBy>
  <cp:revision>7</cp:revision>
  <dcterms:created xsi:type="dcterms:W3CDTF">2026-09-08T10:54:00Z</dcterms:created>
  <dcterms:modified xsi:type="dcterms:W3CDTF">2026-09-14T07:33:00Z</dcterms:modified>
</cp:coreProperties>
</file>